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120" w:before="0"/>
        <w:jc w:val="center"/>
      </w:pPr>
      <w:r>
        <w:rPr>
          <w:rFonts w:ascii="Arial" w:cs="Arial" w:eastAsia="Arial" w:hAnsi="Arial"/>
          <w:b/>
          <w:bCs/>
          <w:color w:val="C8A951"/>
          <w:sz w:val="32"/>
          <w:szCs w:val="32"/>
        </w:rPr>
        <w:t xml:space="preserve">SOC 2</w:t>
      </w:r>
    </w:p>
    <w:p>
      <w:pPr>
        <w:spacing w:after="80" w:before="0"/>
        <w:jc w:val="center"/>
      </w:pPr>
      <w:r>
        <w:rPr>
          <w:rFonts w:ascii="Arial" w:cs="Arial" w:eastAsia="Arial" w:hAnsi="Arial"/>
          <w:b/>
          <w:bCs/>
          <w:color w:val="1B2A4A"/>
          <w:sz w:val="44"/>
          <w:szCs w:val="44"/>
        </w:rPr>
        <w:t xml:space="preserve">GAP ASSESSMENT REPORT</w:t>
      </w:r>
    </w:p>
    <w:p>
      <w:pPr>
        <w:spacing w:after="60" w:before="0"/>
        <w:jc w:val="center"/>
      </w:pPr>
      <w:r>
        <w:rPr>
          <w:rFonts w:ascii="Arial" w:cs="Arial" w:eastAsia="Arial" w:hAnsi="Arial"/>
          <w:color w:val="666666"/>
          <w:sz w:val="22"/>
          <w:szCs w:val="22"/>
        </w:rPr>
        <w:t xml:space="preserve">Trust Services Categories: Security · Availability</w:t>
      </w:r>
    </w:p>
    <w:p>
      <w:pPr>
        <w:spacing w:after="400" w:before="0"/>
        <w:jc w:val="center"/>
      </w:pPr>
      <w:r>
        <w:rPr>
          <w:rFonts w:ascii="Arial" w:cs="Arial" w:eastAsia="Arial" w:hAnsi="Arial"/>
          <w:color w:val="666666"/>
          <w:sz w:val="22"/>
          <w:szCs w:val="22"/>
        </w:rPr>
        <w:t xml:space="preserve">RCA-P1-003  ·  Final  ·  28 February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200"/>
              <w:left w:type="dxa" w:w="240"/>
              <w:bottom w:type="dxa" w:w="200"/>
              <w:right w:type="dxa" w:w="240"/>
            </w:tcMar>
          </w:tcPr>
          <w:p>
            <w:pPr>
              <w:spacing w:after="80" w:before="0"/>
              <w:jc w:val="center"/>
            </w:pPr>
            <w:r>
              <w:rPr>
                <w:rFonts w:ascii="Arial" w:cs="Arial" w:eastAsia="Arial" w:hAnsi="Arial"/>
                <w:color w:val="666666"/>
                <w:sz w:val="18"/>
                <w:szCs w:val="18"/>
              </w:rPr>
              <w:t xml:space="preserve">Prepared for</w:t>
            </w:r>
          </w:p>
          <w:p>
            <w:pPr>
              <w:spacing w:after="60" w:before="0"/>
              <w:jc w:val="center"/>
            </w:pPr>
            <w:r>
              <w:rPr>
                <w:rFonts w:ascii="Arial" w:cs="Arial" w:eastAsia="Arial" w:hAnsi="Arial"/>
                <w:b/>
                <w:bCs/>
                <w:color w:val="1B2A4A"/>
                <w:sz w:val="26"/>
                <w:szCs w:val="26"/>
              </w:rPr>
              <w:t xml:space="preserve">Brightpath Technologies Pvt. Ltd.</w:t>
            </w:r>
          </w:p>
          <w:p>
            <w:pPr>
              <w:spacing w:after="60" w:before="0"/>
              <w:jc w:val="center"/>
            </w:pPr>
            <w:r>
              <w:rPr>
                <w:rFonts w:ascii="Arial" w:cs="Arial" w:eastAsia="Arial" w:hAnsi="Arial"/>
                <w:color w:val="666666"/>
                <w:sz w:val="20"/>
                <w:szCs w:val="20"/>
              </w:rPr>
              <w:t xml:space="preserve">IT Services  ·  Bengaluru, India</w:t>
            </w:r>
          </w:p>
          <w:p>
            <w:pPr>
              <w:spacing w:after="0" w:before="0"/>
              <w:jc w:val="center"/>
            </w:pPr>
            <w:r>
              <w:rPr>
                <w:rFonts w:ascii="Arial" w:cs="Arial" w:eastAsia="Arial" w:hAnsi="Arial"/>
                <w:color w:val="1A1A1A"/>
                <w:sz w:val="20"/>
                <w:szCs w:val="20"/>
              </w:rPr>
              <w:t xml:space="preserve">Assessment Period: November 2023 – January 2024</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Prepared by</w:t>
            </w:r>
          </w:p>
          <w:p>
            <w:r>
              <w:rPr>
                <w:rFonts w:ascii="Arial" w:cs="Arial" w:eastAsia="Arial" w:hAnsi="Arial"/>
                <w:b/>
                <w:bCs/>
                <w:color w:val="FFFFFF"/>
                <w:sz w:val="20"/>
                <w:szCs w:val="20"/>
              </w:rPr>
              <w:t xml:space="preserve">kay Shahbaaz</w:t>
            </w:r>
          </w:p>
        </w:tc>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Title</w:t>
            </w:r>
          </w:p>
          <w:p>
            <w:r>
              <w:rPr>
                <w:rFonts w:ascii="Arial" w:cs="Arial" w:eastAsia="Arial" w:hAnsi="Arial"/>
                <w:b/>
                <w:bCs/>
                <w:color w:val="FFFFFF"/>
                <w:sz w:val="20"/>
                <w:szCs w:val="20"/>
              </w:rPr>
              <w:t xml:space="preserve">GRC Analyst</w:t>
            </w:r>
          </w:p>
        </w:tc>
        <w:tc>
          <w:tcPr>
            <w:tcW w:type="dxa" w:w="3212"/>
            <w:tcBorders>
              <w:top w:val="none" w:color="FFFFFF" w:sz="0"/>
              <w:left w:val="none" w:color="FFFFFF" w:sz="0"/>
              <w:bottom w:val="none" w:color="FFFFFF" w:sz="0"/>
              <w:right w:val="none" w:color="FFFFFF" w:sz="0"/>
            </w:tcBorders>
            <w:shd w:fill="1B2A4A" w:val="clear"/>
            <w:tcMar>
              <w:top w:type="dxa" w:w="100"/>
              <w:left w:type="dxa" w:w="120"/>
              <w:bottom w:type="dxa" w:w="100"/>
              <w:right w:type="dxa" w:w="120"/>
            </w:tcMar>
          </w:tcPr>
          <w:p>
            <w:r>
              <w:rPr>
                <w:rFonts w:ascii="Arial" w:cs="Arial" w:eastAsia="Arial" w:hAnsi="Arial"/>
                <w:color w:val="C8A951"/>
                <w:sz w:val="16"/>
                <w:szCs w:val="16"/>
              </w:rPr>
              <w:t xml:space="preserve">Date</w:t>
            </w:r>
          </w:p>
          <w:p>
            <w:r>
              <w:rPr>
                <w:rFonts w:ascii="Arial" w:cs="Arial" w:eastAsia="Arial" w:hAnsi="Arial"/>
                <w:b/>
                <w:bCs/>
                <w:color w:val="FFFFFF"/>
                <w:sz w:val="20"/>
                <w:szCs w:val="20"/>
              </w:rPr>
              <w:t xml:space="preserve">28 February 2024</w:t>
            </w:r>
          </w:p>
        </w:tc>
      </w:tr>
    </w:tbl>
    <w:p>
      <w:pPr>
        <w:spacing w:after="0" w:before="0" w:line="3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A951" w:sz="1"/>
              <w:left w:val="single" w:color="C8A951" w:sz="1"/>
              <w:bottom w:val="single" w:color="C8A951" w:sz="1"/>
              <w:right w:val="single" w:color="C8A951" w:sz="1"/>
            </w:tcBorders>
            <w:shd w:fill="EEF1F7" w:val="clear"/>
            <w:tcMar>
              <w:top w:type="dxa" w:w="140"/>
              <w:left w:type="dxa" w:w="200"/>
              <w:bottom w:type="dxa" w:w="140"/>
              <w:right w:type="dxa" w:w="200"/>
            </w:tcMar>
          </w:tcPr>
          <w:p>
            <w:pPr>
              <w:spacing w:after="60" w:before="0"/>
              <w:jc w:val="center"/>
            </w:pPr>
            <w:r>
              <w:rPr>
                <w:rFonts w:ascii="Arial" w:cs="Arial" w:eastAsia="Arial" w:hAnsi="Arial"/>
                <w:b/>
                <w:bCs/>
                <w:color w:val="1B2A4A"/>
                <w:sz w:val="18"/>
                <w:szCs w:val="18"/>
              </w:rPr>
              <w:t xml:space="preserve">CONFIDENTIALITY NOTICE</w:t>
            </w:r>
          </w:p>
          <w:p>
            <w:pPr>
              <w:spacing w:after="0" w:before="0"/>
              <w:jc w:val="both"/>
            </w:pPr>
            <w:r>
              <w:rPr>
                <w:rFonts w:ascii="Arial" w:cs="Arial" w:eastAsia="Arial" w:hAnsi="Arial"/>
                <w:color w:val="666666"/>
                <w:sz w:val="17"/>
                <w:szCs w:val="17"/>
              </w:rPr>
              <w:t xml:space="preserve">This document is prepared exclusively for the named client and contains confidential and proprietary information belonging to Resolute Compliance Advisory LLP. It may not be disclosed, reproduced, or distributed to any third party without the prior written consent of Resolute Compliance Advisory LLP. Unauthorised use or disclosure is strictly prohibited.</w:t>
            </w:r>
          </w:p>
        </w:tc>
      </w:tr>
    </w:tbl>
    <w:p>
      <w:r>
        <w:br w:type="page"/>
      </w:r>
    </w:p>
    <w:p>
      <w:pPr>
        <w:pStyle w:val="Heading1"/>
        <w:spacing w:after="120" w:before="320"/>
      </w:pPr>
      <w:r>
        <w:rPr>
          <w:rFonts w:ascii="Arial" w:cs="Arial" w:eastAsia="Arial" w:hAnsi="Arial"/>
          <w:b/>
          <w:bCs/>
          <w:color w:val="1B2A4A"/>
          <w:sz w:val="26"/>
          <w:szCs w:val="26"/>
        </w:rPr>
        <w:t xml:space="preserve">Document Control</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68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Document Title</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SOC 2 Gap Assessment Report</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Document Ref</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RCA-P1-003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Client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Technologies Pvt. Ltd.</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Project</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ISO 27001:2022 + SOC 2 Compliance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Trust Categories</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Security (CC series) + Availability (A1 series)</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Prepared by</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kay Shahbaaz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Reviewed by</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Resolute Compliance Advisory LLP</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Report Date</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28 February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Assessment Period</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November 2023 – January 2024</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Version</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2A4A"/>
                <w:sz w:val="20"/>
                <w:szCs w:val="20"/>
              </w:rPr>
              <w:t xml:space="preserve">Classification</w:t>
            </w:r>
          </w:p>
        </w:tc>
        <w:tc>
          <w:tcPr>
            <w:tcW w:type="dxa" w:w="68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Status</w:t>
            </w:r>
          </w:p>
        </w:tc>
        <w:tc>
          <w:tcPr>
            <w:tcW w:type="dxa" w:w="68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Final</w:t>
            </w:r>
          </w:p>
        </w:tc>
      </w:tr>
    </w:tbl>
    <w:p>
      <w:r>
        <w:br w:type="page"/>
      </w:r>
    </w:p>
    <w:p>
      <w:pPr>
        <w:pStyle w:val="Heading1"/>
        <w:spacing w:after="120" w:before="320"/>
      </w:pPr>
      <w:r>
        <w:rPr>
          <w:rFonts w:ascii="Arial" w:cs="Arial" w:eastAsia="Arial" w:hAnsi="Arial"/>
          <w:b/>
          <w:bCs/>
          <w:color w:val="1B2A4A"/>
          <w:sz w:val="26"/>
          <w:szCs w:val="26"/>
        </w:rPr>
        <w:t xml:space="preserve">1.   Executive Summary</w:t>
      </w:r>
    </w:p>
    <w:p>
      <w:pPr>
        <w:spacing w:after="140" w:before="0"/>
        <w:jc w:val="both"/>
      </w:pPr>
      <w:r>
        <w:rPr>
          <w:rFonts w:ascii="Arial" w:cs="Arial" w:eastAsia="Arial" w:hAnsi="Arial"/>
          <w:color w:val="1A1A1A"/>
          <w:sz w:val="20"/>
          <w:szCs w:val="20"/>
        </w:rPr>
        <w:t xml:space="preserve">Resolute Compliance Advisory LLP was engaged by Brightpath Technologies Pvt. Ltd. to conduct a SOC 2 readiness assessment against the AICPA Trust Services Criteria (TSC). The assessment was performed between November 2023 and January 2024, covering the Security category (CC1 through CC9 — 27 criteria) and the Availability category (A1.1 through A1.3 — 3 criteria), totalling 30 criteria.</w:t>
      </w:r>
    </w:p>
    <w:p>
      <w:pPr>
        <w:spacing w:after="140" w:before="0"/>
        <w:jc w:val="both"/>
      </w:pPr>
      <w:r>
        <w:rPr>
          <w:rFonts w:ascii="Arial" w:cs="Arial" w:eastAsia="Arial" w:hAnsi="Arial"/>
          <w:color w:val="1A1A1A"/>
          <w:sz w:val="20"/>
          <w:szCs w:val="20"/>
        </w:rPr>
        <w:t xml:space="preserve">The Availability category was included on the basis of Brightpath's managed IT services business model, under which the organisation has implicit and explicit obligations to maintain service availability for its US-based clients. The Security category is mandatory for all SOC 2 engagements.</w:t>
      </w:r>
    </w:p>
    <w:p>
      <w:pPr>
        <w:pStyle w:val="Heading2"/>
        <w:spacing w:after="80" w:before="240"/>
      </w:pPr>
      <w:r>
        <w:rPr>
          <w:rFonts w:ascii="Arial" w:cs="Arial" w:eastAsia="Arial" w:hAnsi="Arial"/>
          <w:b/>
          <w:bCs/>
          <w:color w:val="1B2A4A"/>
          <w:sz w:val="22"/>
          <w:szCs w:val="22"/>
        </w:rPr>
        <w:t xml:space="preserve">1.1   Readiness Overview</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38"/>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Criteria Category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Criteria</w:t>
            </w:r>
          </w:p>
        </w:tc>
        <w:tc>
          <w:tcPr>
            <w:tcW w:type="dxa" w:w="243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Readiness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Common Criteria (CC1 – CC9)</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666666"/>
                <w:sz w:val="20"/>
                <w:szCs w:val="20"/>
              </w:rPr>
              <w:t xml:space="preserve">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1A1A1A"/>
                <w:sz w:val="20"/>
                <w:szCs w:val="20"/>
              </w:rPr>
              <w:t xml:space="preserve">27</w:t>
            </w:r>
          </w:p>
        </w:tc>
        <w:tc>
          <w:tcPr>
            <w:tcW w:type="dxa" w:w="2438"/>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Partially Ready</w:t>
            </w:r>
          </w:p>
        </w:tc>
      </w:tr>
      <w:tr>
        <w:tc>
          <w:tcPr>
            <w:tcW w:type="dxa" w:w="3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20"/>
                <w:szCs w:val="20"/>
              </w:rPr>
              <w:t xml:space="preserve">Availability Criteria (A1.1 – A1.3)</w:t>
            </w:r>
          </w:p>
        </w:tc>
        <w:tc>
          <w:tcPr>
            <w:tcW w:type="dxa" w:w="1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666666"/>
                <w:sz w:val="20"/>
                <w:szCs w:val="20"/>
              </w:rPr>
              <w:t xml:space="preserve">Availability</w:t>
            </w:r>
          </w:p>
        </w:tc>
        <w:tc>
          <w:tcPr>
            <w:tcW w:type="dxa" w:w="1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1A1A1A"/>
                <w:sz w:val="20"/>
                <w:szCs w:val="20"/>
              </w:rPr>
              <w:t xml:space="preserve">3</w:t>
            </w:r>
          </w:p>
        </w:tc>
        <w:tc>
          <w:tcPr>
            <w:tcW w:type="dxa" w:w="2438"/>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Not Ready</w:t>
            </w:r>
          </w:p>
        </w:tc>
      </w:tr>
      <w:tr>
        <w:tc>
          <w:tcPr>
            <w:tcW w:type="dxa" w:w="36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20"/>
                <w:szCs w:val="20"/>
              </w:rPr>
              <w:t xml:space="preserve">TOTAL</w:t>
            </w:r>
          </w:p>
        </w:tc>
        <w:tc>
          <w:tcPr>
            <w:tcW w:type="dxa" w:w="1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color w:val="666666"/>
                <w:sz w:val="20"/>
                <w:szCs w:val="20"/>
              </w:rPr>
              <w:t xml:space="preserve"/>
            </w:r>
          </w:p>
        </w:tc>
        <w:tc>
          <w:tcPr>
            <w:tcW w:type="dxa" w:w="18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b/>
                <w:bCs/>
                <w:color w:val="1B2A4A"/>
                <w:sz w:val="20"/>
                <w:szCs w:val="20"/>
              </w:rPr>
              <w:t xml:space="preserve">30</w:t>
            </w:r>
          </w:p>
        </w:tc>
        <w:tc>
          <w:tcPr>
            <w:tcW w:type="dxa" w:w="2438"/>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pPr>
              <w:jc w:val="center"/>
            </w:pPr>
            <w:r>
              <w:rPr>
                <w:rFonts w:ascii="Arial" w:cs="Arial" w:eastAsia="Arial" w:hAnsi="Arial"/>
                <w:b/>
                <w:bCs/>
                <w:color w:val="FFFFFF"/>
                <w:sz w:val="20"/>
                <w:szCs w:val="20"/>
              </w:rPr>
              <w:t xml:space="preserve"/>
            </w:r>
          </w:p>
        </w:tc>
      </w:tr>
    </w:tbl>
    <w:p>
      <w:pPr>
        <w:spacing w:after="0" w:before="0" w:line="240"/>
      </w:pPr>
      <w:r>
        <w:t xml:space="preserve"/>
      </w:r>
    </w:p>
    <w:p>
      <w:pPr>
        <w:spacing w:after="140" w:before="0"/>
        <w:jc w:val="both"/>
      </w:pPr>
      <w:r>
        <w:rPr>
          <w:rFonts w:ascii="Arial" w:cs="Arial" w:eastAsia="Arial" w:hAnsi="Arial"/>
          <w:color w:val="1A1A1A"/>
          <w:sz w:val="20"/>
          <w:szCs w:val="20"/>
        </w:rPr>
        <w:t xml:space="preserve">Of the 30 criteria assessed, none are currently fully met. The Security criteria (CC1–CC9) are assessed as Partially Ready — some foundational controls exist but material gaps remain across risk assessment, access management, system operations, and vendor risk. The Availability criteria (A1.1–A1.3) are assessed as Not Ready — no formal availability commitments, capacity management process, or disaster recovery capability exists.</w:t>
      </w:r>
    </w:p>
    <w:p>
      <w:pPr>
        <w:pStyle w:val="Heading2"/>
        <w:spacing w:after="80" w:before="240"/>
      </w:pPr>
      <w:r>
        <w:rPr>
          <w:rFonts w:ascii="Arial" w:cs="Arial" w:eastAsia="Arial" w:hAnsi="Arial"/>
          <w:b/>
          <w:bCs/>
          <w:color w:val="1B2A4A"/>
          <w:sz w:val="22"/>
          <w:szCs w:val="22"/>
        </w:rPr>
        <w:t xml:space="preserve">1.2   Critical Findings</w:t>
      </w:r>
    </w:p>
    <w:p>
      <w:pPr>
        <w:spacing w:after="140" w:before="0"/>
        <w:jc w:val="both"/>
      </w:pPr>
      <w:r>
        <w:rPr>
          <w:rFonts w:ascii="Arial" w:cs="Arial" w:eastAsia="Arial" w:hAnsi="Arial"/>
          <w:color w:val="1A1A1A"/>
          <w:sz w:val="20"/>
          <w:szCs w:val="20"/>
        </w:rPr>
        <w:t xml:space="preserve">Six findings have been assessed as Critical. Each independently represents a point of failure in a SOC 2 Type I audit:</w:t>
      </w:r>
    </w:p>
    <w:p>
      <w:pPr>
        <w:pStyle w:val="ListParagraph"/>
        <w:numPr>
          <w:ilvl w:val="0"/>
          <w:numId w:val="2"/>
        </w:numPr>
        <w:spacing w:after="40" w:before="40"/>
      </w:pPr>
      <w:r>
        <w:rPr>
          <w:rFonts w:ascii="Arial" w:cs="Arial" w:eastAsia="Arial" w:hAnsi="Arial"/>
          <w:color w:val="1A1A1A"/>
          <w:sz w:val="20"/>
          <w:szCs w:val="20"/>
        </w:rPr>
        <w:t xml:space="preserve">S-001: No formal risk assessment process supporting the CC3 criteria — a standalone audit failure point</w:t>
      </w:r>
    </w:p>
    <w:p>
      <w:pPr>
        <w:pStyle w:val="ListParagraph"/>
        <w:numPr>
          <w:ilvl w:val="0"/>
          <w:numId w:val="2"/>
        </w:numPr>
        <w:spacing w:after="40" w:before="40"/>
      </w:pPr>
      <w:r>
        <w:rPr>
          <w:rFonts w:ascii="Arial" w:cs="Arial" w:eastAsia="Arial" w:hAnsi="Arial"/>
          <w:color w:val="1A1A1A"/>
          <w:sz w:val="20"/>
          <w:szCs w:val="20"/>
        </w:rPr>
        <w:t xml:space="preserve">S-002: Logical access controls insufficient across CC6.1, CC6.3, and CC6.5 — active former-employee credentials identified</w:t>
      </w:r>
    </w:p>
    <w:p>
      <w:pPr>
        <w:pStyle w:val="ListParagraph"/>
        <w:numPr>
          <w:ilvl w:val="0"/>
          <w:numId w:val="2"/>
        </w:numPr>
        <w:spacing w:after="40" w:before="40"/>
      </w:pPr>
      <w:r>
        <w:rPr>
          <w:rFonts w:ascii="Arial" w:cs="Arial" w:eastAsia="Arial" w:hAnsi="Arial"/>
          <w:color w:val="1A1A1A"/>
          <w:sz w:val="20"/>
          <w:szCs w:val="20"/>
        </w:rPr>
        <w:t xml:space="preserve">S-003: No vulnerability detection or incident response capability across CC7.1, CC7.3, and CC7.4</w:t>
      </w:r>
    </w:p>
    <w:p>
      <w:pPr>
        <w:pStyle w:val="ListParagraph"/>
        <w:numPr>
          <w:ilvl w:val="0"/>
          <w:numId w:val="2"/>
        </w:numPr>
        <w:spacing w:after="40" w:before="40"/>
      </w:pPr>
      <w:r>
        <w:rPr>
          <w:rFonts w:ascii="Arial" w:cs="Arial" w:eastAsia="Arial" w:hAnsi="Arial"/>
          <w:color w:val="1A1A1A"/>
          <w:sz w:val="20"/>
          <w:szCs w:val="20"/>
        </w:rPr>
        <w:t xml:space="preserve">S-004: No vendor risk assessment process despite reliance on third parties with access to production systems</w:t>
      </w:r>
    </w:p>
    <w:p>
      <w:pPr>
        <w:pStyle w:val="ListParagraph"/>
        <w:numPr>
          <w:ilvl w:val="0"/>
          <w:numId w:val="2"/>
        </w:numPr>
        <w:spacing w:after="40" w:before="40"/>
      </w:pPr>
      <w:r>
        <w:rPr>
          <w:rFonts w:ascii="Arial" w:cs="Arial" w:eastAsia="Arial" w:hAnsi="Arial"/>
          <w:color w:val="1A1A1A"/>
          <w:sz w:val="20"/>
          <w:szCs w:val="20"/>
        </w:rPr>
        <w:t xml:space="preserve">A-001: No defined availability commitments or capacity management controls — prerequisite for Availability category inclusion</w:t>
      </w:r>
    </w:p>
    <w:p>
      <w:pPr>
        <w:pStyle w:val="ListParagraph"/>
        <w:numPr>
          <w:ilvl w:val="0"/>
          <w:numId w:val="2"/>
        </w:numPr>
        <w:spacing w:after="40" w:before="40"/>
      </w:pPr>
      <w:r>
        <w:rPr>
          <w:rFonts w:ascii="Arial" w:cs="Arial" w:eastAsia="Arial" w:hAnsi="Arial"/>
          <w:color w:val="1A1A1A"/>
          <w:sz w:val="20"/>
          <w:szCs w:val="20"/>
        </w:rPr>
        <w:t xml:space="preserve">A-002: No Business Continuity Plan or Disaster Recovery Plan — no tested recovery capability</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1.3   SOC 2 Audit Readiness Assessment</w:t>
      </w:r>
    </w:p>
    <w:p>
      <w:pPr>
        <w:spacing w:after="140" w:before="0"/>
        <w:jc w:val="both"/>
      </w:pPr>
      <w:r>
        <w:rPr>
          <w:rFonts w:ascii="Arial" w:cs="Arial" w:eastAsia="Arial" w:hAnsi="Arial"/>
          <w:color w:val="1A1A1A"/>
          <w:sz w:val="20"/>
          <w:szCs w:val="20"/>
        </w:rPr>
        <w:t xml:space="preserve">Brightpath is not currently in a position to commission a SOC 2 Type I audit. The critical and high-priority gaps identified in this report would result in a qualified or adverse opinion across multiple criteria. An estimated 9 to 12 months of structured remediation is required before Brightpath would be positioned for a Type I audit, with a Type II audit (covering a minimum 6-month observation period) achievable in approximately 18 to 24 months from the completion of remediation.</w:t>
      </w:r>
    </w:p>
    <w:p>
      <w:r>
        <w:br w:type="page"/>
      </w:r>
    </w:p>
    <w:p>
      <w:pPr>
        <w:pStyle w:val="Heading1"/>
        <w:spacing w:after="120" w:before="320"/>
      </w:pPr>
      <w:r>
        <w:rPr>
          <w:rFonts w:ascii="Arial" w:cs="Arial" w:eastAsia="Arial" w:hAnsi="Arial"/>
          <w:b/>
          <w:bCs/>
          <w:color w:val="1B2A4A"/>
          <w:sz w:val="26"/>
          <w:szCs w:val="26"/>
        </w:rPr>
        <w:t xml:space="preserve">2.   SOC 2 Framework Overview</w:t>
      </w:r>
    </w:p>
    <w:p>
      <w:pPr>
        <w:pStyle w:val="Heading2"/>
        <w:spacing w:after="80" w:before="240"/>
      </w:pPr>
      <w:r>
        <w:rPr>
          <w:rFonts w:ascii="Arial" w:cs="Arial" w:eastAsia="Arial" w:hAnsi="Arial"/>
          <w:b/>
          <w:bCs/>
          <w:color w:val="1B2A4A"/>
          <w:sz w:val="22"/>
          <w:szCs w:val="22"/>
        </w:rPr>
        <w:t xml:space="preserve">2.1   Trust Services Criteria</w:t>
      </w:r>
    </w:p>
    <w:p>
      <w:pPr>
        <w:spacing w:after="140" w:before="0"/>
        <w:jc w:val="both"/>
      </w:pPr>
      <w:r>
        <w:rPr>
          <w:rFonts w:ascii="Arial" w:cs="Arial" w:eastAsia="Arial" w:hAnsi="Arial"/>
          <w:color w:val="1A1A1A"/>
          <w:sz w:val="20"/>
          <w:szCs w:val="20"/>
        </w:rPr>
        <w:t xml:space="preserve">SOC 2 is a framework developed by the American Institute of Certified Public Accountants (AICPA) for service organisations to report on controls relevant to security, availability, processing integrity, confidentiality, and privacy. A SOC 2 Type I report covers the design of controls at a point in time. A SOC 2 Type II report covers the operating effectiveness of controls over a defined period (minimum six months).</w:t>
      </w:r>
    </w:p>
    <w:p>
      <w:pPr>
        <w:spacing w:after="140" w:before="0"/>
        <w:jc w:val="both"/>
      </w:pPr>
      <w:r>
        <w:rPr>
          <w:rFonts w:ascii="Arial" w:cs="Arial" w:eastAsia="Arial" w:hAnsi="Arial"/>
          <w:color w:val="1A1A1A"/>
          <w:sz w:val="20"/>
          <w:szCs w:val="20"/>
        </w:rPr>
        <w:t xml:space="preserve">The Trust Services Criteria are organised into five categories. Brightpath's engagement covers Security (mandatory) and Availability. The table below summarises all five categories and their inclusion status in this assessment.</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38"/>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Category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r>
              <w:rPr>
                <w:rFonts w:ascii="Arial" w:cs="Arial" w:eastAsia="Arial" w:hAnsi="Arial"/>
                <w:b/>
                <w:bCs/>
                <w:color w:val="FFFFFF"/>
                <w:sz w:val="19"/>
                <w:szCs w:val="19"/>
              </w:rPr>
              <w:t xml:space="preserve">Criteria</w:t>
            </w:r>
          </w:p>
        </w:tc>
        <w:tc>
          <w:tcPr>
            <w:tcW w:type="dxa" w:w="60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8"/>
                <w:szCs w:val="18"/>
              </w:rPr>
              <w:t xml:space="preserve">Security
(in scope)</w:t>
            </w:r>
          </w:p>
        </w:tc>
        <w:tc>
          <w:tcPr>
            <w:tcW w:type="dxa" w:w="2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r>
              <w:rPr>
                <w:rFonts w:ascii="Arial" w:cs="Arial" w:eastAsia="Arial" w:hAnsi="Arial"/>
                <w:color w:val="1A1A1A"/>
                <w:sz w:val="18"/>
                <w:szCs w:val="18"/>
              </w:rPr>
              <w:t xml:space="preserve">CC1 – CC9</w:t>
            </w:r>
          </w:p>
        </w:tc>
        <w:tc>
          <w:tcPr>
            <w:tcW w:type="dxa" w:w="6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18"/>
                <w:szCs w:val="18"/>
              </w:rPr>
              <w:t xml:space="preserve">Controls over the environment, risk assessment, access, system operations, change management, and risk mitigation. Mandatory for all SOC 2 engagements.</w:t>
            </w:r>
          </w:p>
        </w:tc>
      </w:tr>
      <w:tr>
        <w:tc>
          <w:tcPr>
            <w:tcW w:type="dxa" w:w="14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8"/>
                <w:szCs w:val="18"/>
              </w:rPr>
              <w:t xml:space="preserve">Availability
(in scope)</w:t>
            </w:r>
          </w:p>
        </w:tc>
        <w:tc>
          <w:tcPr>
            <w:tcW w:type="dxa" w:w="2200"/>
            <w:tcBorders>
              <w:top w:val="single" w:color="CCCCCC" w:sz="1"/>
              <w:left w:val="single" w:color="CCCCCC" w:sz="1"/>
              <w:bottom w:val="single" w:color="CCCCCC" w:sz="1"/>
              <w:right w:val="single" w:color="CCCCCC" w:sz="1"/>
            </w:tcBorders>
            <w:shd w:fill="EEF1F7" w:val="clear"/>
            <w:tcMar>
              <w:top w:type="dxa" w:w="80"/>
              <w:left w:type="dxa" w:w="80"/>
              <w:bottom w:type="dxa" w:w="80"/>
              <w:right w:type="dxa" w:w="80"/>
            </w:tcMar>
          </w:tcPr>
          <w:p>
            <w:r>
              <w:rPr>
                <w:rFonts w:ascii="Arial" w:cs="Arial" w:eastAsia="Arial" w:hAnsi="Arial"/>
                <w:color w:val="1A1A1A"/>
                <w:sz w:val="18"/>
                <w:szCs w:val="18"/>
              </w:rPr>
              <w:t xml:space="preserve">A1.1 – A1.3</w:t>
            </w:r>
          </w:p>
        </w:tc>
        <w:tc>
          <w:tcPr>
            <w:tcW w:type="dxa" w:w="6038"/>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color w:val="1A1A1A"/>
                <w:sz w:val="18"/>
                <w:szCs w:val="18"/>
              </w:rPr>
              <w:t xml:space="preserve">Controls ensuring the system is available for operation and use as committed. Included given Brightpath’s managed IT services model and client uptime obligations.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666666"/>
                <w:sz w:val="18"/>
                <w:szCs w:val="18"/>
              </w:rPr>
              <w:t xml:space="preserve">Confidentiality
(out of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666666"/>
                <w:sz w:val="18"/>
                <w:szCs w:val="18"/>
              </w:rPr>
              <w:t xml:space="preserve">C1.1 – C1.2</w:t>
            </w:r>
          </w:p>
        </w:tc>
        <w:tc>
          <w:tcPr>
            <w:tcW w:type="dxa" w:w="6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666666"/>
                <w:sz w:val="18"/>
                <w:szCs w:val="18"/>
              </w:rPr>
              <w:t xml:space="preserve">Not included in this engagement. May be considered in a future assessment if client contractual requirements evolve.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666666"/>
                <w:sz w:val="18"/>
                <w:szCs w:val="18"/>
              </w:rPr>
              <w:t xml:space="preserve">Processing Integrity
(out of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666666"/>
                <w:sz w:val="18"/>
                <w:szCs w:val="18"/>
              </w:rPr>
              <w:t xml:space="preserve">PI1.1 – PI1.5</w:t>
            </w:r>
          </w:p>
        </w:tc>
        <w:tc>
          <w:tcPr>
            <w:tcW w:type="dxa" w:w="6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666666"/>
                <w:sz w:val="18"/>
                <w:szCs w:val="18"/>
              </w:rPr>
              <w:t xml:space="preserve">Not applicable to Brightpath’s current service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666666"/>
                <w:sz w:val="18"/>
                <w:szCs w:val="18"/>
              </w:rPr>
              <w:t xml:space="preserve">Privacy
(out of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666666"/>
                <w:sz w:val="18"/>
                <w:szCs w:val="18"/>
              </w:rPr>
              <w:t xml:space="preserve">P1 – P8</w:t>
            </w:r>
          </w:p>
        </w:tc>
        <w:tc>
          <w:tcPr>
            <w:tcW w:type="dxa" w:w="6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666666"/>
                <w:sz w:val="18"/>
                <w:szCs w:val="18"/>
              </w:rPr>
              <w:t xml:space="preserve">Not included in this engagement. Privacy obligations addressed separately under GDPR/DPDP in Project 2.</w:t>
            </w:r>
          </w:p>
        </w:tc>
      </w:tr>
    </w:tbl>
    <w:p>
      <w:pPr>
        <w:spacing w:after="0" w:before="0" w:line="240"/>
      </w:pPr>
      <w:r>
        <w:t xml:space="preserve"/>
      </w:r>
    </w:p>
    <w:p>
      <w:pPr>
        <w:pStyle w:val="Heading2"/>
        <w:spacing w:after="80" w:before="240"/>
      </w:pPr>
      <w:r>
        <w:rPr>
          <w:rFonts w:ascii="Arial" w:cs="Arial" w:eastAsia="Arial" w:hAnsi="Arial"/>
          <w:b/>
          <w:bCs/>
          <w:color w:val="1B2A4A"/>
          <w:sz w:val="22"/>
          <w:szCs w:val="22"/>
        </w:rPr>
        <w:t xml:space="preserve">2.2   Common Criteria (CC) Structure</w:t>
      </w:r>
    </w:p>
    <w:p>
      <w:pPr>
        <w:spacing w:after="140" w:before="0"/>
        <w:jc w:val="both"/>
      </w:pPr>
      <w:r>
        <w:rPr>
          <w:rFonts w:ascii="Arial" w:cs="Arial" w:eastAsia="Arial" w:hAnsi="Arial"/>
          <w:color w:val="1A1A1A"/>
          <w:sz w:val="20"/>
          <w:szCs w:val="20"/>
        </w:rPr>
        <w:t xml:space="preserve">The Security category is evaluated through the Common Criteria (CC), which are grouped into nine sub-categories aligned to the COSO Internal Control — Integrated Framework. The CC criteria assess the design and operating effectiveness of the organisation's control environment, risk assessment processes, communication, monitoring, control activities, logical and physical access controls, system operations, change management, and risk mitigation activities.</w:t>
      </w:r>
    </w:p>
    <w:p>
      <w:pPr>
        <w:pStyle w:val="Heading2"/>
        <w:spacing w:after="80" w:before="240"/>
      </w:pPr>
      <w:r>
        <w:rPr>
          <w:rFonts w:ascii="Arial" w:cs="Arial" w:eastAsia="Arial" w:hAnsi="Arial"/>
          <w:b/>
          <w:bCs/>
          <w:color w:val="1B2A4A"/>
          <w:sz w:val="22"/>
          <w:szCs w:val="22"/>
        </w:rPr>
        <w:t xml:space="preserve">2.3   Type I vs Type II Distinction</w:t>
      </w:r>
    </w:p>
    <w:p>
      <w:pPr>
        <w:spacing w:after="140" w:before="0"/>
        <w:jc w:val="both"/>
      </w:pPr>
      <w:r>
        <w:rPr>
          <w:rFonts w:ascii="Arial" w:cs="Arial" w:eastAsia="Arial" w:hAnsi="Arial"/>
          <w:color w:val="1A1A1A"/>
          <w:sz w:val="20"/>
          <w:szCs w:val="20"/>
        </w:rPr>
        <w:t xml:space="preserve">This assessment is structured to support both Type I and Type II audit readiness. For Type I readiness, Brightpath must demonstrate that controls are suitably designed at a point in time. For Type II readiness, the organisation must further demonstrate that controls operated effectively over the chosen observation period. The remediation recommendations in this report address both design and operating effectiveness requirements.</w:t>
      </w:r>
    </w:p>
    <w:p>
      <w:r>
        <w:br w:type="page"/>
      </w:r>
    </w:p>
    <w:p>
      <w:pPr>
        <w:pStyle w:val="Heading1"/>
        <w:spacing w:after="120" w:before="320"/>
      </w:pPr>
      <w:r>
        <w:rPr>
          <w:rFonts w:ascii="Arial" w:cs="Arial" w:eastAsia="Arial" w:hAnsi="Arial"/>
          <w:b/>
          <w:bCs/>
          <w:color w:val="1B2A4A"/>
          <w:sz w:val="26"/>
          <w:szCs w:val="26"/>
        </w:rPr>
        <w:t xml:space="preserve">3.   Assessment Methodology</w:t>
      </w:r>
    </w:p>
    <w:p>
      <w:pPr>
        <w:pStyle w:val="Heading2"/>
        <w:spacing w:after="80" w:before="240"/>
      </w:pPr>
      <w:r>
        <w:rPr>
          <w:rFonts w:ascii="Arial" w:cs="Arial" w:eastAsia="Arial" w:hAnsi="Arial"/>
          <w:b/>
          <w:bCs/>
          <w:color w:val="1B2A4A"/>
          <w:sz w:val="22"/>
          <w:szCs w:val="22"/>
        </w:rPr>
        <w:t xml:space="preserve">3.1   Assessment Approach</w:t>
      </w:r>
    </w:p>
    <w:p>
      <w:pPr>
        <w:spacing w:after="140" w:before="0"/>
        <w:jc w:val="both"/>
      </w:pPr>
      <w:r>
        <w:rPr>
          <w:rFonts w:ascii="Arial" w:cs="Arial" w:eastAsia="Arial" w:hAnsi="Arial"/>
          <w:color w:val="1A1A1A"/>
          <w:sz w:val="20"/>
          <w:szCs w:val="20"/>
        </w:rPr>
        <w:t xml:space="preserve">The readiness assessment was conducted using a criteria-by-criteria evaluation approach. For each of the 30 in-scope Trust Services Criteria, the assessment team evaluated the current state of relevant controls against the AICPA's points of focus, identified gaps, and assessed the impact of those gaps on audit readiness. The assessment combined document review, stakeholder interviews, and technical observation of system configurations.</w:t>
      </w:r>
    </w:p>
    <w:p>
      <w:pPr>
        <w:pStyle w:val="Heading2"/>
        <w:spacing w:after="80" w:before="240"/>
      </w:pPr>
      <w:r>
        <w:rPr>
          <w:rFonts w:ascii="Arial" w:cs="Arial" w:eastAsia="Arial" w:hAnsi="Arial"/>
          <w:b/>
          <w:bCs/>
          <w:color w:val="1B2A4A"/>
          <w:sz w:val="22"/>
          <w:szCs w:val="22"/>
        </w:rPr>
        <w:t xml:space="preserve">3.2   Gap Status Definitions</w:t>
      </w:r>
    </w:p>
    <w:p>
      <w:pPr>
        <w:pStyle w:val="ListParagraph"/>
        <w:numPr>
          <w:ilvl w:val="0"/>
          <w:numId w:val="2"/>
        </w:numPr>
        <w:spacing w:after="40" w:before="40"/>
      </w:pPr>
      <w:r>
        <w:rPr>
          <w:rFonts w:ascii="Arial" w:cs="Arial" w:eastAsia="Arial" w:hAnsi="Arial"/>
          <w:color w:val="1A1A1A"/>
          <w:sz w:val="20"/>
          <w:szCs w:val="20"/>
        </w:rPr>
        <w:t xml:space="preserve">Met: Controls are designed and operating in a manner that satisfies the criteria. Adequate evidence exists to support an audit conclusion.</w:t>
      </w:r>
    </w:p>
    <w:p>
      <w:pPr>
        <w:pStyle w:val="ListParagraph"/>
        <w:numPr>
          <w:ilvl w:val="0"/>
          <w:numId w:val="2"/>
        </w:numPr>
        <w:spacing w:after="40" w:before="40"/>
      </w:pPr>
      <w:r>
        <w:rPr>
          <w:rFonts w:ascii="Arial" w:cs="Arial" w:eastAsia="Arial" w:hAnsi="Arial"/>
          <w:color w:val="1A1A1A"/>
          <w:sz w:val="20"/>
          <w:szCs w:val="20"/>
        </w:rPr>
        <w:t xml:space="preserve">Partially Met: Some controls are in place but gaps exist in design, documentation, consistency of operation, or evidence availability. Remediation required before audit.</w:t>
      </w:r>
    </w:p>
    <w:p>
      <w:pPr>
        <w:pStyle w:val="ListParagraph"/>
        <w:numPr>
          <w:ilvl w:val="0"/>
          <w:numId w:val="2"/>
        </w:numPr>
        <w:spacing w:after="40" w:before="40"/>
      </w:pPr>
      <w:r>
        <w:rPr>
          <w:rFonts w:ascii="Arial" w:cs="Arial" w:eastAsia="Arial" w:hAnsi="Arial"/>
          <w:color w:val="1A1A1A"/>
          <w:sz w:val="20"/>
          <w:szCs w:val="20"/>
        </w:rPr>
        <w:t xml:space="preserve">Not Met: No controls are in place to address the criteria, or existing controls are materially deficient. Significant remediation required.</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3.3   Evidence Reviewed</w:t>
      </w:r>
    </w:p>
    <w:p>
      <w:pPr>
        <w:spacing w:after="140" w:before="0"/>
        <w:jc w:val="both"/>
      </w:pPr>
      <w:r>
        <w:rPr>
          <w:rFonts w:ascii="Arial" w:cs="Arial" w:eastAsia="Arial" w:hAnsi="Arial"/>
          <w:color w:val="1A1A1A"/>
          <w:sz w:val="20"/>
          <w:szCs w:val="20"/>
        </w:rPr>
        <w:t xml:space="preserve">Evidence reviewed during this assessment included: AWS IAM configuration and CloudTrail log samples; system architecture documentation; HR records (onboarding and offboarding); existing IT policies and procedures; client service contracts (redacted); and outputs from stakeholder interviews with the IT Manager, Head of Operations, and a senior developer.</w:t>
      </w:r>
    </w:p>
    <w:p>
      <w:r>
        <w:br w:type="page"/>
      </w:r>
    </w:p>
    <w:p>
      <w:pPr>
        <w:pStyle w:val="Heading1"/>
        <w:spacing w:after="120" w:before="320"/>
      </w:pPr>
      <w:r>
        <w:rPr>
          <w:rFonts w:ascii="Arial" w:cs="Arial" w:eastAsia="Arial" w:hAnsi="Arial"/>
          <w:b/>
          <w:bCs/>
          <w:color w:val="1B2A4A"/>
          <w:sz w:val="26"/>
          <w:szCs w:val="26"/>
        </w:rPr>
        <w:t xml:space="preserve">4.   Security Criteria — Detailed Findings (CC1–CC9)</w:t>
      </w:r>
    </w:p>
    <w:p>
      <w:pPr>
        <w:spacing w:after="140" w:before="0"/>
        <w:jc w:val="both"/>
      </w:pPr>
      <w:r>
        <w:rPr>
          <w:rFonts w:ascii="Arial" w:cs="Arial" w:eastAsia="Arial" w:hAnsi="Arial"/>
          <w:color w:val="1A1A1A"/>
          <w:sz w:val="20"/>
          <w:szCs w:val="20"/>
        </w:rPr>
        <w:t xml:space="preserve">The following section presents detailed findings for criteria assessed as Not Met or requiring priority remediation. All 30 criteria are summarised in Section 6. Findings are presented in order of risk rating.</w:t>
      </w:r>
    </w:p>
    <w:p>
      <w:pPr>
        <w:pStyle w:val="Heading2"/>
        <w:spacing w:after="80" w:before="240"/>
      </w:pPr>
      <w:r>
        <w:rPr>
          <w:rFonts w:ascii="Arial" w:cs="Arial" w:eastAsia="Arial" w:hAnsi="Arial"/>
          <w:b/>
          <w:bCs/>
          <w:color w:val="1B2A4A"/>
          <w:sz w:val="22"/>
          <w:szCs w:val="22"/>
        </w:rPr>
        <w:t xml:space="preserve">4.1   Critical Findings — Security</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S-001  —  No Formal Risk Assessment Process Supporting Security Criteria</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TSC Reference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CC3.1, CC3.2, CC3.3 — Risk Assessment</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Rating</w:t>
            </w:r>
          </w:p>
        </w:tc>
        <w:tc>
          <w:tcPr>
            <w:tcW w:type="dxa" w:w="74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not conducted a formal risk assessment relevant to its SOC 2 commitments. No process exists to identify risks to the availability, security, or integrity of its service delivery to US-based clients. Risk decisions are made reactively by the IT team without a documented methodology or defined risk appetite.</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CC3.1 requires the organisation to specify suitable objectives and identify and assess risks related to those objectives. CC3.2 requires that risks be analysed and managed. Without a documented risk assessment process, Brightpath cannot demonstrate to a SOC 2 auditor that risks to its service commitments have been identified and managed systematically.</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Audit Risk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Absence of a risk assessment framework is a standalone audit failure point. A SOC 2 Type I audit would issue a qualified opinion on this criterion alone. The gap also means all other security controls lack the risk context needed to justify their design and effectiveness.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Define and document a risk assessment process aligned to Brightpath’s SOC 2 service commitments and system description. Identify threats and vulnerabilities relevant to Security and Availability criteria. This should be conducted in parallel with the ISO 27001 risk assessment (F-003 in RCA-P1-002) using a unified methodology.</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S-002  —  Logical Access Controls Insufficient for SOC 2 CC6 Requirements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TSC Reference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CC6.1, CC6.3, CC6.5 — Logical and Physical Access Controls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Rating</w:t>
            </w:r>
          </w:p>
        </w:tc>
        <w:tc>
          <w:tcPr>
            <w:tcW w:type="dxa" w:w="74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AWS IAM role assignments have not been reviewed since initial configuration. Developers retain persistent administrative access to production systems. No formal process exists for provisioning or deprovisioning access. Two former employees were identified during fieldwork with active system credentials that had not been revoked.</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CC6.1 requires controls limiting logical access to information assets to authorised individuals. CC6.3 requires a process for authorising, modifying, and removing access. CC6.5 requires termination procedures including prompt revocation. All three criteria have material gaps. The presence of active credentials for former employees constitutes a live control failure.</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Audit Risk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For a SOC 2 Type I or Type II audit, active credentials belonging to former employees would constitute a significant exception. Persistent administrative access in production without compensating controls (logging, alerting, time-limiting) exposes client data and systems to unauthorised access. This is directly relevant to Brightpath’s managed services clients who rely on Brightpath personnel accessing their environments.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Immediately revoke all active credentials for former employees. Implement a formal access provisioning and deprovisioning workflow with defined timelines (access revocation within 24 hours of termination). Conduct a full AWS IAM entitlement review and enforce least-privilege. Implement quarterly access certification reviews and document results as audit evidence.</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S-003  —  No Vulnerability Detection or Incident Response Capability</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TSC Reference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CC7.1, CC7.3, CC7.4 — System Operations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Rating</w:t>
            </w:r>
          </w:p>
        </w:tc>
        <w:tc>
          <w:tcPr>
            <w:tcW w:type="dxa" w:w="74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No scheduled vulnerability scanning is performed on Brightpath’s infrastructure. AWS CloudTrail is enabled but logs are not reviewed on a scheduled basis and there is no automated alerting for anomalous activity. Security incidents are reported and handled ad hoc. No incident response plan, severity classification framework, or defined escalation path exists.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CC7.1 requires detection and monitoring for new vulnerabilities. CC7.3 requires evaluation of security events to determine whether they constitute incidents. CC7.4 requires documented procedures for responding to identified incidents. All three criteria are not met. The absence of structured vulnerability management and incident response would be a significant audit finding.</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Audit Risk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Without vulnerability scanning and incident detection, Brightpath has limited visibility of its own attack surface. A security incident affecting a managed services client — whether originating in Brightpath’s environment or detected in a client’s environment — would be handled without any structured playbook, increasing containment time and business impact.</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Implement a vulnerability management programme (monthly scanning as minimum). Configure AWS CloudWatch and CloudTrail alerting for defined security events (IAM changes, unusual API calls, failed authentication). Develop and test an Incident Response Plan with defined severity levels, roles, communication templates, and post-incident review requirements. Document all above as evidence for SOC 2 audit.</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S-004  —  No Vendor Risk Assessment Process (CC9.2)</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TSC Reference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CC9.2 — Risk Mitigation — Vendor and Business Partner Risk</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Rating</w:t>
            </w:r>
          </w:p>
        </w:tc>
        <w:tc>
          <w:tcPr>
            <w:tcW w:type="dxa" w:w="74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uses multiple third-party vendors for cloud hosting (AWS), productivity tools, and development tooling. No vendor risk assessments have been conducted. Supplier contracts contain no security requirements or data protection obligations. There is no register of vendors with access to client data or Brightpath production systems.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CC9.2 requires that the organisation assess and manage risks associated with vendors and business partners, particularly those with access to the systems or data in scope of the SOC 2 report. As a managed IT services provider, Brightpath’s own supply chain risk directly impacts the security posture of services delivered to its clients.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Audit Risk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 SOC 2 audit scoping exercise would identify vendor access as a material risk. If a vendor used by Brightpath experiences a security incident that affects Brightpath’s production environment or client data, the absence of any vendor risk management would be a significant audit exception. US-based clients often include supply chain security in their own audit requirements.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Develop a Vendor Risk Management Policy. Create a vendor register identifying all third parties with system or data access. Conduct risk-tiered assessments: high-risk vendors (access to client data or production systems) require security questionnaires or evidence of third-party attestation (e.g. SOC 2 report, ISO 27001 certificate). Include security clauses in all new vendor contracts.</w:t>
            </w:r>
          </w:p>
        </w:tc>
      </w:tr>
    </w:tbl>
    <w:p>
      <w:pPr>
        <w:spacing w:after="0" w:before="0" w:line="240"/>
      </w:pPr>
      <w:r>
        <w:t xml:space="preserve"/>
      </w:r>
    </w:p>
    <w:p>
      <w:r>
        <w:br w:type="page"/>
      </w:r>
    </w:p>
    <w:p>
      <w:pPr>
        <w:pStyle w:val="Heading1"/>
        <w:spacing w:after="120" w:before="320"/>
      </w:pPr>
      <w:r>
        <w:rPr>
          <w:rFonts w:ascii="Arial" w:cs="Arial" w:eastAsia="Arial" w:hAnsi="Arial"/>
          <w:b/>
          <w:bCs/>
          <w:color w:val="1B2A4A"/>
          <w:sz w:val="26"/>
          <w:szCs w:val="26"/>
        </w:rPr>
        <w:t xml:space="preserve">5.   Availability Criteria — Detailed Findings (A1)</w:t>
      </w:r>
    </w:p>
    <w:p>
      <w:pPr>
        <w:spacing w:after="140" w:before="0"/>
        <w:jc w:val="both"/>
      </w:pPr>
      <w:r>
        <w:rPr>
          <w:rFonts w:ascii="Arial" w:cs="Arial" w:eastAsia="Arial" w:hAnsi="Arial"/>
          <w:color w:val="1A1A1A"/>
          <w:sz w:val="20"/>
          <w:szCs w:val="20"/>
        </w:rPr>
        <w:t xml:space="preserve">The Availability category comprises three criteria covering capacity management, environmental threat protection, and recovery from disruptions. All three criteria are assessed as Not Met or Partially Met. The two Critical findings are presented below.</w:t>
      </w:r>
    </w:p>
    <w:p>
      <w:pPr>
        <w:pStyle w:val="Heading2"/>
        <w:spacing w:after="80" w:before="240"/>
      </w:pPr>
      <w:r>
        <w:rPr>
          <w:rFonts w:ascii="Arial" w:cs="Arial" w:eastAsia="Arial" w:hAnsi="Arial"/>
          <w:b/>
          <w:bCs/>
          <w:color w:val="1B2A4A"/>
          <w:sz w:val="22"/>
          <w:szCs w:val="22"/>
        </w:rPr>
        <w:t xml:space="preserve">5.1   Critical Findings — Availability</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A-001  —  No Defined System Availability Commitments or Capacity Management</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TSC Reference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A1.1 — Availability — Capacity and Performance</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Rating</w:t>
            </w:r>
          </w:p>
        </w:tc>
        <w:tc>
          <w:tcPr>
            <w:tcW w:type="dxa" w:w="74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provides managed IT services to US-based clients under contracts that include uptime expectations. However, no formal availability targets (SLAs) have been defined, documented, or mapped to internal monitoring and capacity management controls. AWS resource capacity is managed reactively. No formal capacity planning process exists.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A1.1 requires that the entity maintains current processing capacity and manages this against established availability targets. For a SOC 2 report covering Availability, the organisation must first define its availability commitments in a System Description and then demonstrate controls to meet those commitments. Neither the commitments nor the controls are currently formalised.</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Audit Risk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Without defined availability commitments and supporting controls, Brightpath cannot produce a System Description that accurately reflects its Availability commitments — a prerequisite for any SOC 2 audit scope covering the Availability category. Client contracts may already implicitly establish availability commitments that Brightpath is unable to demonstrate it meets.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Define and document availability commitments aligned to client contract SLAs. Develop a capacity management process including monitoring thresholds, escalation procedures, and periodic capacity reviews. Implement AWS CloudWatch dashboards tracking key availability metrics. Document this process as a foundational control for the A1 criteria.</w:t>
            </w:r>
          </w:p>
        </w:tc>
      </w:tr>
    </w:tbl>
    <w:p>
      <w:pPr>
        <w:spacing w:after="0" w:before="0" w:line="2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9638"/>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21"/>
                <w:szCs w:val="21"/>
              </w:rPr>
              <w:t xml:space="preserve">A-002  —  No Business Continuity or Disaster Recovery Plan</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TSC Reference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A1.3 — Availability — Recovery from Disruptions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Rating</w:t>
            </w:r>
          </w:p>
        </w:tc>
        <w:tc>
          <w:tcPr>
            <w:tcW w:type="dxa" w:w="7438"/>
            <w:tcBorders>
              <w:top w:val="single" w:color="CCCCCC" w:sz="1"/>
              <w:left w:val="single" w:color="CCCCCC" w:sz="1"/>
              <w:bottom w:val="single" w:color="CCCCCC" w:sz="1"/>
              <w:right w:val="single" w:color="CCCCCC" w:sz="1"/>
            </w:tcBorders>
            <w:shd w:fill="C0392B" w:val="clear"/>
            <w:tcMar>
              <w:top w:type="dxa" w:w="80"/>
              <w:left w:type="dxa" w:w="120"/>
              <w:bottom w:type="dxa" w:w="80"/>
              <w:right w:type="dxa" w:w="80"/>
            </w:tcMar>
          </w:tcPr>
          <w:p>
            <w:r>
              <w:rPr>
                <w:rFonts w:ascii="Arial" w:cs="Arial" w:eastAsia="Arial" w:hAnsi="Arial"/>
                <w:b/>
                <w:bCs/>
                <w:color w:val="FFFFFF"/>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Current State</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Brightpath has no documented Business Continuity Plan (BCP) or Disaster Recovery Plan (DRP). AWS backups are configured for some systems but have not been tested. There is no defined Recovery Time Objective (RTO) or Recovery Point Objective (RPO). In the event of a significant service disruption, there is no documented process for restoring services to clients.</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Gap Identified</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A1.3 requires that the entity recovers from environmental, technological, or other disruptions that could affect availability. This requires documented recovery procedures, defined RTOs and RPOs, tested backup and restore capabilities, and evidence that recovery procedures have been exercised. None of these elements are present.</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Audit Risk</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For a managed IT services provider, failure to recover from a disruption within client-expected timeframes creates direct contractual liability. An untested DR capability is effectively no capability — backup configurations that have never been validated may fail at the point of need. This is the highest-impact risk in the Availability category.</w:t>
            </w:r>
          </w:p>
        </w:tc>
      </w:tr>
      <w:tr>
        <w:tc>
          <w:tcPr>
            <w:tcW w:type="dxa" w:w="2200"/>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Recommendation</w:t>
            </w:r>
          </w:p>
        </w:tc>
        <w:tc>
          <w:tcPr>
            <w:tcW w:type="dxa" w:w="7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20"/>
                <w:szCs w:val="20"/>
              </w:rPr>
              <w:t xml:space="preserve">Define RTOs and RPOs for each service provided to clients, aligned to contractual obligations. Develop and document a BCP and DRP covering system failure, data loss, and loss of key personnel scenarios. Test backup restoration at minimum quarterly. Conduct a BCP tabletop exercise annually. Maintain test records as SOC 2 audit evidence.</w:t>
            </w:r>
          </w:p>
        </w:tc>
      </w:tr>
    </w:tbl>
    <w:p>
      <w:pPr>
        <w:spacing w:after="0" w:before="0" w:line="240"/>
      </w:pPr>
      <w:r>
        <w:t xml:space="preserve"/>
      </w:r>
    </w:p>
    <w:p>
      <w:pPr>
        <w:pStyle w:val="Heading3"/>
        <w:spacing w:after="60" w:before="180"/>
      </w:pPr>
      <w:r>
        <w:rPr>
          <w:rFonts w:ascii="Arial" w:cs="Arial" w:eastAsia="Arial" w:hAnsi="Arial"/>
          <w:b/>
          <w:bCs/>
          <w:color w:val="C8A951"/>
          <w:sz w:val="20"/>
          <w:szCs w:val="20"/>
        </w:rPr>
        <w:t xml:space="preserve">A1.2 — Environmental and Technological Threat Protection (Partially Met)</w:t>
      </w:r>
    </w:p>
    <w:p>
      <w:pPr>
        <w:spacing w:after="140" w:before="0"/>
        <w:jc w:val="both"/>
      </w:pPr>
      <w:r>
        <w:rPr>
          <w:rFonts w:ascii="Arial" w:cs="Arial" w:eastAsia="Arial" w:hAnsi="Arial"/>
          <w:color w:val="1A1A1A"/>
          <w:sz w:val="20"/>
          <w:szCs w:val="20"/>
        </w:rPr>
        <w:t xml:space="preserve">Brightpath operates a cloud-first AWS infrastructure which inherits AWS's physical and environmental controls. However, no formal assessment of environmental threats relevant to Brightpath's own premises (office infrastructure, staff laptops, development tooling) has been conducted. Basic endpoint protection is in place but not formally documented as a control within the SOC 2 context. This criterion is assessed as Partially Met with Medium priority. Remediation involves documenting the AWS shared responsibility model as a compensating control and formalising endpoint protection controls.</w:t>
      </w:r>
    </w:p>
    <w:p>
      <w:r>
        <w:br w:type="page"/>
      </w:r>
    </w:p>
    <w:p>
      <w:pPr>
        <w:pStyle w:val="Heading1"/>
        <w:spacing w:after="120" w:before="320"/>
      </w:pPr>
      <w:r>
        <w:rPr>
          <w:rFonts w:ascii="Arial" w:cs="Arial" w:eastAsia="Arial" w:hAnsi="Arial"/>
          <w:b/>
          <w:bCs/>
          <w:color w:val="1B2A4A"/>
          <w:sz w:val="26"/>
          <w:szCs w:val="26"/>
        </w:rPr>
        <w:t xml:space="preserve">6.   Criteria Assessment Summary</w:t>
      </w:r>
    </w:p>
    <w:p>
      <w:pPr>
        <w:spacing w:after="140" w:before="0"/>
        <w:jc w:val="both"/>
      </w:pPr>
      <w:r>
        <w:rPr>
          <w:rFonts w:ascii="Arial" w:cs="Arial" w:eastAsia="Arial" w:hAnsi="Arial"/>
          <w:color w:val="1A1A1A"/>
          <w:sz w:val="20"/>
          <w:szCs w:val="20"/>
        </w:rPr>
        <w:t xml:space="preserve">The table below presents the readiness status for all 30 in-scope Trust Services Criteria. Status: Met (green), Partially Met (amber), Not Met (red).</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600"/>
        <w:gridCol w:w="1638"/>
      </w:tblGrid>
      <w:tr>
        <w:tc>
          <w:tcPr>
            <w:tcW w:type="dxa" w:w="12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r>
              <w:rPr>
                <w:rFonts w:ascii="Arial" w:cs="Arial" w:eastAsia="Arial" w:hAnsi="Arial"/>
                <w:b/>
                <w:bCs/>
                <w:color w:val="FFFFFF"/>
                <w:sz w:val="18"/>
                <w:szCs w:val="18"/>
              </w:rPr>
              <w:t xml:space="preserve">Ref</w:t>
            </w:r>
          </w:p>
        </w:tc>
        <w:tc>
          <w:tcPr>
            <w:tcW w:type="dxa" w:w="5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Criteria Description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Status</w:t>
            </w:r>
          </w:p>
        </w:tc>
        <w:tc>
          <w:tcPr>
            <w:tcW w:type="dxa" w:w="1638"/>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Priority</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CC1  —  Control Environment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CC1.1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COSO Principle 1 — Commitment to integrity and ethical values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C8A951"/>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CC1.2</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COSO Principle 2 — Board independence and oversight</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CC1.3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COSO Principle 3 — Structures, reporting lines, authorities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C8A951"/>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CC1.4</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COSO Principle 4 — Competence and HR policies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8A951"/>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CC1.5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COSO Principle 5 — Accountability for internal control</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CC2  —  Communication and Information</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CC2.1</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Relevant quality information to support internal control</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8A951"/>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CC2.2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Internal communication of information security objectives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CC2.3</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Communication with external parties on security matters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8A951"/>
                <w:sz w:val="18"/>
                <w:szCs w:val="18"/>
              </w:rPr>
              <w:t xml:space="preserve">Medium</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CC3  —  Risk Assessment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CC3.1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Specify suitable objectives to identify and assess risk</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CC3.2</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Identify and analyse risks to achievement of objectives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CC3.3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Assess fraud risk</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CC3.4</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Identify and assess changes that could affect internal control</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CC4  —  Monitoring Activities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CC4.1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Conduct ongoing and/or separate evaluations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CC4.2</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Evaluate and communicate internal control deficiencies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CC5  —  Control Activities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CC5.1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Select and develop control activities to mitigate risks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CC5.2</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Select and develop general controls over technology</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CC5.3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Deploy control activities through policies and procedures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CC6  —  Logical and Physical Access Controls</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CC6.1</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Implement logical access security controls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CC6.2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Register and authorise new infrastructure and software</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CC6.3</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Authorise, modify and remove access to data and software</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CC6.4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Restrict physical access to information assets</w:t>
            </w:r>
          </w:p>
        </w:tc>
        <w:tc>
          <w:tcPr>
            <w:tcW w:type="dxa" w:w="1600"/>
            <w:tcBorders>
              <w:top w:val="single" w:color="CCCCCC" w:sz="1"/>
              <w:left w:val="single" w:color="CCCCCC" w:sz="1"/>
              <w:bottom w:val="single" w:color="CCCCCC" w:sz="1"/>
              <w:right w:val="single" w:color="CCCCCC" w:sz="1"/>
            </w:tcBorders>
            <w:shd w:fill="1E8449" w:val="clear"/>
            <w:tcMar>
              <w:top w:type="dxa" w:w="60"/>
              <w:left w:type="dxa" w:w="60"/>
              <w:bottom w:type="dxa" w:w="60"/>
              <w:right w:type="dxa" w:w="60"/>
            </w:tcMar>
          </w:tcPr>
          <w:p>
            <w:pPr>
              <w:jc w:val="center"/>
            </w:pPr>
            <w:r>
              <w:rPr>
                <w:rFonts w:ascii="Arial" w:cs="Arial" w:eastAsia="Arial" w:hAnsi="Arial"/>
                <w:b/>
                <w:bCs/>
                <w:color w:val="FFFFFF"/>
                <w:sz w:val="17"/>
                <w:szCs w:val="17"/>
              </w:rPr>
              <w:t xml:space="preserve">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val="false"/>
                <w:bCs w:val="false"/>
                <w:color w:val="666666"/>
                <w:sz w:val="18"/>
                <w:szCs w:val="18"/>
              </w:rPr>
              <w:t xml:space="preserve">—</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CC6.5</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Logical and physical access termination procedures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CC6.6</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Implement controls to prevent threats from outside the system</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CC6.7</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Restrict transmission and removal of information</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CC6.8</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Implement controls to prevent unauthorised software</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C8A951"/>
                <w:sz w:val="18"/>
                <w:szCs w:val="18"/>
              </w:rPr>
              <w:t xml:space="preserve">Medium</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CC7  —  System Operations</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CC7.1</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Detect and monitor for new vulnerabilities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CC7.2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Monitor system components for anomalous behaviour</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CC7.3</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Evaluate security events and determine whether incidents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CC7.4</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Respond to identified security incidents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CC7.5</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Identify and remediate root causes of incidents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CC8  —  Change Management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CC8.1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Authorise, design, develop, implement and maintain changes</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CC9  —  Risk Mitigation</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CC9.1</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Identify, select and develop risk mitigation activities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CC9.2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Assess vendor and business partner risk</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9638"/>
            <w:gridSpan w:val="4"/>
            <w:tcBorders>
              <w:top w:val="single" w:color="CCCCCC" w:sz="1"/>
              <w:left w:val="single" w:color="CCCCCC" w:sz="1"/>
              <w:bottom w:val="single" w:color="CCCCCC" w:sz="1"/>
              <w:right w:val="single" w:color="CCCCCC" w:sz="1"/>
            </w:tcBorders>
            <w:shd w:fill="EEF1F7" w:val="clear"/>
            <w:tcMar>
              <w:top w:type="dxa" w:w="80"/>
              <w:left w:type="dxa" w:w="120"/>
              <w:bottom w:type="dxa" w:w="80"/>
              <w:right w:type="dxa" w:w="80"/>
            </w:tcMar>
          </w:tcPr>
          <w:p>
            <w:r>
              <w:rPr>
                <w:rFonts w:ascii="Arial" w:cs="Arial" w:eastAsia="Arial" w:hAnsi="Arial"/>
                <w:b/>
                <w:bCs/>
                <w:color w:val="1B2A4A"/>
                <w:sz w:val="19"/>
                <w:szCs w:val="19"/>
              </w:rPr>
              <w:t xml:space="preserve">A1   —  Availability</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A1.1</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Maintain current processing capacity and meet availability commitments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B2A4A"/>
                <w:sz w:val="18"/>
                <w:szCs w:val="18"/>
              </w:rPr>
              <w:t xml:space="preserve">A1.2</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Environmental and technological threat protection for availability</w:t>
            </w:r>
          </w:p>
        </w:tc>
        <w:tc>
          <w:tcPr>
            <w:tcW w:type="dxa" w:w="1600"/>
            <w:tcBorders>
              <w:top w:val="single" w:color="CCCCCC" w:sz="1"/>
              <w:left w:val="single" w:color="CCCCCC" w:sz="1"/>
              <w:bottom w:val="single" w:color="CCCCCC" w:sz="1"/>
              <w:right w:val="single" w:color="CCCCCC" w:sz="1"/>
            </w:tcBorders>
            <w:shd w:fill="D3540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Partially Met</w:t>
            </w:r>
          </w:p>
        </w:tc>
        <w:tc>
          <w:tcPr>
            <w:tcW w:type="dxa" w:w="1638"/>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D35400"/>
                <w:sz w:val="18"/>
                <w:szCs w:val="18"/>
              </w:rPr>
              <w:t xml:space="preserve">High</w:t>
            </w:r>
          </w:p>
        </w:tc>
      </w:tr>
      <w:tr>
        <w:tc>
          <w:tcPr>
            <w:tcW w:type="dxa" w:w="1200"/>
            <w:tcBorders>
              <w:top w:val="single" w:color="CCCCCC" w:sz="1"/>
              <w:left w:val="single" w:color="CCCCCC" w:sz="1"/>
              <w:bottom w:val="single" w:color="CCCCCC" w:sz="1"/>
              <w:right w:val="single" w:color="CCCCCC" w:sz="1"/>
            </w:tcBorders>
            <w:shd w:fill="EEF1F7" w:val="clear"/>
            <w:tcMar>
              <w:top w:type="dxa" w:w="60"/>
              <w:left w:type="dxa" w:w="80"/>
              <w:bottom w:type="dxa" w:w="60"/>
              <w:right w:type="dxa" w:w="80"/>
            </w:tcMar>
          </w:tcPr>
          <w:p>
            <w:r>
              <w:rPr>
                <w:rFonts w:ascii="Arial" w:cs="Arial" w:eastAsia="Arial" w:hAnsi="Arial"/>
                <w:b/>
                <w:bCs/>
                <w:color w:val="1B2A4A"/>
                <w:sz w:val="18"/>
                <w:szCs w:val="18"/>
              </w:rPr>
              <w:t xml:space="preserve">A1.3</w:t>
            </w:r>
          </w:p>
        </w:tc>
        <w:tc>
          <w:tcPr>
            <w:tcW w:type="dxa" w:w="52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Recovery from system disruptions</w:t>
            </w:r>
          </w:p>
        </w:tc>
        <w:tc>
          <w:tcPr>
            <w:tcW w:type="dxa" w:w="1600"/>
            <w:tcBorders>
              <w:top w:val="single" w:color="CCCCCC" w:sz="1"/>
              <w:left w:val="single" w:color="CCCCCC" w:sz="1"/>
              <w:bottom w:val="single" w:color="CCCCCC" w:sz="1"/>
              <w:right w:val="single" w:color="CCCCCC" w:sz="1"/>
            </w:tcBorders>
            <w:shd w:fill="C0392B"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Not Met</w:t>
            </w:r>
          </w:p>
        </w:tc>
        <w:tc>
          <w:tcPr>
            <w:tcW w:type="dxa" w:w="1638"/>
            <w:tcBorders>
              <w:top w:val="single" w:color="CCCCCC" w:sz="1"/>
              <w:left w:val="single" w:color="CCCCCC" w:sz="1"/>
              <w:bottom w:val="single" w:color="CCCCCC" w:sz="1"/>
              <w:right w:val="single" w:color="CCCCCC" w:sz="1"/>
            </w:tcBorders>
            <w:shd w:fill="EEF1F7"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r>
    </w:tbl>
    <w:p>
      <w:r>
        <w:br w:type="page"/>
      </w:r>
    </w:p>
    <w:p>
      <w:pPr>
        <w:pStyle w:val="Heading1"/>
        <w:spacing w:after="120" w:before="320"/>
      </w:pPr>
      <w:r>
        <w:rPr>
          <w:rFonts w:ascii="Arial" w:cs="Arial" w:eastAsia="Arial" w:hAnsi="Arial"/>
          <w:b/>
          <w:bCs/>
          <w:color w:val="1B2A4A"/>
          <w:sz w:val="26"/>
          <w:szCs w:val="26"/>
        </w:rPr>
        <w:t xml:space="preserve">7.   Recommendations</w:t>
      </w:r>
    </w:p>
    <w:p>
      <w:pPr>
        <w:pStyle w:val="Heading2"/>
        <w:spacing w:after="80" w:before="240"/>
      </w:pPr>
      <w:r>
        <w:rPr>
          <w:rFonts w:ascii="Arial" w:cs="Arial" w:eastAsia="Arial" w:hAnsi="Arial"/>
          <w:b/>
          <w:bCs/>
          <w:color w:val="1B2A4A"/>
          <w:sz w:val="22"/>
          <w:szCs w:val="22"/>
        </w:rPr>
        <w:t xml:space="preserve">7.1   Immediate Actions (0 – 30 Days)</w:t>
      </w:r>
    </w:p>
    <w:p>
      <w:pPr>
        <w:spacing w:after="140" w:before="0"/>
        <w:jc w:val="both"/>
      </w:pPr>
      <w:r>
        <w:rPr>
          <w:rFonts w:ascii="Arial" w:cs="Arial" w:eastAsia="Arial" w:hAnsi="Arial"/>
          <w:color w:val="1A1A1A"/>
          <w:sz w:val="20"/>
          <w:szCs w:val="20"/>
        </w:rPr>
        <w:t xml:space="preserve">These actions address live control failures and audit-blocking gaps:</w:t>
      </w:r>
    </w:p>
    <w:p>
      <w:pPr>
        <w:pStyle w:val="ListParagraph"/>
        <w:numPr>
          <w:ilvl w:val="0"/>
          <w:numId w:val="2"/>
        </w:numPr>
        <w:spacing w:after="40" w:before="40"/>
      </w:pPr>
      <w:r>
        <w:rPr>
          <w:rFonts w:ascii="Arial" w:cs="Arial" w:eastAsia="Arial" w:hAnsi="Arial"/>
          <w:color w:val="1A1A1A"/>
          <w:sz w:val="20"/>
          <w:szCs w:val="20"/>
        </w:rPr>
        <w:t xml:space="preserve">Revoke all active credentials for former employees immediately. This is a live CC6.5 failure and cannot wait for a structured remediation programme.</w:t>
      </w:r>
    </w:p>
    <w:p>
      <w:pPr>
        <w:pStyle w:val="ListParagraph"/>
        <w:numPr>
          <w:ilvl w:val="0"/>
          <w:numId w:val="2"/>
        </w:numPr>
        <w:spacing w:after="40" w:before="40"/>
      </w:pPr>
      <w:r>
        <w:rPr>
          <w:rFonts w:ascii="Arial" w:cs="Arial" w:eastAsia="Arial" w:hAnsi="Arial"/>
          <w:color w:val="1A1A1A"/>
          <w:sz w:val="20"/>
          <w:szCs w:val="20"/>
        </w:rPr>
        <w:t xml:space="preserve">Designate a SOC 2 programme owner with authority to drive remediation across the organisation.</w:t>
      </w:r>
    </w:p>
    <w:p>
      <w:pPr>
        <w:pStyle w:val="ListParagraph"/>
        <w:numPr>
          <w:ilvl w:val="0"/>
          <w:numId w:val="2"/>
        </w:numPr>
        <w:spacing w:after="40" w:before="40"/>
      </w:pPr>
      <w:r>
        <w:rPr>
          <w:rFonts w:ascii="Arial" w:cs="Arial" w:eastAsia="Arial" w:hAnsi="Arial"/>
          <w:color w:val="1A1A1A"/>
          <w:sz w:val="20"/>
          <w:szCs w:val="20"/>
        </w:rPr>
        <w:t xml:space="preserve">Define and document the SOC 2 system description — the boundary of systems, services, and personnel in scope of the report. This is required before any audit can be scoped.</w:t>
      </w:r>
    </w:p>
    <w:p>
      <w:pPr>
        <w:pStyle w:val="ListParagraph"/>
        <w:numPr>
          <w:ilvl w:val="0"/>
          <w:numId w:val="2"/>
        </w:numPr>
        <w:spacing w:after="40" w:before="40"/>
      </w:pPr>
      <w:r>
        <w:rPr>
          <w:rFonts w:ascii="Arial" w:cs="Arial" w:eastAsia="Arial" w:hAnsi="Arial"/>
          <w:color w:val="1A1A1A"/>
          <w:sz w:val="20"/>
          <w:szCs w:val="20"/>
        </w:rPr>
        <w:t xml:space="preserve">Initiate the risk assessment process (aligning with ISO 27001 risk assessment in RCA-P1-002, F-003) to satisfy CC3 criteria.</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7.2   Short-Term Actions (30 – 90 Days)</w:t>
      </w:r>
    </w:p>
    <w:p>
      <w:pPr>
        <w:pStyle w:val="ListParagraph"/>
        <w:numPr>
          <w:ilvl w:val="0"/>
          <w:numId w:val="2"/>
        </w:numPr>
        <w:spacing w:after="40" w:before="40"/>
      </w:pPr>
      <w:r>
        <w:rPr>
          <w:rFonts w:ascii="Arial" w:cs="Arial" w:eastAsia="Arial" w:hAnsi="Arial"/>
          <w:color w:val="1A1A1A"/>
          <w:sz w:val="20"/>
          <w:szCs w:val="20"/>
        </w:rPr>
        <w:t xml:space="preserve">Implement a formal access provisioning and deprovisioning workflow with documented evidence trail (CC6.1, CC6.3, CC6.5).</w:t>
      </w:r>
    </w:p>
    <w:p>
      <w:pPr>
        <w:pStyle w:val="ListParagraph"/>
        <w:numPr>
          <w:ilvl w:val="0"/>
          <w:numId w:val="2"/>
        </w:numPr>
        <w:spacing w:after="40" w:before="40"/>
      </w:pPr>
      <w:r>
        <w:rPr>
          <w:rFonts w:ascii="Arial" w:cs="Arial" w:eastAsia="Arial" w:hAnsi="Arial"/>
          <w:color w:val="1A1A1A"/>
          <w:sz w:val="20"/>
          <w:szCs w:val="20"/>
        </w:rPr>
        <w:t xml:space="preserve">Deploy AWS CloudWatch and CloudTrail alerting for defined security events — configure as SOC 2 monitoring controls (CC7.2, CC7.3).</w:t>
      </w:r>
    </w:p>
    <w:p>
      <w:pPr>
        <w:pStyle w:val="ListParagraph"/>
        <w:numPr>
          <w:ilvl w:val="0"/>
          <w:numId w:val="2"/>
        </w:numPr>
        <w:spacing w:after="40" w:before="40"/>
      </w:pPr>
      <w:r>
        <w:rPr>
          <w:rFonts w:ascii="Arial" w:cs="Arial" w:eastAsia="Arial" w:hAnsi="Arial"/>
          <w:color w:val="1A1A1A"/>
          <w:sz w:val="20"/>
          <w:szCs w:val="20"/>
        </w:rPr>
        <w:t xml:space="preserve">Define client availability commitments (SLAs) and map these to internal monitoring controls (A1.1).</w:t>
      </w:r>
    </w:p>
    <w:p>
      <w:pPr>
        <w:pStyle w:val="ListParagraph"/>
        <w:numPr>
          <w:ilvl w:val="0"/>
          <w:numId w:val="2"/>
        </w:numPr>
        <w:spacing w:after="40" w:before="40"/>
      </w:pPr>
      <w:r>
        <w:rPr>
          <w:rFonts w:ascii="Arial" w:cs="Arial" w:eastAsia="Arial" w:hAnsi="Arial"/>
          <w:color w:val="1A1A1A"/>
          <w:sz w:val="20"/>
          <w:szCs w:val="20"/>
        </w:rPr>
        <w:t xml:space="preserve">Develop a vendor register and initiate security assessments for critical vendors (CC9.2).</w:t>
      </w:r>
    </w:p>
    <w:p>
      <w:pPr>
        <w:pStyle w:val="ListParagraph"/>
        <w:numPr>
          <w:ilvl w:val="0"/>
          <w:numId w:val="2"/>
        </w:numPr>
        <w:spacing w:after="40" w:before="40"/>
      </w:pPr>
      <w:r>
        <w:rPr>
          <w:rFonts w:ascii="Arial" w:cs="Arial" w:eastAsia="Arial" w:hAnsi="Arial"/>
          <w:color w:val="1A1A1A"/>
          <w:sz w:val="20"/>
          <w:szCs w:val="20"/>
        </w:rPr>
        <w:t xml:space="preserve">Draft and implement an Incident Response Plan covering SOC 2 relevant events (CC7.4).</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7.3   Medium-Term Actions (90 – 180 Days)</w:t>
      </w:r>
    </w:p>
    <w:p>
      <w:pPr>
        <w:pStyle w:val="ListParagraph"/>
        <w:numPr>
          <w:ilvl w:val="0"/>
          <w:numId w:val="2"/>
        </w:numPr>
        <w:spacing w:after="40" w:before="40"/>
      </w:pPr>
      <w:r>
        <w:rPr>
          <w:rFonts w:ascii="Arial" w:cs="Arial" w:eastAsia="Arial" w:hAnsi="Arial"/>
          <w:color w:val="1A1A1A"/>
          <w:sz w:val="20"/>
          <w:szCs w:val="20"/>
        </w:rPr>
        <w:t xml:space="preserve">Implement a vulnerability management programme with monthly scanning and defined remediation SLAs (CC7.1).</w:t>
      </w:r>
    </w:p>
    <w:p>
      <w:pPr>
        <w:pStyle w:val="ListParagraph"/>
        <w:numPr>
          <w:ilvl w:val="0"/>
          <w:numId w:val="2"/>
        </w:numPr>
        <w:spacing w:after="40" w:before="40"/>
      </w:pPr>
      <w:r>
        <w:rPr>
          <w:rFonts w:ascii="Arial" w:cs="Arial" w:eastAsia="Arial" w:hAnsi="Arial"/>
          <w:color w:val="1A1A1A"/>
          <w:sz w:val="20"/>
          <w:szCs w:val="20"/>
        </w:rPr>
        <w:t xml:space="preserve">Develop and test a Business Continuity Plan and Disaster Recovery Plan with documented test results (A1.3).</w:t>
      </w:r>
    </w:p>
    <w:p>
      <w:pPr>
        <w:pStyle w:val="ListParagraph"/>
        <w:numPr>
          <w:ilvl w:val="0"/>
          <w:numId w:val="2"/>
        </w:numPr>
        <w:spacing w:after="40" w:before="40"/>
      </w:pPr>
      <w:r>
        <w:rPr>
          <w:rFonts w:ascii="Arial" w:cs="Arial" w:eastAsia="Arial" w:hAnsi="Arial"/>
          <w:color w:val="1A1A1A"/>
          <w:sz w:val="20"/>
          <w:szCs w:val="20"/>
        </w:rPr>
        <w:t xml:space="preserve">Implement quarterly access certification reviews with documented management sign-off (CC6.3).</w:t>
      </w:r>
    </w:p>
    <w:p>
      <w:pPr>
        <w:pStyle w:val="ListParagraph"/>
        <w:numPr>
          <w:ilvl w:val="0"/>
          <w:numId w:val="2"/>
        </w:numPr>
        <w:spacing w:after="40" w:before="40"/>
      </w:pPr>
      <w:r>
        <w:rPr>
          <w:rFonts w:ascii="Arial" w:cs="Arial" w:eastAsia="Arial" w:hAnsi="Arial"/>
          <w:color w:val="1A1A1A"/>
          <w:sz w:val="20"/>
          <w:szCs w:val="20"/>
        </w:rPr>
        <w:t xml:space="preserve">Conduct a SOC 2 control design walkthrough to validate evidence readiness for Type I audit.</w:t>
      </w:r>
    </w:p>
    <w:p>
      <w:pPr>
        <w:pStyle w:val="ListParagraph"/>
        <w:numPr>
          <w:ilvl w:val="0"/>
          <w:numId w:val="2"/>
        </w:numPr>
        <w:spacing w:after="40" w:before="40"/>
      </w:pPr>
      <w:r>
        <w:rPr>
          <w:rFonts w:ascii="Arial" w:cs="Arial" w:eastAsia="Arial" w:hAnsi="Arial"/>
          <w:color w:val="1A1A1A"/>
          <w:sz w:val="20"/>
          <w:szCs w:val="20"/>
        </w:rPr>
        <w:t xml:space="preserve">Embed security requirements into all new supplier contracts (CC9.2).</w:t>
      </w:r>
    </w:p>
    <w:p>
      <w:pPr>
        <w:spacing w:after="0" w:before="0" w:line="160"/>
      </w:pPr>
      <w:r>
        <w:t xml:space="preserve"/>
      </w:r>
    </w:p>
    <w:p>
      <w:pPr>
        <w:pStyle w:val="Heading2"/>
        <w:spacing w:after="80" w:before="240"/>
      </w:pPr>
      <w:r>
        <w:rPr>
          <w:rFonts w:ascii="Arial" w:cs="Arial" w:eastAsia="Arial" w:hAnsi="Arial"/>
          <w:b/>
          <w:bCs/>
          <w:color w:val="1B2A4A"/>
          <w:sz w:val="22"/>
          <w:szCs w:val="22"/>
        </w:rPr>
        <w:t xml:space="preserve">7.4   Type I Audit Preparation (180 Days Onwards)</w:t>
      </w:r>
    </w:p>
    <w:p>
      <w:pPr>
        <w:pStyle w:val="ListParagraph"/>
        <w:numPr>
          <w:ilvl w:val="0"/>
          <w:numId w:val="2"/>
        </w:numPr>
        <w:spacing w:after="40" w:before="40"/>
      </w:pPr>
      <w:r>
        <w:rPr>
          <w:rFonts w:ascii="Arial" w:cs="Arial" w:eastAsia="Arial" w:hAnsi="Arial"/>
          <w:color w:val="1A1A1A"/>
          <w:sz w:val="20"/>
          <w:szCs w:val="20"/>
        </w:rPr>
        <w:t xml:space="preserve">Commission a pre-audit readiness review with an independent assessor to validate control design.</w:t>
      </w:r>
    </w:p>
    <w:p>
      <w:pPr>
        <w:pStyle w:val="ListParagraph"/>
        <w:numPr>
          <w:ilvl w:val="0"/>
          <w:numId w:val="2"/>
        </w:numPr>
        <w:spacing w:after="40" w:before="40"/>
      </w:pPr>
      <w:r>
        <w:rPr>
          <w:rFonts w:ascii="Arial" w:cs="Arial" w:eastAsia="Arial" w:hAnsi="Arial"/>
          <w:color w:val="1A1A1A"/>
          <w:sz w:val="20"/>
          <w:szCs w:val="20"/>
        </w:rPr>
        <w:t xml:space="preserve">Compile the System Description document, including service commitments, system components, and control environment narrative.</w:t>
      </w:r>
    </w:p>
    <w:p>
      <w:pPr>
        <w:pStyle w:val="ListParagraph"/>
        <w:numPr>
          <w:ilvl w:val="0"/>
          <w:numId w:val="2"/>
        </w:numPr>
        <w:spacing w:after="40" w:before="40"/>
      </w:pPr>
      <w:r>
        <w:rPr>
          <w:rFonts w:ascii="Arial" w:cs="Arial" w:eastAsia="Arial" w:hAnsi="Arial"/>
          <w:color w:val="1A1A1A"/>
          <w:sz w:val="20"/>
          <w:szCs w:val="20"/>
        </w:rPr>
        <w:t xml:space="preserve">Engage a licensed CPA firm with SOC 2 audit capability for the Type I engagement.</w:t>
      </w:r>
    </w:p>
    <w:p>
      <w:pPr>
        <w:pStyle w:val="ListParagraph"/>
        <w:numPr>
          <w:ilvl w:val="0"/>
          <w:numId w:val="2"/>
        </w:numPr>
        <w:spacing w:after="40" w:before="40"/>
      </w:pPr>
      <w:r>
        <w:rPr>
          <w:rFonts w:ascii="Arial" w:cs="Arial" w:eastAsia="Arial" w:hAnsi="Arial"/>
          <w:color w:val="1A1A1A"/>
          <w:sz w:val="20"/>
          <w:szCs w:val="20"/>
        </w:rPr>
        <w:t xml:space="preserve">Plan the Type II observation period commencement immediately after Type I audit completion.</w:t>
      </w:r>
    </w:p>
    <w:p>
      <w:pPr>
        <w:spacing w:after="0" w:before="0" w:line="160"/>
      </w:pPr>
      <w:r>
        <w:t xml:space="preserve"/>
      </w:r>
    </w:p>
    <w:p>
      <w:pPr>
        <w:pStyle w:val="Heading1"/>
        <w:spacing w:after="120" w:before="320"/>
      </w:pPr>
      <w:r>
        <w:rPr>
          <w:rFonts w:ascii="Arial" w:cs="Arial" w:eastAsia="Arial" w:hAnsi="Arial"/>
          <w:b/>
          <w:bCs/>
          <w:color w:val="1B2A4A"/>
          <w:sz w:val="26"/>
          <w:szCs w:val="26"/>
        </w:rPr>
        <w:t xml:space="preserve">8.   Conclusion</w:t>
      </w:r>
    </w:p>
    <w:p>
      <w:pPr>
        <w:spacing w:after="140" w:before="0"/>
        <w:jc w:val="both"/>
      </w:pPr>
      <w:r>
        <w:rPr>
          <w:rFonts w:ascii="Arial" w:cs="Arial" w:eastAsia="Arial" w:hAnsi="Arial"/>
          <w:color w:val="1A1A1A"/>
          <w:sz w:val="20"/>
          <w:szCs w:val="20"/>
        </w:rPr>
        <w:t xml:space="preserve">This assessment has established that Brightpath Technologies is at an early stage of SOC 2 readiness. The organisation has the underlying infrastructure to build a compliant control environment, but the governance structures, documented processes, and audit evidence required by the AICPA Trust Services Criteria are not yet in place.</w:t>
      </w:r>
    </w:p>
    <w:p>
      <w:pPr>
        <w:spacing w:after="140" w:before="0"/>
        <w:jc w:val="both"/>
      </w:pPr>
      <w:r>
        <w:rPr>
          <w:rFonts w:ascii="Arial" w:cs="Arial" w:eastAsia="Arial" w:hAnsi="Arial"/>
          <w:color w:val="1A1A1A"/>
          <w:sz w:val="20"/>
          <w:szCs w:val="20"/>
        </w:rPr>
        <w:t xml:space="preserve">The Availability category presents the most acute gap. As a managed IT services provider, Brightpath’s ability to demonstrate service availability commitments and recovery capability is central to its client value proposition. Addressing the A1 criteria gaps is therefore both a compliance objective and a commercial imperative.</w:t>
      </w:r>
    </w:p>
    <w:p>
      <w:pPr>
        <w:spacing w:after="140" w:before="0"/>
        <w:jc w:val="both"/>
      </w:pPr>
      <w:r>
        <w:rPr>
          <w:rFonts w:ascii="Arial" w:cs="Arial" w:eastAsia="Arial" w:hAnsi="Arial"/>
          <w:color w:val="1A1A1A"/>
          <w:sz w:val="20"/>
          <w:szCs w:val="20"/>
        </w:rPr>
        <w:t xml:space="preserve">The path to SOC 2 Type I readiness is achievable within 9 to 12 months of active remediation. Brightpath should treat the SOC 2 programme and the ISO 27001 ISMS implementation as complementary initiatives, leveraging the significant overlap between the two frameworks to maximise efficiency and minimise duplication of effort. The Remediation Roadmap (RCA-P1-006) consolidates actions from both frameworks into a single prioritised plan.</w:t>
      </w:r>
    </w:p>
    <w:p>
      <w:pPr>
        <w:spacing w:after="0" w:before="0" w:line="160"/>
      </w:pPr>
      <w:r>
        <w:t xml:space="preserve"/>
      </w:r>
    </w:p>
    <w:p>
      <w:r>
        <w:br w:type="page"/>
      </w:r>
    </w:p>
    <w:p>
      <w:pPr>
        <w:pStyle w:val="Heading1"/>
        <w:spacing w:after="120" w:before="320"/>
      </w:pPr>
      <w:r>
        <w:rPr>
          <w:rFonts w:ascii="Arial" w:cs="Arial" w:eastAsia="Arial" w:hAnsi="Arial"/>
          <w:b/>
          <w:bCs/>
          <w:color w:val="1B2A4A"/>
          <w:sz w:val="26"/>
          <w:szCs w:val="26"/>
        </w:rPr>
        <w:t xml:space="preserve">Appendix A — SOC 2 and ISO 27001 Control Mapping</w:t>
      </w:r>
    </w:p>
    <w:p>
      <w:pPr>
        <w:spacing w:after="140" w:before="0"/>
        <w:jc w:val="both"/>
      </w:pPr>
      <w:r>
        <w:rPr>
          <w:rFonts w:ascii="Arial" w:cs="Arial" w:eastAsia="Arial" w:hAnsi="Arial"/>
          <w:color w:val="1A1A1A"/>
          <w:sz w:val="20"/>
          <w:szCs w:val="20"/>
        </w:rPr>
        <w:t xml:space="preserve">The table below illustrates the primary areas of overlap between the SOC 2 Trust Services Criteria (Security category) and ISO 27001:2022 Annex A. Where a single remediation action satisfies requirements under both frameworks, this is noted in the Remediation Roadmap (RCA-P1-006).</w:t>
      </w:r>
    </w:p>
    <w:p>
      <w:pPr>
        <w:spacing w:after="0" w:before="0" w:lin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238"/>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SOC 2 Criteria</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ISO 27001:2022 Ref</w:t>
            </w:r>
          </w:p>
        </w:tc>
        <w:tc>
          <w:tcPr>
            <w:tcW w:type="dxa" w:w="52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8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CC3.1 – CC3.4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Clause 6.1.2, 6.1.3</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666666"/>
                <w:sz w:val="18"/>
                <w:szCs w:val="18"/>
              </w:rPr>
              <w:t xml:space="preserve">Risk assessment and risk treatment — directly aligned</w:t>
            </w:r>
          </w:p>
        </w:tc>
      </w:tr>
      <w:tr>
        <w:tc>
          <w:tcPr>
            <w:tcW w:type="dxa" w:w="1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CC6.1, CC6.3</w:t>
            </w:r>
          </w:p>
        </w:tc>
        <w:tc>
          <w:tcPr>
            <w:tcW w:type="dxa" w:w="26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A.5.15, A.5.18, A.8.2</w:t>
            </w:r>
          </w:p>
        </w:tc>
        <w:tc>
          <w:tcPr>
            <w:tcW w:type="dxa" w:w="5238"/>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666666"/>
                <w:sz w:val="18"/>
                <w:szCs w:val="18"/>
              </w:rPr>
              <w:t xml:space="preserve">Access control policy, access rights management, privileged access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CC6.5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A.6.5</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666666"/>
                <w:sz w:val="18"/>
                <w:szCs w:val="18"/>
              </w:rPr>
              <w:t xml:space="preserve">Termination and offboarding procedures</w:t>
            </w:r>
          </w:p>
        </w:tc>
      </w:tr>
      <w:tr>
        <w:tc>
          <w:tcPr>
            <w:tcW w:type="dxa" w:w="1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CC7.1</w:t>
            </w:r>
          </w:p>
        </w:tc>
        <w:tc>
          <w:tcPr>
            <w:tcW w:type="dxa" w:w="26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A.8.8</w:t>
            </w:r>
          </w:p>
        </w:tc>
        <w:tc>
          <w:tcPr>
            <w:tcW w:type="dxa" w:w="5238"/>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666666"/>
                <w:sz w:val="18"/>
                <w:szCs w:val="18"/>
              </w:rPr>
              <w:t xml:space="preserve">Vulnerability management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CC7.3, CC7.4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A.5.24, A.5.25, A.5.26</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666666"/>
                <w:sz w:val="18"/>
                <w:szCs w:val="18"/>
              </w:rPr>
              <w:t xml:space="preserve">Incident response planning and management</w:t>
            </w:r>
          </w:p>
        </w:tc>
      </w:tr>
      <w:tr>
        <w:tc>
          <w:tcPr>
            <w:tcW w:type="dxa" w:w="1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CC9.2</w:t>
            </w:r>
          </w:p>
        </w:tc>
        <w:tc>
          <w:tcPr>
            <w:tcW w:type="dxa" w:w="26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A.5.19, A.5.20, A.5.21</w:t>
            </w:r>
          </w:p>
        </w:tc>
        <w:tc>
          <w:tcPr>
            <w:tcW w:type="dxa" w:w="5238"/>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666666"/>
                <w:sz w:val="18"/>
                <w:szCs w:val="18"/>
              </w:rPr>
              <w:t xml:space="preserve">Supplier and third-party risk management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A1.1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A.5.29, A.5.30</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666666"/>
                <w:sz w:val="18"/>
                <w:szCs w:val="18"/>
              </w:rPr>
              <w:t xml:space="preserve">Business continuity and ICT readiness</w:t>
            </w:r>
          </w:p>
        </w:tc>
      </w:tr>
      <w:tr>
        <w:tc>
          <w:tcPr>
            <w:tcW w:type="dxa" w:w="1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A1.3</w:t>
            </w:r>
          </w:p>
        </w:tc>
        <w:tc>
          <w:tcPr>
            <w:tcW w:type="dxa" w:w="26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A.5.29</w:t>
            </w:r>
          </w:p>
        </w:tc>
        <w:tc>
          <w:tcPr>
            <w:tcW w:type="dxa" w:w="5238"/>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666666"/>
                <w:sz w:val="18"/>
                <w:szCs w:val="18"/>
              </w:rPr>
              <w:t xml:space="preserve">Recovery from disruption / business continuity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1B2A4A"/>
                <w:sz w:val="18"/>
                <w:szCs w:val="18"/>
              </w:rPr>
              <w:t xml:space="preserve">CC8.1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18"/>
                <w:szCs w:val="18"/>
              </w:rPr>
              <w:t xml:space="preserve">A.8.32</w:t>
            </w:r>
          </w:p>
        </w:tc>
        <w:tc>
          <w:tcPr>
            <w:tcW w:type="dxa" w:w="52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666666"/>
                <w:sz w:val="18"/>
                <w:szCs w:val="18"/>
              </w:rPr>
              <w:t xml:space="preserve">Change management</w:t>
            </w:r>
          </w:p>
        </w:tc>
      </w:tr>
      <w:tr>
        <w:tc>
          <w:tcPr>
            <w:tcW w:type="dxa" w:w="18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b/>
                <w:bCs/>
                <w:color w:val="1B2A4A"/>
                <w:sz w:val="18"/>
                <w:szCs w:val="18"/>
              </w:rPr>
              <w:t xml:space="preserve">CC2.2</w:t>
            </w:r>
          </w:p>
        </w:tc>
        <w:tc>
          <w:tcPr>
            <w:tcW w:type="dxa" w:w="2600"/>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1A1A1A"/>
                <w:sz w:val="18"/>
                <w:szCs w:val="18"/>
              </w:rPr>
              <w:t xml:space="preserve">A.5.1, Clause 5.2</w:t>
            </w:r>
          </w:p>
        </w:tc>
        <w:tc>
          <w:tcPr>
            <w:tcW w:type="dxa" w:w="5238"/>
            <w:tcBorders>
              <w:top w:val="single" w:color="CCCCCC" w:sz="1"/>
              <w:left w:val="single" w:color="CCCCCC" w:sz="1"/>
              <w:bottom w:val="single" w:color="CCCCCC" w:sz="1"/>
              <w:right w:val="single" w:color="CCCCCC" w:sz="1"/>
            </w:tcBorders>
            <w:shd w:fill="EEF1F7" w:val="clear"/>
            <w:tcMar>
              <w:top w:type="dxa" w:w="60"/>
              <w:left w:type="dxa" w:w="120"/>
              <w:bottom w:type="dxa" w:w="60"/>
              <w:right w:type="dxa" w:w="80"/>
            </w:tcMar>
          </w:tcPr>
          <w:p>
            <w:r>
              <w:rPr>
                <w:rFonts w:ascii="Arial" w:cs="Arial" w:eastAsia="Arial" w:hAnsi="Arial"/>
                <w:color w:val="666666"/>
                <w:sz w:val="18"/>
                <w:szCs w:val="18"/>
              </w:rPr>
              <w:t xml:space="preserve">Internal communication of security policies and objectives</w:t>
            </w:r>
          </w:p>
        </w:tc>
      </w:tr>
    </w:tbl>
    <w:sectPr>
      <w:headerReference w:type="default" r:id="rId7"/>
      <w:footerReference w:type="default" r:id="rId8"/>
      <w:pgSz w:w="11906" w:h="16838" w:orient="portrait"/>
      <w:pgMar w:top="1800" w:right="1134" w:bottom="16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8A951" w:sz="6" w:space="1"/>
      </w:pBdr>
      <w:spacing w:after="80" w:before="0"/>
    </w:pPr>
    <w:r>
      <w:t xml:space="preserve"/>
    </w:r>
  </w:p>
  <w:p>
    <w:pPr>
      <w:tabs>
        <w:tab w:val="center" w:pos="4819"/>
        <w:tab w:val="right" w:pos="9638"/>
      </w:tabs>
      <w:spacing w:after="0" w:before="40"/>
    </w:pPr>
    <w:r>
      <w:rPr>
        <w:rFonts w:ascii="Arial" w:cs="Arial" w:eastAsia="Arial" w:hAnsi="Arial"/>
        <w:color w:val="666666"/>
        <w:sz w:val="16"/>
        <w:szCs w:val="16"/>
      </w:rPr>
      <w:t xml:space="preserve">Resolute Compliance Advisory LLP  ·  RCA-P1-003  ·  v1.0</w:t>
    </w:r>
    <w:r>
      <w:rPr>
        <w:rFonts w:ascii="Arial" w:cs="Arial" w:eastAsia="Arial" w:hAnsi="Arial"/>
        <w:color w:val="1A1A1A"/>
        <w:sz w:val="16"/>
        <w:szCs w:val="16"/>
      </w:rPr>
      <w:t xml:space="preserve">	</w:t>
    </w:r>
    <w:r>
      <w:rPr>
        <w:rFonts w:ascii="Arial" w:cs="Arial" w:eastAsia="Arial" w:hAnsi="Arial"/>
        <w:b/>
        <w:bCs/>
        <w:color w:val="1B2A4A"/>
        <w:sz w:val="16"/>
        <w:szCs w:val="16"/>
      </w:rPr>
      <w:t xml:space="preserve">CONFIDENTIAL</w:t>
    </w:r>
    <w:r>
      <w:rPr>
        <w:rFonts w:ascii="Arial" w:cs="Arial" w:eastAsia="Arial" w:hAnsi="Arial"/>
        <w:color w:val="1A1A1A"/>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left w:val="none"/>
        <w:bottom w:val="none"/>
        <w:right w:val="none"/>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B2A4A" w:val="clear"/>
          <w:tcMar>
            <w:top w:type="dxa" w:w="100"/>
            <w:left w:type="dxa" w:w="160"/>
            <w:bottom w:type="dxa" w:w="100"/>
            <w:right w:type="dxa" w:w="80"/>
          </w:tcMar>
          <w:vAlign w:val="center"/>
        </w:tcPr>
        <w:p>
          <w:r>
            <w:rPr>
              <w:rFonts w:ascii="Arial" w:cs="Arial" w:eastAsia="Arial" w:hAnsi="Arial"/>
              <w:b/>
              <w:bCs/>
              <w:color w:val="C8A951"/>
              <w:sz w:val="26"/>
              <w:szCs w:val="26"/>
            </w:rPr>
            <w:t xml:space="preserve">RESOLUTE</w:t>
          </w:r>
        </w:p>
        <w:p>
          <w:r>
            <w:rPr>
              <w:rFonts w:ascii="Arial" w:cs="Arial" w:eastAsia="Arial" w:hAnsi="Arial"/>
              <w:b/>
              <w:bCs/>
              <w:color w:val="FFFFFF"/>
              <w:sz w:val="18"/>
              <w:szCs w:val="18"/>
            </w:rPr>
            <w:t xml:space="preserve">COMPLIANCE ADVISORY  LLP</w:t>
          </w:r>
        </w:p>
      </w:tc>
      <w:tc>
        <w:tcPr>
          <w:tcW w:type="dxa" w:w="2800"/>
          <w:tcBorders>
            <w:top w:val="none" w:color="FFFFFF" w:sz="0"/>
            <w:left w:val="none" w:color="FFFFFF" w:sz="0"/>
            <w:bottom w:val="none" w:color="FFFFFF" w:sz="0"/>
            <w:right w:val="none" w:color="FFFFFF" w:sz="0"/>
          </w:tcBorders>
          <w:shd w:fill="C8A951" w:val="clear"/>
          <w:tcMar>
            <w:top w:type="dxa" w:w="100"/>
            <w:left w:type="dxa" w:w="120"/>
            <w:bottom w:type="dxa" w:w="100"/>
            <w:right w:type="dxa" w:w="120"/>
          </w:tcMar>
          <w:vAlign w:val="center"/>
        </w:tcPr>
        <w:p>
          <w:pPr>
            <w:jc w:val="center"/>
          </w:pPr>
          <w:r>
            <w:rPr>
              <w:rFonts w:ascii="Arial" w:cs="Arial" w:eastAsia="Arial" w:hAnsi="Arial"/>
              <w:color w:val="1B2A4A"/>
              <w:sz w:val="16"/>
              <w:szCs w:val="16"/>
            </w:rPr>
            <w:t xml:space="preserve">Governance · Risk · Compliance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B2A4A"/>
      <w:sz w:val="22"/>
      <w:szCs w:val="22"/>
    </w:rPr>
  </w:style>
  <w:style w:type="paragraph" w:styleId="Heading3">
    <w:name w:val="Heading 3"/>
    <w:basedOn w:val="Normal"/>
    <w:next w:val="Normal"/>
    <w:qFormat/>
    <w:pPr>
      <w:spacing w:after="60" w:before="180"/>
      <w:outlineLvl w:val="2"/>
    </w:pPr>
    <w:rPr>
      <w:rFonts w:ascii="Arial" w:cs="Arial" w:eastAsia="Arial" w:hAnsi="Arial"/>
      <w:b/>
      <w:bCs/>
      <w:color w:val="C8A9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2026-06-20T11:20:25.620Z</dcterms:created>
  <dcterms:modified xsi:type="dcterms:W3CDTF">2026-06-20T11:20:25.633Z</dcterms:modified>
</cp:coreProperties>
</file>

<file path=docProps/custom.xml><?xml version="1.0" encoding="utf-8"?>
<Properties xmlns="http://schemas.openxmlformats.org/officeDocument/2006/custom-properties" xmlns:vt="http://schemas.openxmlformats.org/officeDocument/2006/docPropsVTypes"/>
</file>