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B2A4A" w:val="clear"/>
            <w:tcMar>
              <w:top w:type="dxa" w:w="320"/>
              <w:left w:type="dxa" w:w="300"/>
              <w:bottom w:type="dxa" w:w="320"/>
              <w:right w:type="dxa" w:w="300"/>
            </w:tcMar>
          </w:tcPr>
          <w:p>
            <w:pPr>
              <w:spacing w:after="60"/>
            </w:pPr>
            <w:r>
              <w:rPr>
                <w:rFonts w:ascii="Arial" w:cs="Arial" w:eastAsia="Arial" w:hAnsi="Arial"/>
                <w:b/>
                <w:bCs/>
                <w:color w:val="FFFFFF"/>
                <w:sz w:val="36"/>
                <w:szCs w:val="36"/>
              </w:rPr>
              <w:t xml:space="preserve">RESOLUTE COMPLIANCE ADVISORY LLP</w:t>
            </w:r>
          </w:p>
          <w:p>
            <w:pPr>
              <w:spacing w:after="0"/>
            </w:pPr>
            <w:r>
              <w:rPr>
                <w:rFonts w:ascii="Arial" w:cs="Arial" w:eastAsia="Arial" w:hAnsi="Arial"/>
                <w:i/>
                <w:iCs/>
                <w:color w:val="C8A951"/>
                <w:sz w:val="22"/>
                <w:szCs w:val="22"/>
              </w:rPr>
              <w:t xml:space="preserve">Governance · Risk · Compliance</w:t>
            </w:r>
          </w:p>
        </w:tc>
      </w:tr>
    </w:tbl>
    <w:p>
      <w:pPr>
        <w:spacing w:after="200"/>
      </w:pPr>
      <w:r>
        <w:rPr>
          <w:rFonts w:ascii="Arial" w:cs="Arial" w:eastAsia="Arial" w:hAnsi="Arial"/>
          <w:color w:val="1A1A1A"/>
          <w:sz w:val="22"/>
          <w:szCs w:val="22"/>
        </w:rPr>
        <w:t xml:space="preserve"/>
      </w:r>
    </w:p>
    <w:p>
      <w:pPr>
        <w:spacing w:after="30"/>
        <w:jc w:val="center"/>
      </w:pPr>
      <w:r>
        <w:rPr>
          <w:rFonts w:ascii="Arial" w:cs="Arial" w:eastAsia="Arial" w:hAnsi="Arial"/>
          <w:b/>
          <w:bCs/>
          <w:color w:val="666666"/>
          <w:sz w:val="28"/>
          <w:szCs w:val="28"/>
        </w:rPr>
        <w:t xml:space="preserve">COMPLIANCE AUDIT</w:t>
      </w:r>
    </w:p>
    <w:p>
      <w:pPr>
        <w:spacing w:after="30"/>
        <w:jc w:val="center"/>
      </w:pPr>
      <w:r>
        <w:rPr>
          <w:rFonts w:ascii="Arial" w:cs="Arial" w:eastAsia="Arial" w:hAnsi="Arial"/>
          <w:b/>
          <w:bCs/>
          <w:color w:val="1B2A4A"/>
          <w:sz w:val="38"/>
          <w:szCs w:val="38"/>
        </w:rPr>
        <w:t xml:space="preserve">EXECUTIVE SUMMARY</w:t>
      </w:r>
    </w:p>
    <w:p>
      <w:pPr>
        <w:spacing w:after="40"/>
        <w:jc w:val="center"/>
      </w:pPr>
      <w:r>
        <w:rPr>
          <w:rFonts w:ascii="Arial" w:cs="Arial" w:eastAsia="Arial" w:hAnsi="Arial"/>
          <w:b/>
          <w:bCs/>
          <w:color w:val="C8A951"/>
          <w:sz w:val="24"/>
          <w:szCs w:val="24"/>
        </w:rPr>
        <w:t xml:space="preserve">NCA ECC-1:2018  ·  Saudi PDPL</w:t>
      </w:r>
    </w:p>
    <w:p>
      <w:pPr>
        <w:pBdr>
          <w:bottom w:val="single" w:color="C8A951" w:sz="8"/>
        </w:pBdr>
        <w:spacing w:after="280"/>
        <w:jc w:val="center"/>
      </w:pPr>
    </w:p>
    <w:p>
      <w:pPr>
        <w:spacing w:after="180"/>
      </w:pPr>
      <w:r>
        <w:rPr>
          <w:rFonts w:ascii="Arial" w:cs="Arial" w:eastAsia="Arial" w:hAnsi="Arial"/>
          <w:color w:val="1A1A1A"/>
          <w:sz w:val="22"/>
          <w:szCs w:val="22"/>
        </w:rPr>
        <w:t xml:space="preserve"/>
      </w:r>
    </w:p>
    <w:tbl>
      <w:tblPr>
        <w:tblW w:type="dxa" w:w="9746"/>
        <w:tblBorders>
          <w:top w:val="none" w:color="FFFFFF" w:sz="0"/>
          <w:left w:val="single" w:color="C8A951" w:sz="24"/>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C8A951" w:sz="24"/>
              <w:bottom w:val="none" w:color="FFFFFF" w:sz="0"/>
              <w:right w:val="none" w:color="FFFFFF" w:sz="0"/>
            </w:tcBorders>
            <w:shd w:fill="EEF1F7" w:val="clear"/>
            <w:tcMar>
              <w:top w:type="dxa" w:w="220"/>
              <w:left w:type="dxa" w:w="320"/>
              <w:bottom w:type="dxa" w:w="220"/>
              <w:right w:type="dxa" w:w="320"/>
            </w:tcMar>
          </w:tcPr>
          <w:p>
            <w:pPr>
              <w:spacing w:after="60"/>
            </w:pPr>
            <w:r>
              <w:rPr>
                <w:rFonts w:ascii="Arial" w:cs="Arial" w:eastAsia="Arial" w:hAnsi="Arial"/>
                <w:i/>
                <w:iCs/>
                <w:color w:val="666666"/>
                <w:sz w:val="18"/>
                <w:szCs w:val="18"/>
              </w:rPr>
              <w:t xml:space="preserve">Prepared for</w:t>
            </w:r>
          </w:p>
          <w:p>
            <w:pPr>
              <w:spacing w:after="40"/>
            </w:pPr>
            <w:r>
              <w:rPr>
                <w:rFonts w:ascii="Arial" w:cs="Arial" w:eastAsia="Arial" w:hAnsi="Arial"/>
                <w:b/>
                <w:bCs/>
                <w:color w:val="1B2A4A"/>
                <w:sz w:val="32"/>
                <w:szCs w:val="32"/>
              </w:rPr>
              <w:t xml:space="preserve">Rawabi Health Services Co.</w:t>
            </w:r>
          </w:p>
          <w:p>
            <w:pPr>
              <w:spacing w:after="40"/>
            </w:pPr>
            <w:r>
              <w:rPr>
                <w:rFonts w:ascii="Arial" w:hAnsi="Arial"/>
                <w:sz w:val="24"/>
                <w:szCs w:val="24"/>
                <w:color w:val="666666"/>
              </w:rPr>
              <w:t xml:space="preserve">شركة روابي للخدمات الصحية</w:t>
            </w:r>
          </w:p>
          <w:p>
            <w:pPr>
              <w:spacing w:after="40"/>
            </w:pPr>
            <w:r>
              <w:rPr>
                <w:rFonts w:ascii="Arial" w:cs="Arial" w:eastAsia="Arial" w:hAnsi="Arial"/>
                <w:color w:val="666666"/>
                <w:sz w:val="22"/>
                <w:szCs w:val="22"/>
              </w:rPr>
              <w:t xml:space="preserve">Healthcare Services  ·  Jeddah, Saudi Arabia</w:t>
            </w:r>
          </w:p>
          <w:p>
            <w:pPr>
              <w:spacing w:after="0"/>
            </w:pPr>
            <w:r>
              <w:rPr>
                <w:rFonts w:ascii="Arial" w:cs="Arial" w:eastAsia="Arial" w:hAnsi="Arial"/>
                <w:color w:val="666666"/>
                <w:sz w:val="22"/>
                <w:szCs w:val="22"/>
              </w:rPr>
              <w:t xml:space="preserve">Audit Period:  10 November 2024 – 31 January 2025</w:t>
            </w:r>
          </w:p>
        </w:tc>
      </w:tr>
    </w:tbl>
    <w:p>
      <w:pPr>
        <w:spacing w:after="280"/>
      </w:pPr>
      <w:r>
        <w:rPr>
          <w:rFonts w:ascii="Arial" w:cs="Arial" w:eastAsia="Arial" w:hAnsi="Arial"/>
          <w:color w:val="1A1A1A"/>
          <w:sz w:val="22"/>
          <w:szCs w:val="22"/>
        </w:rPr>
        <w:t xml:space="preserv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48"/>
        <w:gridCol w:w="3249"/>
        <w:gridCol w:w="3249"/>
      </w:tblGrid>
      <w:tr>
        <w:tc>
          <w:tcPr>
            <w:tcW w:type="dxa" w:w="3248"/>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40"/>
            </w:pPr>
            <w:r>
              <w:rPr>
                <w:rFonts w:ascii="Arial" w:cs="Arial" w:eastAsia="Arial" w:hAnsi="Arial"/>
                <w:i/>
                <w:iCs/>
                <w:color w:val="666666"/>
                <w:sz w:val="18"/>
                <w:szCs w:val="18"/>
              </w:rPr>
              <w:t xml:space="preserve">Prepared by</w:t>
            </w:r>
          </w:p>
          <w:p>
            <w:pPr>
              <w:spacing w:after="20"/>
            </w:pPr>
            <w:r>
              <w:rPr>
                <w:rFonts w:ascii="Arial" w:cs="Arial" w:eastAsia="Arial" w:hAnsi="Arial"/>
                <w:b/>
                <w:bCs/>
                <w:color w:val="1B2A4A"/>
                <w:sz w:val="22"/>
                <w:szCs w:val="22"/>
              </w:rPr>
              <w:t xml:space="preserve">kay Shahbaaz</w:t>
            </w:r>
          </w:p>
          <w:p>
            <w:pPr>
              <w:spacing w:after="0"/>
            </w:pPr>
            <w:r>
              <w:rPr>
                <w:rFonts w:ascii="Arial" w:cs="Arial" w:eastAsia="Arial" w:hAnsi="Arial"/>
                <w:color w:val="666666"/>
                <w:sz w:val="20"/>
                <w:szCs w:val="20"/>
              </w:rPr>
              <w:t xml:space="preserve">GRC Auditor</w:t>
            </w:r>
          </w:p>
        </w:tc>
        <w:tc>
          <w:tcPr>
            <w:tcW w:type="dxa" w:w="3249"/>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40"/>
            </w:pPr>
            <w:r>
              <w:rPr>
                <w:rFonts w:ascii="Arial" w:cs="Arial" w:eastAsia="Arial" w:hAnsi="Arial"/>
                <w:i/>
                <w:iCs/>
                <w:color w:val="666666"/>
                <w:sz w:val="18"/>
                <w:szCs w:val="18"/>
              </w:rPr>
              <w:t xml:space="preserve">Date</w:t>
            </w:r>
          </w:p>
          <w:p>
            <w:pPr>
              <w:spacing w:after="0"/>
            </w:pPr>
            <w:r>
              <w:rPr>
                <w:rFonts w:ascii="Arial" w:cs="Arial" w:eastAsia="Arial" w:hAnsi="Arial"/>
                <w:b/>
                <w:bCs/>
                <w:color w:val="1B2A4A"/>
                <w:sz w:val="22"/>
                <w:szCs w:val="22"/>
              </w:rPr>
              <w:t xml:space="preserve">31 January 2025</w:t>
            </w:r>
          </w:p>
        </w:tc>
        <w:tc>
          <w:tcPr>
            <w:tcW w:type="dxa" w:w="3249"/>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40"/>
            </w:pPr>
            <w:r>
              <w:rPr>
                <w:rFonts w:ascii="Arial" w:cs="Arial" w:eastAsia="Arial" w:hAnsi="Arial"/>
                <w:i/>
                <w:iCs/>
                <w:color w:val="666666"/>
                <w:sz w:val="18"/>
                <w:szCs w:val="18"/>
              </w:rPr>
              <w:t xml:space="preserve">Document Ref</w:t>
            </w:r>
          </w:p>
          <w:p>
            <w:pPr>
              <w:spacing w:after="0"/>
            </w:pPr>
            <w:r>
              <w:rPr>
                <w:rFonts w:ascii="Arial" w:cs="Arial" w:eastAsia="Arial" w:hAnsi="Arial"/>
                <w:b/>
                <w:bCs/>
                <w:color w:val="1B2A4A"/>
                <w:sz w:val="22"/>
                <w:szCs w:val="22"/>
              </w:rPr>
              <w:t xml:space="preserve">RCA-P4-007</w:t>
            </w:r>
          </w:p>
        </w:tc>
      </w:tr>
    </w:tbl>
    <w:p>
      <w:pPr>
        <w:spacing w:after="28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B2A4A" w:val="clear"/>
            <w:tcMar>
              <w:top w:type="dxa" w:w="160"/>
              <w:left w:type="dxa" w:w="200"/>
              <w:bottom w:type="dxa" w:w="160"/>
              <w:right w:type="dxa" w:w="200"/>
            </w:tcMar>
          </w:tcPr>
          <w:p>
            <w:pPr>
              <w:spacing w:after="80"/>
              <w:jc w:val="center"/>
            </w:pPr>
            <w:r>
              <w:rPr>
                <w:rFonts w:ascii="Arial" w:cs="Arial" w:eastAsia="Arial" w:hAnsi="Arial"/>
                <w:b/>
                <w:bCs/>
                <w:color w:val="C8A951"/>
                <w:sz w:val="18"/>
                <w:szCs w:val="18"/>
              </w:rPr>
              <w:t xml:space="preserve">CONFIDENTIALITY NOTICE</w:t>
            </w:r>
          </w:p>
          <w:p>
            <w:pPr>
              <w:spacing w:after="0"/>
              <w:jc w:val="center"/>
            </w:pPr>
            <w:r>
              <w:rPr>
                <w:rFonts w:ascii="Arial" w:cs="Arial" w:eastAsia="Arial" w:hAnsi="Arial"/>
                <w:i/>
                <w:iCs/>
                <w:color w:val="EEF1F7"/>
                <w:sz w:val="16"/>
                <w:szCs w:val="16"/>
              </w:rPr>
              <w:t xml:space="preserve">This document is prepared exclusively for the named client and contains confidential and proprietary information belonging to Resolute Compliance Advisory LLP. It may not be disclosed, reproduced, or distributed to any third party without the prior written consent of Resolute Compliance Advisory LLP. Unauthorised use or disclosure is strictly prohibited.</w:t>
            </w:r>
          </w:p>
        </w:tc>
      </w:tr>
    </w:tbl>
    <w:p>
      <w:pPr>
        <w:spacing w:after="0"/>
      </w:pPr>
      <w:r>
        <w:br w:type="page"/>
      </w:r>
    </w:p>
    <w:p>
      <w:pPr>
        <w:shd w:fill="1B2A4A" w:val="clear"/>
        <w:spacing w:after="0" w:before="200"/>
        <w:ind w:left="120" w:right="120"/>
      </w:pPr>
      <w:r>
        <w:rPr>
          <w:rFonts w:ascii="Arial" w:cs="Arial" w:eastAsia="Arial" w:hAnsi="Arial"/>
          <w:b/>
          <w:bCs/>
          <w:color w:val="FFFFFF"/>
          <w:sz w:val="26"/>
          <w:szCs w:val="26"/>
        </w:rPr>
        <w:t xml:space="preserve">Document Control</w:t>
      </w:r>
    </w:p>
    <w:p>
      <w:pPr>
        <w:spacing w:after="8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Document Title</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Compliance Audit — Executive Summary</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Document Ref</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RCA-P4-007</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Client</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Rawabi Health Services Co.</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Frameworks Assessed</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NCA ECC-1:2018  |  Saudi Personal Data Protection Law (PDPL)</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Prepared by</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kay Shahbaaz  |  GRC Auditor</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Reviewed by</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Resolute Compliance Advisory LLP</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Audit Period</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10 November 2024 – 31 January 2025</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Report Date</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31 January 2025</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Version</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v1.0</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Classification</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CONFIDENTIAL</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Status</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Final</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Related Documents</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RCA-P4-001 through RCA-P4-006 — refer to the full audit report package for detailed findings, risk register, and corrective action plan</w:t>
            </w:r>
          </w:p>
        </w:tc>
      </w:tr>
    </w:tbl>
    <w:p>
      <w:pPr>
        <w:spacing w:after="160"/>
      </w:pPr>
      <w:r>
        <w:rPr>
          <w:rFonts w:ascii="Arial" w:cs="Arial" w:eastAsia="Arial" w:hAnsi="Arial"/>
          <w:color w:val="1A1A1A"/>
          <w:sz w:val="22"/>
          <w:szCs w:val="22"/>
        </w:rPr>
        <w:t xml:space="preserve"/>
      </w:r>
    </w:p>
    <w:p>
      <w:pPr>
        <w:shd w:fill="1B2A4A" w:val="clear"/>
        <w:spacing w:after="0" w:before="200"/>
        <w:ind w:left="120" w:right="120"/>
      </w:pPr>
      <w:r>
        <w:rPr>
          <w:rFonts w:ascii="Arial" w:cs="Arial" w:eastAsia="Arial" w:hAnsi="Arial"/>
          <w:b/>
          <w:bCs/>
          <w:color w:val="FFFFFF"/>
          <w:sz w:val="26"/>
          <w:szCs w:val="26"/>
        </w:rPr>
        <w:t xml:space="preserve">1.   Purpose of This Report</w:t>
      </w:r>
    </w:p>
    <w:p>
      <w:pPr>
        <w:spacing w:after="8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This Executive Summary presents the headline findings, overall compliance posture, and strategic recommendations arising from the compliance audit of Rawabi Health Services Co. conducted by Resolute Compliance Advisory LLP during the period 10 November 2024 to 31 January 2025. The audit assessed the organisation's cybersecurity posture against the National Cybersecurity Authority Essential Cybersecurity Controls (NCA ECC-1:2018) and its compliance status against the Saudi Personal Data Protection Law (PDPL).</w:t>
      </w:r>
    </w:p>
    <w:p>
      <w:pPr>
        <w:spacing w:after="6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This document is intended for senior leadership and the Board of Rawabi Health Services Co. It provides the context, conclusions, and priority actions required to make informed decisions about the organisation's compliance programme without requiring detailed knowledge of individual control requirements. Full technical findings, risk assessments, and implementation guidance are contained in the supporting audit report package (RCA-P4-001 through RCA-P4-006).</w:t>
      </w:r>
    </w:p>
    <w:p>
      <w:pPr>
        <w:spacing w:after="160"/>
      </w:pPr>
      <w:r>
        <w:rPr>
          <w:rFonts w:ascii="Arial" w:cs="Arial" w:eastAsia="Arial" w:hAnsi="Arial"/>
          <w:color w:val="1A1A1A"/>
          <w:sz w:val="22"/>
          <w:szCs w:val="22"/>
        </w:rPr>
        <w:t xml:space="preserve"/>
      </w:r>
    </w:p>
    <w:p>
      <w:pPr>
        <w:shd w:fill="1B2A4A" w:val="clear"/>
        <w:spacing w:after="0" w:before="200"/>
        <w:ind w:left="120" w:right="120"/>
      </w:pPr>
      <w:r>
        <w:rPr>
          <w:rFonts w:ascii="Arial" w:cs="Arial" w:eastAsia="Arial" w:hAnsi="Arial"/>
          <w:b/>
          <w:bCs/>
          <w:color w:val="FFFFFF"/>
          <w:sz w:val="26"/>
          <w:szCs w:val="26"/>
        </w:rPr>
        <w:t xml:space="preserve">2.   Audit Scope &amp; Approach</w:t>
      </w:r>
    </w:p>
    <w:p>
      <w:pPr>
        <w:spacing w:after="8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The audit covered all 114 controls of the NCA ECC-1:2018 framework across five domains and ten substantive PDPL compliance obligations. It was conducted through document review, structured interviews with IT management, operations leadership, and clinic administration staff, and system walkthroughs of the Napas Hospital Information System (HIS), Agfa PACS radiology platform, on-premise Active Directory environment, and Microsoft 365 administration portal. Site visits were conducted at the Jeddah headquarters, with the Medina branch assessed remotely.</w:t>
      </w:r>
    </w:p>
    <w:p>
      <w:pPr>
        <w:spacing w:after="8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ECC Framework</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NCA ECC-1:2018 — 114 controls across 5 domains</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PDPL Framework</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Saudi Personal Data Protection Law — 10 substantive obligations</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Audit Method</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Document review, stakeholder interviews, system walkthroughs, evidence-based control assessment</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Systems Assessed</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Napas HIS, Agfa PACS, Meditech LIS, SAP Business One, Active Directory, Microsoft 365</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Third Parties Reviewed</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Bupa Arabia, Nphies, Napas vendor, Al Bilad Lab, DHL Medical Logistics</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Sites</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Jeddah (HQ, in-person)  |  Medina branch (remote assessment)</w:t>
            </w:r>
          </w:p>
        </w:tc>
      </w:tr>
    </w:tbl>
    <w:p>
      <w:pPr>
        <w:spacing w:after="160"/>
      </w:pPr>
      <w:r>
        <w:rPr>
          <w:rFonts w:ascii="Arial" w:cs="Arial" w:eastAsia="Arial" w:hAnsi="Arial"/>
          <w:color w:val="1A1A1A"/>
          <w:sz w:val="22"/>
          <w:szCs w:val="22"/>
        </w:rPr>
        <w:t xml:space="preserve"/>
      </w:r>
    </w:p>
    <w:p>
      <w:pPr>
        <w:shd w:fill="1B2A4A" w:val="clear"/>
        <w:spacing w:after="0" w:before="200"/>
        <w:ind w:left="120" w:right="120"/>
      </w:pPr>
      <w:r>
        <w:rPr>
          <w:rFonts w:ascii="Arial" w:cs="Arial" w:eastAsia="Arial" w:hAnsi="Arial"/>
          <w:b/>
          <w:bCs/>
          <w:color w:val="FFFFFF"/>
          <w:sz w:val="26"/>
          <w:szCs w:val="26"/>
        </w:rPr>
        <w:t xml:space="preserve">3.   Overall Compliance Posture</w:t>
      </w:r>
    </w:p>
    <w:p>
      <w:pPr>
        <w:spacing w:after="100"/>
      </w:pPr>
      <w:r>
        <w:rPr>
          <w:rFonts w:ascii="Arial" w:cs="Arial" w:eastAsia="Arial" w:hAnsi="Arial"/>
          <w:color w:val="1A1A1A"/>
          <w:sz w:val="22"/>
          <w:szCs w:val="22"/>
        </w:rPr>
        <w:t xml:space="preserv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436"/>
        <w:gridCol w:w="2436"/>
        <w:gridCol w:w="2436"/>
        <w:gridCol w:w="2438"/>
      </w:tblGrid>
      <w:tr>
        <w:tc>
          <w:tcPr>
            <w:tcW w:type="dxa" w:w="2436"/>
            <w:tcBorders>
              <w:top w:val="none" w:color="FFFFFF" w:sz="0"/>
              <w:left w:val="single" w:color="DDDDDD" w:sz="2"/>
              <w:bottom w:val="single" w:color="C8A951" w:sz="12"/>
              <w:right w:val="single" w:color="DDDDDD" w:sz="2"/>
            </w:tcBorders>
            <w:shd w:fill="FDEBD0" w:val="clear"/>
            <w:tcMar>
              <w:top w:type="dxa" w:w="160"/>
              <w:left w:type="dxa" w:w="120"/>
              <w:bottom w:type="dxa" w:w="160"/>
              <w:right w:type="dxa" w:w="120"/>
            </w:tcMar>
            <w:vAlign w:val="center"/>
          </w:tcPr>
          <w:p>
            <w:pPr>
              <w:spacing w:after="40"/>
              <w:jc w:val="center"/>
            </w:pPr>
            <w:r>
              <w:rPr>
                <w:rFonts w:ascii="Arial" w:cs="Arial" w:eastAsia="Arial" w:hAnsi="Arial"/>
                <w:b/>
                <w:bCs/>
                <w:color w:val="E67E22"/>
                <w:sz w:val="48"/>
                <w:szCs w:val="48"/>
              </w:rPr>
              <w:t xml:space="preserve">36%</w:t>
            </w:r>
          </w:p>
          <w:p>
            <w:pPr>
              <w:spacing w:after="30"/>
              <w:jc w:val="center"/>
            </w:pPr>
            <w:r>
              <w:rPr>
                <w:rFonts w:ascii="Arial" w:cs="Arial" w:eastAsia="Arial" w:hAnsi="Arial"/>
                <w:b/>
                <w:bCs/>
                <w:color w:val="E67E22"/>
                <w:sz w:val="18"/>
                <w:szCs w:val="18"/>
              </w:rPr>
              <w:t xml:space="preserve">ECC Conformance</w:t>
            </w:r>
          </w:p>
          <w:p>
            <w:pPr>
              <w:spacing w:after="0"/>
              <w:jc w:val="center"/>
            </w:pPr>
            <w:r>
              <w:rPr>
                <w:rFonts w:ascii="Arial" w:cs="Arial" w:eastAsia="Arial" w:hAnsi="Arial"/>
                <w:i/>
                <w:iCs/>
                <w:color w:val="E67E22"/>
                <w:sz w:val="16"/>
                <w:szCs w:val="16"/>
              </w:rPr>
              <w:t xml:space="preserve">41 of 114 controls</w:t>
            </w:r>
          </w:p>
        </w:tc>
        <w:tc>
          <w:tcPr>
            <w:tcW w:type="dxa" w:w="2436"/>
            <w:tcBorders>
              <w:top w:val="none" w:color="FFFFFF" w:sz="0"/>
              <w:left w:val="single" w:color="DDDDDD" w:sz="2"/>
              <w:bottom w:val="single" w:color="C8A951" w:sz="12"/>
              <w:right w:val="single" w:color="DDDDDD" w:sz="2"/>
            </w:tcBorders>
            <w:shd w:fill="FADBD8" w:val="clear"/>
            <w:tcMar>
              <w:top w:type="dxa" w:w="160"/>
              <w:left w:type="dxa" w:w="120"/>
              <w:bottom w:type="dxa" w:w="160"/>
              <w:right w:type="dxa" w:w="120"/>
            </w:tcMar>
            <w:vAlign w:val="center"/>
          </w:tcPr>
          <w:p>
            <w:pPr>
              <w:spacing w:after="40"/>
              <w:jc w:val="center"/>
            </w:pPr>
            <w:r>
              <w:rPr>
                <w:rFonts w:ascii="Arial" w:cs="Arial" w:eastAsia="Arial" w:hAnsi="Arial"/>
                <w:b/>
                <w:bCs/>
                <w:color w:val="C0392B"/>
                <w:sz w:val="48"/>
                <w:szCs w:val="48"/>
              </w:rPr>
              <w:t xml:space="preserve">20%</w:t>
            </w:r>
          </w:p>
          <w:p>
            <w:pPr>
              <w:spacing w:after="30"/>
              <w:jc w:val="center"/>
            </w:pPr>
            <w:r>
              <w:rPr>
                <w:rFonts w:ascii="Arial" w:cs="Arial" w:eastAsia="Arial" w:hAnsi="Arial"/>
                <w:b/>
                <w:bCs/>
                <w:color w:val="C0392B"/>
                <w:sz w:val="18"/>
                <w:szCs w:val="18"/>
              </w:rPr>
              <w:t xml:space="preserve">PDPL Compliance</w:t>
            </w:r>
          </w:p>
          <w:p>
            <w:pPr>
              <w:spacing w:after="0"/>
              <w:jc w:val="center"/>
            </w:pPr>
            <w:r>
              <w:rPr>
                <w:rFonts w:ascii="Arial" w:cs="Arial" w:eastAsia="Arial" w:hAnsi="Arial"/>
                <w:i/>
                <w:iCs/>
                <w:color w:val="C0392B"/>
                <w:sz w:val="16"/>
                <w:szCs w:val="16"/>
              </w:rPr>
              <w:t xml:space="preserve">2 of 10 obligations</w:t>
            </w:r>
          </w:p>
        </w:tc>
        <w:tc>
          <w:tcPr>
            <w:tcW w:type="dxa" w:w="2436"/>
            <w:tcBorders>
              <w:top w:val="none" w:color="FFFFFF" w:sz="0"/>
              <w:left w:val="single" w:color="DDDDDD" w:sz="2"/>
              <w:bottom w:val="single" w:color="C8A951" w:sz="12"/>
              <w:right w:val="single" w:color="DDDDDD" w:sz="2"/>
            </w:tcBorders>
            <w:shd w:fill="EEF1F7" w:val="clear"/>
            <w:tcMar>
              <w:top w:type="dxa" w:w="160"/>
              <w:left w:type="dxa" w:w="120"/>
              <w:bottom w:type="dxa" w:w="160"/>
              <w:right w:type="dxa" w:w="120"/>
            </w:tcMar>
            <w:vAlign w:val="center"/>
          </w:tcPr>
          <w:p>
            <w:pPr>
              <w:spacing w:after="40"/>
              <w:jc w:val="center"/>
            </w:pPr>
            <w:r>
              <w:rPr>
                <w:rFonts w:ascii="Arial" w:cs="Arial" w:eastAsia="Arial" w:hAnsi="Arial"/>
                <w:b/>
                <w:bCs/>
                <w:color w:val="1B2A4A"/>
                <w:sz w:val="48"/>
                <w:szCs w:val="48"/>
              </w:rPr>
              <w:t xml:space="preserve">25</w:t>
            </w:r>
          </w:p>
          <w:p>
            <w:pPr>
              <w:spacing w:after="30"/>
              <w:jc w:val="center"/>
            </w:pPr>
            <w:r>
              <w:rPr>
                <w:rFonts w:ascii="Arial" w:cs="Arial" w:eastAsia="Arial" w:hAnsi="Arial"/>
                <w:b/>
                <w:bCs/>
                <w:color w:val="1B2A4A"/>
                <w:sz w:val="18"/>
                <w:szCs w:val="18"/>
              </w:rPr>
              <w:t xml:space="preserve">Risks Identified</w:t>
            </w:r>
          </w:p>
          <w:p>
            <w:pPr>
              <w:spacing w:after="0"/>
              <w:jc w:val="center"/>
            </w:pPr>
            <w:r>
              <w:rPr>
                <w:rFonts w:ascii="Arial" w:cs="Arial" w:eastAsia="Arial" w:hAnsi="Arial"/>
                <w:i/>
                <w:iCs/>
                <w:color w:val="1B2A4A"/>
                <w:sz w:val="16"/>
                <w:szCs w:val="16"/>
              </w:rPr>
              <w:t xml:space="preserve">5 Critical, 8 High</w:t>
            </w:r>
          </w:p>
        </w:tc>
        <w:tc>
          <w:tcPr>
            <w:tcW w:type="dxa" w:w="2438"/>
            <w:tcBorders>
              <w:top w:val="none" w:color="FFFFFF" w:sz="0"/>
              <w:left w:val="single" w:color="DDDDDD" w:sz="2"/>
              <w:bottom w:val="single" w:color="C8A951" w:sz="12"/>
              <w:right w:val="single" w:color="DDDDDD" w:sz="2"/>
            </w:tcBorders>
            <w:shd w:fill="D5F5E3" w:val="clear"/>
            <w:tcMar>
              <w:top w:type="dxa" w:w="160"/>
              <w:left w:type="dxa" w:w="120"/>
              <w:bottom w:type="dxa" w:w="160"/>
              <w:right w:type="dxa" w:w="120"/>
            </w:tcMar>
            <w:vAlign w:val="center"/>
          </w:tcPr>
          <w:p>
            <w:pPr>
              <w:spacing w:after="40"/>
              <w:jc w:val="center"/>
            </w:pPr>
            <w:r>
              <w:rPr>
                <w:rFonts w:ascii="Arial" w:cs="Arial" w:eastAsia="Arial" w:hAnsi="Arial"/>
                <w:b/>
                <w:bCs/>
                <w:color w:val="1E8449"/>
                <w:sz w:val="48"/>
                <w:szCs w:val="48"/>
              </w:rPr>
              <w:t xml:space="preserve">32</w:t>
            </w:r>
          </w:p>
          <w:p>
            <w:pPr>
              <w:spacing w:after="30"/>
              <w:jc w:val="center"/>
            </w:pPr>
            <w:r>
              <w:rPr>
                <w:rFonts w:ascii="Arial" w:cs="Arial" w:eastAsia="Arial" w:hAnsi="Arial"/>
                <w:b/>
                <w:bCs/>
                <w:color w:val="1E8449"/>
                <w:sz w:val="18"/>
                <w:szCs w:val="18"/>
              </w:rPr>
              <w:t xml:space="preserve">Actions Required</w:t>
            </w:r>
          </w:p>
          <w:p>
            <w:pPr>
              <w:spacing w:after="0"/>
              <w:jc w:val="center"/>
            </w:pPr>
            <w:r>
              <w:rPr>
                <w:rFonts w:ascii="Arial" w:cs="Arial" w:eastAsia="Arial" w:hAnsi="Arial"/>
                <w:i/>
                <w:iCs/>
                <w:color w:val="1E8449"/>
                <w:sz w:val="16"/>
                <w:szCs w:val="16"/>
              </w:rPr>
              <w:t xml:space="preserve">Dec 2024 – Oct 2025</w:t>
            </w:r>
          </w:p>
        </w:tc>
      </w:tr>
    </w:tbl>
    <w:p>
      <w:pPr>
        <w:spacing w:after="12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Rawabi Health Services Co. presents a compliance posture that reflects an organisation where basic IT infrastructure and clinical operations are functioning, but cybersecurity governance and data protection compliance are substantially absent. The ECC conformance of 36% indicates that technical infrastructure controls are partially in place, but the governance, risk management, and third-party control layers that underpin a sustainable cybersecurity programme do not yet exist. The PDPL compliance position of 20% is more acute: the organisation is processing sensitive personal health data at scale — approximately 1,800 patient visits per month — without a single foundational data protection control operational.</w:t>
      </w:r>
    </w:p>
    <w:p>
      <w:pPr>
        <w:spacing w:after="8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The critical distinction between the two frameworks is the nature of the risk. ECC non-compliance represents a cybersecurity exposure that increases the probability and impact of a breach event. PDPL non-compliance is an ongoing, daily regulatory violation: every patient registration processed without a compliant consent mechanism is, in itself, a breach of Article 5 of the PDPL. This is not a future risk — it is a present condition.</w:t>
      </w:r>
    </w:p>
    <w:p>
      <w:pPr>
        <w:spacing w:after="160"/>
      </w:pPr>
      <w:r>
        <w:rPr>
          <w:rFonts w:ascii="Arial" w:cs="Arial" w:eastAsia="Arial" w:hAnsi="Arial"/>
          <w:color w:val="1A1A1A"/>
          <w:sz w:val="22"/>
          <w:szCs w:val="22"/>
        </w:rPr>
        <w:t xml:space="preserve"/>
      </w:r>
    </w:p>
    <w:p>
      <w:pPr>
        <w:shd w:fill="1B2A4A" w:val="clear"/>
        <w:spacing w:after="0" w:before="200"/>
        <w:ind w:left="120" w:right="120"/>
      </w:pPr>
      <w:r>
        <w:rPr>
          <w:rFonts w:ascii="Arial" w:cs="Arial" w:eastAsia="Arial" w:hAnsi="Arial"/>
          <w:b/>
          <w:bCs/>
          <w:color w:val="FFFFFF"/>
          <w:sz w:val="26"/>
          <w:szCs w:val="26"/>
        </w:rPr>
        <w:t xml:space="preserve">4.   Critical Findings</w:t>
      </w:r>
    </w:p>
    <w:p>
      <w:pPr>
        <w:spacing w:after="8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The audit identified eight ECC findings and five PDPL findings. The four ECC findings rated Critical and the two PDPL findings rated Critical are summarised below. These findings represent the highest-priority remediation obligations and, in two cases, live risks requiring immediate action.</w:t>
      </w:r>
    </w:p>
    <w:p>
      <w:pPr>
        <w:spacing w:after="80"/>
      </w:pPr>
      <w:r>
        <w:rPr>
          <w:rFonts w:ascii="Arial" w:cs="Arial" w:eastAsia="Arial" w:hAnsi="Arial"/>
          <w:color w:val="1A1A1A"/>
          <w:sz w:val="22"/>
          <w:szCs w:val="22"/>
        </w:rPr>
        <w:t xml:space="preserve"/>
      </w:r>
    </w:p>
    <w:p>
      <w:pPr>
        <w:pBdr>
          <w:bottom w:val="single" w:color="C8A951" w:sz="4"/>
        </w:pBdr>
        <w:spacing w:after="80" w:before="180"/>
      </w:pPr>
      <w:r>
        <w:rPr>
          <w:rFonts w:ascii="Arial" w:cs="Arial" w:eastAsia="Arial" w:hAnsi="Arial"/>
          <w:b/>
          <w:bCs/>
          <w:color w:val="1B2A4A"/>
          <w:sz w:val="24"/>
          <w:szCs w:val="24"/>
        </w:rPr>
        <w:t xml:space="preserve">4.1   ECC Critical Findings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5946"/>
        <w:gridCol w:w="1200"/>
        <w:gridCol w:w="14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ID</w:t>
            </w:r>
          </w:p>
        </w:tc>
        <w:tc>
          <w:tcPr>
            <w:tcW w:type="dxa" w:w="594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Finding</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Domain</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Risk Score</w:t>
            </w:r>
          </w:p>
        </w:tc>
      </w:tr>
      <w:tr>
        <w:tc>
          <w:tcPr>
            <w:tcW w:type="dxa" w:w="1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F-001</w:t>
            </w:r>
          </w:p>
        </w:tc>
        <w:tc>
          <w:tcPr>
            <w:tcW w:type="dxa" w:w="59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No cybersecurity strategy, governance framework, or designated accountability for cybersecurity</w:t>
            </w:r>
          </w:p>
        </w:tc>
        <w:tc>
          <w:tcPr>
            <w:tcW w:type="dxa" w:w="1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Governance</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0"/>
              <w:jc w:val="center"/>
            </w:pPr>
            <w:r>
              <w:rPr>
                <w:rFonts w:ascii="Arial" w:cs="Arial" w:eastAsia="Arial" w:hAnsi="Arial"/>
                <w:b/>
                <w:bCs/>
                <w:color w:val="E67E22"/>
                <w:sz w:val="22"/>
                <w:szCs w:val="22"/>
              </w:rPr>
              <w:t xml:space="preserve">L4×I4 = 16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F-002</w:t>
            </w:r>
          </w:p>
        </w:tc>
        <w:tc>
          <w:tcPr>
            <w:tcW w:type="dxa" w:w="5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No cybersecurity risk assessment process — organisation has no visibility of its aggregate risk exposure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Governance</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0"/>
              <w:jc w:val="center"/>
            </w:pPr>
            <w:r>
              <w:rPr>
                <w:rFonts w:ascii="Arial" w:cs="Arial" w:eastAsia="Arial" w:hAnsi="Arial"/>
                <w:b/>
                <w:bCs/>
                <w:color w:val="E67E22"/>
                <w:sz w:val="22"/>
                <w:szCs w:val="22"/>
              </w:rPr>
              <w:t xml:space="preserve">L4×I4 = 16</w:t>
            </w:r>
          </w:p>
        </w:tc>
      </w:tr>
      <w:tr>
        <w:tc>
          <w:tcPr>
            <w:tcW w:type="dxa" w:w="1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F-003</w:t>
            </w:r>
          </w:p>
        </w:tc>
        <w:tc>
          <w:tcPr>
            <w:tcW w:type="dxa" w:w="59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Napas vendor remote access to live HIS via shared credentials with no logging, no VPN, no contract — LIVE RISK</w:t>
            </w:r>
          </w:p>
        </w:tc>
        <w:tc>
          <w:tcPr>
            <w:tcW w:type="dxa" w:w="1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Third-Party</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jc w:val="center"/>
            </w:pPr>
            <w:r>
              <w:rPr>
                <w:rFonts w:ascii="Arial" w:cs="Arial" w:eastAsia="Arial" w:hAnsi="Arial"/>
                <w:b/>
                <w:bCs/>
                <w:color w:val="C0392B"/>
                <w:sz w:val="22"/>
                <w:szCs w:val="22"/>
              </w:rPr>
              <w:t xml:space="preserve">L5×I5 = 25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F-004</w:t>
            </w:r>
          </w:p>
        </w:tc>
        <w:tc>
          <w:tcPr>
            <w:tcW w:type="dxa" w:w="5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Flat network architecture — no segmentation between clinical systems, imaging, admin, and user endpoints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Operations</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jc w:val="center"/>
            </w:pPr>
            <w:r>
              <w:rPr>
                <w:rFonts w:ascii="Arial" w:cs="Arial" w:eastAsia="Arial" w:hAnsi="Arial"/>
                <w:b/>
                <w:bCs/>
                <w:color w:val="C0392B"/>
                <w:sz w:val="22"/>
                <w:szCs w:val="22"/>
              </w:rPr>
              <w:t xml:space="preserve">L5×I5 = 25</w:t>
            </w:r>
          </w:p>
        </w:tc>
      </w:tr>
    </w:tbl>
    <w:p>
      <w:pPr>
        <w:spacing w:after="120"/>
      </w:pPr>
      <w:r>
        <w:rPr>
          <w:rFonts w:ascii="Arial" w:cs="Arial" w:eastAsia="Arial" w:hAnsi="Arial"/>
          <w:color w:val="1A1A1A"/>
          <w:sz w:val="22"/>
          <w:szCs w:val="22"/>
        </w:rPr>
        <w:t xml:space="preserve"/>
      </w:r>
    </w:p>
    <w:p>
      <w:pPr>
        <w:pBdr>
          <w:bottom w:val="single" w:color="C8A951" w:sz="4"/>
        </w:pBdr>
        <w:spacing w:after="80" w:before="180"/>
      </w:pPr>
      <w:r>
        <w:rPr>
          <w:rFonts w:ascii="Arial" w:cs="Arial" w:eastAsia="Arial" w:hAnsi="Arial"/>
          <w:b/>
          <w:bCs/>
          <w:color w:val="1B2A4A"/>
          <w:sz w:val="24"/>
          <w:szCs w:val="24"/>
        </w:rPr>
        <w:t xml:space="preserve">4.2   PDPL Critical Findings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5946"/>
        <w:gridCol w:w="1600"/>
        <w:gridCol w:w="10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ID</w:t>
            </w:r>
          </w:p>
        </w:tc>
        <w:tc>
          <w:tcPr>
            <w:tcW w:type="dxa" w:w="594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Finding</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PDPL Article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Status</w:t>
            </w:r>
          </w:p>
        </w:tc>
      </w:tr>
      <w:tr>
        <w:tc>
          <w:tcPr>
            <w:tcW w:type="dxa" w:w="1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P-001</w:t>
            </w:r>
          </w:p>
        </w:tc>
        <w:tc>
          <w:tcPr>
            <w:tcW w:type="dxa" w:w="59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No lawful basis documented for health data processing; no patient consent mechanism in place at either clinic site</w:t>
            </w:r>
          </w:p>
        </w:tc>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Art. 5, 6, 23</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jc w:val="center"/>
            </w:pPr>
            <w:r>
              <w:rPr>
                <w:rFonts w:ascii="Arial" w:cs="Arial" w:eastAsia="Arial" w:hAnsi="Arial"/>
                <w:b/>
                <w:bCs/>
                <w:color w:val="C0392B"/>
                <w:sz w:val="18"/>
                <w:szCs w:val="18"/>
              </w:rPr>
              <w:t xml:space="preserve">Daily violation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P-002</w:t>
            </w:r>
          </w:p>
        </w:tc>
        <w:tc>
          <w:tcPr>
            <w:tcW w:type="dxa" w:w="5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No Data Processing Agreements with Bupa Arabia (patient eligibility data) or Nphies (clinical records) — both actively receiving patient health 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Processor obligations</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jc w:val="center"/>
            </w:pPr>
            <w:r>
              <w:rPr>
                <w:rFonts w:ascii="Arial" w:cs="Arial" w:eastAsia="Arial" w:hAnsi="Arial"/>
                <w:b/>
                <w:bCs/>
                <w:color w:val="C0392B"/>
                <w:sz w:val="18"/>
                <w:szCs w:val="18"/>
              </w:rPr>
              <w:t xml:space="preserve">Daily violation</w:t>
            </w:r>
          </w:p>
        </w:tc>
      </w:tr>
    </w:tbl>
    <w:p>
      <w:pPr>
        <w:spacing w:after="12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0392B" w:sz="12"/>
              <w:left w:val="single" w:color="C0392B" w:sz="12"/>
              <w:bottom w:val="single" w:color="C0392B" w:sz="12"/>
              <w:right w:val="single" w:color="C0392B" w:sz="12"/>
            </w:tcBorders>
            <w:shd w:fill="FADBD8" w:val="clear"/>
            <w:tcMar>
              <w:top w:type="dxa" w:w="160"/>
              <w:left w:type="dxa" w:w="200"/>
              <w:bottom w:type="dxa" w:w="160"/>
              <w:right w:type="dxa" w:w="200"/>
            </w:tcMar>
          </w:tcPr>
          <w:p>
            <w:pPr>
              <w:spacing w:after="80"/>
            </w:pPr>
            <w:r>
              <w:rPr>
                <w:rFonts w:ascii="Arial" w:cs="Arial" w:eastAsia="Arial" w:hAnsi="Arial"/>
                <w:b/>
                <w:bCs/>
                <w:color w:val="C0392B"/>
                <w:sz w:val="22"/>
                <w:szCs w:val="22"/>
              </w:rPr>
              <w:t xml:space="preserve">⚠  LIVE RISK — IMMEDIATE ACTION REQUIRED</w:t>
            </w:r>
          </w:p>
          <w:p>
            <w:pPr>
              <w:spacing w:after="0"/>
            </w:pPr>
            <w:r>
              <w:rPr>
                <w:rFonts w:ascii="Arial" w:cs="Arial" w:eastAsia="Arial" w:hAnsi="Arial"/>
                <w:color w:val="C0392B"/>
                <w:sz w:val="20"/>
                <w:szCs w:val="20"/>
              </w:rPr>
              <w:t xml:space="preserve">Finding F-003: The Napas HIS vendor currently has unmonitored remote access to the production system containing all patient health records, using a shared administrative credential that has not been rotated in over 18 months. This is an active, exploitable attack vector. The risk score is 25 (L5 × I5) — the maximum on the risk scale. Containment actions (CA-001 through CA-004) must be executed immediately, prior to the commencement of any other remediation activity.</w:t>
            </w:r>
          </w:p>
        </w:tc>
      </w:tr>
    </w:tbl>
    <w:p>
      <w:pPr>
        <w:spacing w:after="160"/>
      </w:pPr>
      <w:r>
        <w:rPr>
          <w:rFonts w:ascii="Arial" w:cs="Arial" w:eastAsia="Arial" w:hAnsi="Arial"/>
          <w:color w:val="1A1A1A"/>
          <w:sz w:val="22"/>
          <w:szCs w:val="22"/>
        </w:rPr>
        <w:t xml:space="preserve"/>
      </w:r>
    </w:p>
    <w:p>
      <w:pPr>
        <w:shd w:fill="1B2A4A" w:val="clear"/>
        <w:spacing w:after="0" w:before="200"/>
        <w:ind w:left="120" w:right="120"/>
      </w:pPr>
      <w:r>
        <w:rPr>
          <w:rFonts w:ascii="Arial" w:cs="Arial" w:eastAsia="Arial" w:hAnsi="Arial"/>
          <w:b/>
          <w:bCs/>
          <w:color w:val="FFFFFF"/>
          <w:sz w:val="26"/>
          <w:szCs w:val="26"/>
        </w:rPr>
        <w:t xml:space="preserve">5.   Risk Profile</w:t>
      </w:r>
    </w:p>
    <w:p>
      <w:pPr>
        <w:spacing w:after="8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Twenty-five risks were identified across nine domains. The risk profile is heavily weighted toward the upper end of the scale, reflecting the systemic nature of the control gaps: governance, network architecture, third-party access, and data protection failures do not create isolated risks — they create conditions in which multiple risks are elevated simultaneously.</w:t>
      </w:r>
    </w:p>
    <w:p>
      <w:pPr>
        <w:spacing w:after="8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5146"/>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Rating</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Score Band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Count</w:t>
            </w:r>
          </w:p>
        </w:tc>
        <w:tc>
          <w:tcPr>
            <w:tcW w:type="dxa" w:w="514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Headline Risks</w:t>
            </w:r>
          </w:p>
        </w:tc>
      </w:tr>
      <w:tr>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jc w:val="center"/>
            </w:pPr>
            <w:r>
              <w:rPr>
                <w:rFonts w:ascii="Arial" w:cs="Arial" w:eastAsia="Arial" w:hAnsi="Arial"/>
                <w:b/>
                <w:bCs/>
                <w:color w:val="C0392B"/>
                <w:sz w:val="22"/>
                <w:szCs w:val="22"/>
              </w:rPr>
              <w:t xml:space="preserve">CRITICAL</w:t>
            </w:r>
          </w:p>
        </w:tc>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center"/>
            </w:pPr>
            <w:r>
              <w:rPr>
                <w:rFonts w:ascii="Arial" w:cs="Arial" w:eastAsia="Arial" w:hAnsi="Arial"/>
                <w:b w:val="false"/>
                <w:bCs w:val="false"/>
                <w:color w:val="1A1A1A"/>
                <w:sz w:val="22"/>
                <w:szCs w:val="22"/>
              </w:rPr>
              <w:t xml:space="preserve">20–25</w:t>
            </w:r>
          </w:p>
        </w:tc>
        <w:tc>
          <w:tcPr>
            <w:tcW w:type="dxa" w:w="1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center"/>
            </w:pPr>
            <w:r>
              <w:rPr>
                <w:rFonts w:ascii="Arial" w:cs="Arial" w:eastAsia="Arial" w:hAnsi="Arial"/>
                <w:b/>
                <w:bCs/>
                <w:color w:val="1B2A4A"/>
                <w:sz w:val="22"/>
                <w:szCs w:val="22"/>
              </w:rPr>
              <w:t xml:space="preserve">5</w:t>
            </w:r>
          </w:p>
        </w:tc>
        <w:tc>
          <w:tcPr>
            <w:tcW w:type="dxa" w:w="51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Napas vendor access (L5×I5=25), PDPL lawful basis absent (L5×I5=25), flat network ransomware propagation (L4×I5=20), no IR plan (L4×I5=20), no verified backup recovery (L4×I5=20)</w:t>
            </w:r>
          </w:p>
        </w:tc>
      </w:tr>
      <w:tr>
        <w:tc>
          <w:tcPr>
            <w:tcW w:type="dxa" w:w="1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0"/>
              <w:jc w:val="center"/>
            </w:pPr>
            <w:r>
              <w:rPr>
                <w:rFonts w:ascii="Arial" w:cs="Arial" w:eastAsia="Arial" w:hAnsi="Arial"/>
                <w:b/>
                <w:bCs/>
                <w:color w:val="E67E22"/>
                <w:sz w:val="22"/>
                <w:szCs w:val="22"/>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1A1A1A"/>
                <w:sz w:val="22"/>
                <w:szCs w:val="22"/>
              </w:rPr>
              <w:t xml:space="preserve">12–19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center"/>
            </w:pPr>
            <w:r>
              <w:rPr>
                <w:rFonts w:ascii="Arial" w:cs="Arial" w:eastAsia="Arial" w:hAnsi="Arial"/>
                <w:b/>
                <w:bCs/>
                <w:color w:val="1B2A4A"/>
                <w:sz w:val="22"/>
                <w:szCs w:val="22"/>
              </w:rPr>
              <w:t xml:space="preserve">8</w:t>
            </w:r>
          </w:p>
        </w:tc>
        <w:tc>
          <w:tcPr>
            <w:tcW w:type="dxa" w:w="5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No MFA on AD and M365, unpatched endpoints (41 of 180), no EDR, absence of breach notification procedure, no DPAs with Bupa Arabia and Nphies</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jc w:val="center"/>
            </w:pPr>
            <w:r>
              <w:rPr>
                <w:rFonts w:ascii="Arial" w:cs="Arial" w:eastAsia="Arial" w:hAnsi="Arial"/>
                <w:b/>
                <w:bCs/>
                <w:color w:val="2980B9"/>
                <w:sz w:val="22"/>
                <w:szCs w:val="22"/>
              </w:rPr>
              <w:t xml:space="preserve">MEDIUM</w:t>
            </w:r>
          </w:p>
        </w:tc>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center"/>
            </w:pPr>
            <w:r>
              <w:rPr>
                <w:rFonts w:ascii="Arial" w:cs="Arial" w:eastAsia="Arial" w:hAnsi="Arial"/>
                <w:b w:val="false"/>
                <w:bCs w:val="false"/>
                <w:color w:val="1A1A1A"/>
                <w:sz w:val="22"/>
                <w:szCs w:val="22"/>
              </w:rPr>
              <w:t xml:space="preserve">6–11</w:t>
            </w:r>
          </w:p>
        </w:tc>
        <w:tc>
          <w:tcPr>
            <w:tcW w:type="dxa" w:w="1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center"/>
            </w:pPr>
            <w:r>
              <w:rPr>
                <w:rFonts w:ascii="Arial" w:cs="Arial" w:eastAsia="Arial" w:hAnsi="Arial"/>
                <w:b/>
                <w:bCs/>
                <w:color w:val="1B2A4A"/>
                <w:sz w:val="22"/>
                <w:szCs w:val="22"/>
              </w:rPr>
              <w:t xml:space="preserve">9</w:t>
            </w:r>
          </w:p>
        </w:tc>
        <w:tc>
          <w:tcPr>
            <w:tcW w:type="dxa" w:w="51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Stale AD accounts, no data subject rights mechanism, Medina branch not independently assessed, M365 health data governance absent</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jc w:val="center"/>
            </w:pPr>
            <w:r>
              <w:rPr>
                <w:rFonts w:ascii="Arial" w:cs="Arial" w:eastAsia="Arial" w:hAnsi="Arial"/>
                <w:b/>
                <w:bCs/>
                <w:color w:val="1E8449"/>
                <w:sz w:val="22"/>
                <w:szCs w:val="22"/>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1A1A1A"/>
                <w:sz w:val="22"/>
                <w:szCs w:val="22"/>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center"/>
            </w:pPr>
            <w:r>
              <w:rPr>
                <w:rFonts w:ascii="Arial" w:cs="Arial" w:eastAsia="Arial" w:hAnsi="Arial"/>
                <w:b/>
                <w:bCs/>
                <w:color w:val="1B2A4A"/>
                <w:sz w:val="22"/>
                <w:szCs w:val="22"/>
              </w:rPr>
              <w:t xml:space="preserve">3</w:t>
            </w:r>
          </w:p>
        </w:tc>
        <w:tc>
          <w:tcPr>
            <w:tcW w:type="dxa" w:w="5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Wireless network segmentation (partially verified), data accuracy workflow, secondary governance items</w:t>
            </w:r>
          </w:p>
        </w:tc>
      </w:tr>
    </w:tbl>
    <w:p>
      <w:pPr>
        <w:spacing w:after="160"/>
      </w:pPr>
      <w:r>
        <w:rPr>
          <w:rFonts w:ascii="Arial" w:cs="Arial" w:eastAsia="Arial" w:hAnsi="Arial"/>
          <w:color w:val="1A1A1A"/>
          <w:sz w:val="22"/>
          <w:szCs w:val="22"/>
        </w:rPr>
        <w:t xml:space="preserve"/>
      </w:r>
    </w:p>
    <w:p>
      <w:pPr>
        <w:shd w:fill="1B2A4A" w:val="clear"/>
        <w:spacing w:after="0" w:before="200"/>
        <w:ind w:left="120" w:right="120"/>
      </w:pPr>
      <w:r>
        <w:rPr>
          <w:rFonts w:ascii="Arial" w:cs="Arial" w:eastAsia="Arial" w:hAnsi="Arial"/>
          <w:b/>
          <w:bCs/>
          <w:color w:val="FFFFFF"/>
          <w:sz w:val="26"/>
          <w:szCs w:val="26"/>
        </w:rPr>
        <w:t xml:space="preserve">6.   Strategic Recommendations</w:t>
      </w:r>
    </w:p>
    <w:p>
      <w:pPr>
        <w:spacing w:after="8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Resolute Compliance Advisory LLP presents the following strategic recommendations to the leadership of Rawabi Health Services Co. These are distilled from the full corrective action plan (RCA-P4-006) and are intended to guide executive decision-making on programme priorities, resource allocation, and governance structure.</w:t>
      </w:r>
    </w:p>
    <w:p>
      <w:pPr>
        <w:spacing w:after="80"/>
      </w:pPr>
      <w:r>
        <w:rPr>
          <w:rFonts w:ascii="Arial" w:cs="Arial" w:eastAsia="Arial" w:hAnsi="Arial"/>
          <w:color w:val="1A1A1A"/>
          <w:sz w:val="22"/>
          <w:szCs w:val="22"/>
        </w:rPr>
        <w:t xml:space="preserv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800"/>
        <w:gridCol w:w="8946"/>
      </w:tblGrid>
      <w:tr>
        <w:tc>
          <w:tcPr>
            <w:tcW w:type="dxa" w:w="8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spacing w:after="0"/>
              <w:jc w:val="center"/>
            </w:pPr>
            <w:r>
              <w:rPr>
                <w:rFonts w:ascii="Arial" w:cs="Arial" w:eastAsia="Arial" w:hAnsi="Arial"/>
                <w:b/>
                <w:bCs/>
                <w:color w:val="C8A951"/>
                <w:sz w:val="36"/>
                <w:szCs w:val="36"/>
              </w:rPr>
              <w:t xml:space="preserve">01</w:t>
            </w:r>
          </w:p>
        </w:tc>
        <w:tc>
          <w:tcPr>
            <w:tcW w:type="dxa" w:w="8946"/>
            <w:tcBorders>
              <w:top w:val="none" w:color="FFFFFF" w:sz="0"/>
              <w:left w:val="single" w:color="C8A951" w:sz="6"/>
              <w:bottom w:val="single" w:color="C8A951" w:sz="6"/>
              <w:right w:val="none" w:color="FFFFFF" w:sz="0"/>
            </w:tcBorders>
            <w:shd w:fill="EEF1F7" w:val="clear"/>
            <w:tcMar>
              <w:top w:type="dxa" w:w="120"/>
              <w:left w:type="dxa" w:w="180"/>
              <w:bottom w:type="dxa" w:w="120"/>
              <w:right w:type="dxa" w:w="120"/>
            </w:tcMar>
          </w:tcPr>
          <w:p>
            <w:pPr>
              <w:spacing w:after="60"/>
            </w:pPr>
            <w:r>
              <w:rPr>
                <w:rFonts w:ascii="Arial" w:cs="Arial" w:eastAsia="Arial" w:hAnsi="Arial"/>
                <w:b/>
                <w:bCs/>
                <w:color w:val="1B2A4A"/>
                <w:sz w:val="22"/>
                <w:szCs w:val="22"/>
              </w:rPr>
              <w:t xml:space="preserve">Treat the Napas vendor access as an operational emergency — not a compliance project</w:t>
            </w:r>
          </w:p>
          <w:p>
            <w:pPr>
              <w:spacing w:after="0"/>
            </w:pPr>
            <w:r>
              <w:rPr>
                <w:rFonts w:ascii="Arial" w:cs="Arial" w:eastAsia="Arial" w:hAnsi="Arial"/>
                <w:color w:val="1A1A1A"/>
                <w:sz w:val="20"/>
                <w:szCs w:val="20"/>
              </w:rPr>
              <w:t xml:space="preserve">The uncontrolled remote access pathway to the production HIS is not a gap to be scheduled into a remediation roadmap — it is an open door into the most sensitive system in the organisation, active today. Credential rotation, VPN implementation, and session logging must be executed within days, not weeks. The cost of inaction is a data breach affecting every registered patient.</w:t>
            </w:r>
          </w:p>
        </w:tc>
      </w:tr>
    </w:tbl>
    <w:p>
      <w:pPr>
        <w:spacing w:after="80"/>
      </w:pPr>
      <w:r>
        <w:rPr>
          <w:rFonts w:ascii="Arial" w:cs="Arial" w:eastAsia="Arial" w:hAnsi="Arial"/>
          <w:color w:val="1A1A1A"/>
          <w:sz w:val="22"/>
          <w:szCs w:val="22"/>
        </w:rPr>
        <w:t xml:space="preserv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800"/>
        <w:gridCol w:w="8946"/>
      </w:tblGrid>
      <w:tr>
        <w:tc>
          <w:tcPr>
            <w:tcW w:type="dxa" w:w="8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spacing w:after="0"/>
              <w:jc w:val="center"/>
            </w:pPr>
            <w:r>
              <w:rPr>
                <w:rFonts w:ascii="Arial" w:cs="Arial" w:eastAsia="Arial" w:hAnsi="Arial"/>
                <w:b/>
                <w:bCs/>
                <w:color w:val="C8A951"/>
                <w:sz w:val="36"/>
                <w:szCs w:val="36"/>
              </w:rPr>
              <w:t xml:space="preserve">02</w:t>
            </w:r>
          </w:p>
        </w:tc>
        <w:tc>
          <w:tcPr>
            <w:tcW w:type="dxa" w:w="8946"/>
            <w:tcBorders>
              <w:top w:val="none" w:color="FFFFFF" w:sz="0"/>
              <w:left w:val="single" w:color="C8A951" w:sz="6"/>
              <w:bottom w:val="single" w:color="C8A951" w:sz="6"/>
              <w:right w:val="none" w:color="FFFFFF" w:sz="0"/>
            </w:tcBorders>
            <w:shd w:fill="EEF1F7" w:val="clear"/>
            <w:tcMar>
              <w:top w:type="dxa" w:w="120"/>
              <w:left w:type="dxa" w:w="180"/>
              <w:bottom w:type="dxa" w:w="120"/>
              <w:right w:type="dxa" w:w="120"/>
            </w:tcMar>
          </w:tcPr>
          <w:p>
            <w:pPr>
              <w:spacing w:after="60"/>
            </w:pPr>
            <w:r>
              <w:rPr>
                <w:rFonts w:ascii="Arial" w:cs="Arial" w:eastAsia="Arial" w:hAnsi="Arial"/>
                <w:b/>
                <w:bCs/>
                <w:color w:val="1B2A4A"/>
                <w:sz w:val="22"/>
                <w:szCs w:val="22"/>
              </w:rPr>
              <w:t xml:space="preserve">Appoint a cybersecurity lead before any other governance action</w:t>
            </w:r>
          </w:p>
          <w:p>
            <w:pPr>
              <w:spacing w:after="0"/>
            </w:pPr>
            <w:r>
              <w:rPr>
                <w:rFonts w:ascii="Arial" w:cs="Arial" w:eastAsia="Arial" w:hAnsi="Arial"/>
                <w:color w:val="1A1A1A"/>
                <w:sz w:val="20"/>
                <w:szCs w:val="20"/>
              </w:rPr>
              <w:t xml:space="preserve">All downstream remediation depends on having an accountable owner with the authority and mandate to drive the programme. Whether through an enhanced role for the current IT Manager, an external advisory engagement, or accelerated CISO recruitment, this appointment must happen in February 2025. A governance programme with no governor will stall.</w:t>
            </w:r>
          </w:p>
        </w:tc>
      </w:tr>
    </w:tbl>
    <w:p>
      <w:pPr>
        <w:spacing w:after="80"/>
      </w:pPr>
      <w:r>
        <w:rPr>
          <w:rFonts w:ascii="Arial" w:cs="Arial" w:eastAsia="Arial" w:hAnsi="Arial"/>
          <w:color w:val="1A1A1A"/>
          <w:sz w:val="22"/>
          <w:szCs w:val="22"/>
        </w:rPr>
        <w:t xml:space="preserv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800"/>
        <w:gridCol w:w="8946"/>
      </w:tblGrid>
      <w:tr>
        <w:tc>
          <w:tcPr>
            <w:tcW w:type="dxa" w:w="8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spacing w:after="0"/>
              <w:jc w:val="center"/>
            </w:pPr>
            <w:r>
              <w:rPr>
                <w:rFonts w:ascii="Arial" w:cs="Arial" w:eastAsia="Arial" w:hAnsi="Arial"/>
                <w:b/>
                <w:bCs/>
                <w:color w:val="C8A951"/>
                <w:sz w:val="36"/>
                <w:szCs w:val="36"/>
              </w:rPr>
              <w:t xml:space="preserve">03</w:t>
            </w:r>
          </w:p>
        </w:tc>
        <w:tc>
          <w:tcPr>
            <w:tcW w:type="dxa" w:w="8946"/>
            <w:tcBorders>
              <w:top w:val="none" w:color="FFFFFF" w:sz="0"/>
              <w:left w:val="single" w:color="C8A951" w:sz="6"/>
              <w:bottom w:val="single" w:color="C8A951" w:sz="6"/>
              <w:right w:val="none" w:color="FFFFFF" w:sz="0"/>
            </w:tcBorders>
            <w:shd w:fill="EEF1F7" w:val="clear"/>
            <w:tcMar>
              <w:top w:type="dxa" w:w="120"/>
              <w:left w:type="dxa" w:w="180"/>
              <w:bottom w:type="dxa" w:w="120"/>
              <w:right w:type="dxa" w:w="120"/>
            </w:tcMar>
          </w:tcPr>
          <w:p>
            <w:pPr>
              <w:spacing w:after="60"/>
            </w:pPr>
            <w:r>
              <w:rPr>
                <w:rFonts w:ascii="Arial" w:cs="Arial" w:eastAsia="Arial" w:hAnsi="Arial"/>
                <w:b/>
                <w:bCs/>
                <w:color w:val="1B2A4A"/>
                <w:sz w:val="22"/>
                <w:szCs w:val="22"/>
              </w:rPr>
              <w:t xml:space="preserve">Treat PDPL as a legal obligation, not a technical project</w:t>
            </w:r>
          </w:p>
          <w:p>
            <w:pPr>
              <w:spacing w:after="0"/>
            </w:pPr>
            <w:r>
              <w:rPr>
                <w:rFonts w:ascii="Arial" w:cs="Arial" w:eastAsia="Arial" w:hAnsi="Arial"/>
                <w:color w:val="1A1A1A"/>
                <w:sz w:val="20"/>
                <w:szCs w:val="20"/>
              </w:rPr>
              <w:t xml:space="preserve">The absence of consent mechanisms and Data Processing Agreements is not a system configuration gap — it is a legal exposure that engages SDAIA's enforcement authority. External legal counsel should be engaged immediately to advise on the consent form, DPA negotiations with Bupa Arabia, and the Nphies data governance framework. Legal counsel should also conduct a retrospective assessment of the two 2024 IT incidents for potential unnotified breach obligations.</w:t>
            </w:r>
          </w:p>
        </w:tc>
      </w:tr>
    </w:tbl>
    <w:p>
      <w:pPr>
        <w:spacing w:after="80"/>
      </w:pPr>
      <w:r>
        <w:rPr>
          <w:rFonts w:ascii="Arial" w:cs="Arial" w:eastAsia="Arial" w:hAnsi="Arial"/>
          <w:color w:val="1A1A1A"/>
          <w:sz w:val="22"/>
          <w:szCs w:val="22"/>
        </w:rPr>
        <w:t xml:space="preserv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800"/>
        <w:gridCol w:w="8946"/>
      </w:tblGrid>
      <w:tr>
        <w:tc>
          <w:tcPr>
            <w:tcW w:type="dxa" w:w="8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spacing w:after="0"/>
              <w:jc w:val="center"/>
            </w:pPr>
            <w:r>
              <w:rPr>
                <w:rFonts w:ascii="Arial" w:cs="Arial" w:eastAsia="Arial" w:hAnsi="Arial"/>
                <w:b/>
                <w:bCs/>
                <w:color w:val="C8A951"/>
                <w:sz w:val="36"/>
                <w:szCs w:val="36"/>
              </w:rPr>
              <w:t xml:space="preserve">04</w:t>
            </w:r>
          </w:p>
        </w:tc>
        <w:tc>
          <w:tcPr>
            <w:tcW w:type="dxa" w:w="8946"/>
            <w:tcBorders>
              <w:top w:val="none" w:color="FFFFFF" w:sz="0"/>
              <w:left w:val="single" w:color="C8A951" w:sz="6"/>
              <w:bottom w:val="single" w:color="C8A951" w:sz="6"/>
              <w:right w:val="none" w:color="FFFFFF" w:sz="0"/>
            </w:tcBorders>
            <w:shd w:fill="EEF1F7" w:val="clear"/>
            <w:tcMar>
              <w:top w:type="dxa" w:w="120"/>
              <w:left w:type="dxa" w:w="180"/>
              <w:bottom w:type="dxa" w:w="120"/>
              <w:right w:type="dxa" w:w="120"/>
            </w:tcMar>
          </w:tcPr>
          <w:p>
            <w:pPr>
              <w:spacing w:after="60"/>
            </w:pPr>
            <w:r>
              <w:rPr>
                <w:rFonts w:ascii="Arial" w:cs="Arial" w:eastAsia="Arial" w:hAnsi="Arial"/>
                <w:b/>
                <w:bCs/>
                <w:color w:val="1B2A4A"/>
                <w:sz w:val="22"/>
                <w:szCs w:val="22"/>
              </w:rPr>
              <w:t xml:space="preserve">Sequence remediation to avoid capability gaps compounding each other</w:t>
            </w:r>
          </w:p>
          <w:p>
            <w:pPr>
              <w:spacing w:after="0"/>
            </w:pPr>
            <w:r>
              <w:rPr>
                <w:rFonts w:ascii="Arial" w:cs="Arial" w:eastAsia="Arial" w:hAnsi="Arial"/>
                <w:color w:val="1A1A1A"/>
                <w:sz w:val="20"/>
                <w:szCs w:val="20"/>
              </w:rPr>
              <w:t xml:space="preserve">The four Phase 1 actions — vendor access containment, Agfa PACS backup inclusion, restore test, and consent form design — are non-negotiable immediate priorities. Phase 2 governance build (IS Policy, risk assessment, IR plan, awareness training) must be completed before Phase 3 operational controls (network segmentation, vulnerability scanning) are initiated, because segmentation decisions require a risk-informed architecture. Do not attempt to build operational controls on an ungoverned foundation.</w:t>
            </w:r>
          </w:p>
        </w:tc>
      </w:tr>
    </w:tbl>
    <w:p>
      <w:pPr>
        <w:spacing w:after="80"/>
      </w:pPr>
      <w:r>
        <w:rPr>
          <w:rFonts w:ascii="Arial" w:cs="Arial" w:eastAsia="Arial" w:hAnsi="Arial"/>
          <w:color w:val="1A1A1A"/>
          <w:sz w:val="22"/>
          <w:szCs w:val="22"/>
        </w:rPr>
        <w:t xml:space="preserv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800"/>
        <w:gridCol w:w="8946"/>
      </w:tblGrid>
      <w:tr>
        <w:tc>
          <w:tcPr>
            <w:tcW w:type="dxa" w:w="8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spacing w:after="0"/>
              <w:jc w:val="center"/>
            </w:pPr>
            <w:r>
              <w:rPr>
                <w:rFonts w:ascii="Arial" w:cs="Arial" w:eastAsia="Arial" w:hAnsi="Arial"/>
                <w:b/>
                <w:bCs/>
                <w:color w:val="C8A951"/>
                <w:sz w:val="36"/>
                <w:szCs w:val="36"/>
              </w:rPr>
              <w:t xml:space="preserve">05</w:t>
            </w:r>
          </w:p>
        </w:tc>
        <w:tc>
          <w:tcPr>
            <w:tcW w:type="dxa" w:w="8946"/>
            <w:tcBorders>
              <w:top w:val="none" w:color="FFFFFF" w:sz="0"/>
              <w:left w:val="single" w:color="C8A951" w:sz="6"/>
              <w:bottom w:val="single" w:color="C8A951" w:sz="6"/>
              <w:right w:val="none" w:color="FFFFFF" w:sz="0"/>
            </w:tcBorders>
            <w:shd w:fill="EEF1F7" w:val="clear"/>
            <w:tcMar>
              <w:top w:type="dxa" w:w="120"/>
              <w:left w:type="dxa" w:w="180"/>
              <w:bottom w:type="dxa" w:w="120"/>
              <w:right w:type="dxa" w:w="120"/>
            </w:tcMar>
          </w:tcPr>
          <w:p>
            <w:pPr>
              <w:spacing w:after="60"/>
            </w:pPr>
            <w:r>
              <w:rPr>
                <w:rFonts w:ascii="Arial" w:cs="Arial" w:eastAsia="Arial" w:hAnsi="Arial"/>
                <w:b/>
                <w:bCs/>
                <w:color w:val="1B2A4A"/>
                <w:sz w:val="22"/>
                <w:szCs w:val="22"/>
              </w:rPr>
              <w:t xml:space="preserve">Establish a quarterly governance review as a standing management meeting</w:t>
            </w:r>
          </w:p>
          <w:p>
            <w:pPr>
              <w:spacing w:after="0"/>
            </w:pPr>
            <w:r>
              <w:rPr>
                <w:rFonts w:ascii="Arial" w:cs="Arial" w:eastAsia="Arial" w:hAnsi="Arial"/>
                <w:color w:val="1A1A1A"/>
                <w:sz w:val="20"/>
                <w:szCs w:val="20"/>
              </w:rPr>
              <w:t xml:space="preserve">The audit found no evidence of any structured cybersecurity or data protection governance activity at Rawabi. A quarterly meeting chaired by the COO, reviewing risk register status, CAP progress, and incident activity, is the minimum governance structure required to demonstrate to NCA and SDAIA that the organisation is actively managing its compliance obligations. This meeting should be operational by August 2025 and its minutes retained as compliance evidence.</w:t>
            </w:r>
          </w:p>
        </w:tc>
      </w:tr>
    </w:tbl>
    <w:p>
      <w:pPr>
        <w:spacing w:after="80"/>
      </w:pPr>
      <w:r>
        <w:rPr>
          <w:rFonts w:ascii="Arial" w:cs="Arial" w:eastAsia="Arial" w:hAnsi="Arial"/>
          <w:color w:val="1A1A1A"/>
          <w:sz w:val="22"/>
          <w:szCs w:val="22"/>
        </w:rPr>
        <w:t xml:space="preserve"/>
      </w:r>
    </w:p>
    <w:p>
      <w:pPr>
        <w:spacing w:after="80"/>
      </w:pPr>
      <w:r>
        <w:rPr>
          <w:rFonts w:ascii="Arial" w:cs="Arial" w:eastAsia="Arial" w:hAnsi="Arial"/>
          <w:color w:val="1A1A1A"/>
          <w:sz w:val="22"/>
          <w:szCs w:val="22"/>
        </w:rPr>
        <w:t xml:space="preserve"/>
      </w:r>
    </w:p>
    <w:p>
      <w:pPr>
        <w:shd w:fill="1B2A4A" w:val="clear"/>
        <w:spacing w:after="0" w:before="200"/>
        <w:ind w:left="120" w:right="120"/>
      </w:pPr>
      <w:r>
        <w:rPr>
          <w:rFonts w:ascii="Arial" w:cs="Arial" w:eastAsia="Arial" w:hAnsi="Arial"/>
          <w:b/>
          <w:bCs/>
          <w:color w:val="FFFFFF"/>
          <w:sz w:val="26"/>
          <w:szCs w:val="26"/>
        </w:rPr>
        <w:t xml:space="preserve">7.   Remediation Roadmap — Summary</w:t>
      </w:r>
    </w:p>
    <w:p>
      <w:pPr>
        <w:spacing w:after="8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Thirty-two corrective actions are recommended across four phases spanning December 2024 to October 2025. The full Corrective Action Plan is documented in RCA-P4-006.</w:t>
      </w:r>
    </w:p>
    <w:p>
      <w:pPr>
        <w:spacing w:after="8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000"/>
        <w:gridCol w:w="1000"/>
        <w:gridCol w:w="1000"/>
        <w:gridCol w:w="2946"/>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Phase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Period</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Actions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ECC</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PDPL</w:t>
            </w:r>
          </w:p>
        </w:tc>
        <w:tc>
          <w:tcPr>
            <w:tcW w:type="dxa" w:w="294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Headline Deliverables</w:t>
            </w:r>
          </w:p>
        </w:tc>
      </w:tr>
      <w:tr>
        <w:tc>
          <w:tcPr>
            <w:tcW w:type="dxa" w:w="1800"/>
            <w:tcBorders>
              <w:top w:val="single" w:color="CCCCCC" w:sz="1"/>
              <w:left w:val="single" w:color="CCCCCC" w:sz="1"/>
              <w:bottom w:val="single" w:color="CCCCCC" w:sz="1"/>
              <w:right w:val="single" w:color="CCCCCC" w:sz="1"/>
            </w:tcBorders>
            <w:shd w:fill="E8D5F5"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Phase 1 — Critical</w:t>
            </w:r>
          </w:p>
        </w:tc>
        <w:tc>
          <w:tcPr>
            <w:tcW w:type="dxa" w:w="2000"/>
            <w:tcBorders>
              <w:top w:val="single" w:color="CCCCCC" w:sz="1"/>
              <w:left w:val="single" w:color="CCCCCC" w:sz="1"/>
              <w:bottom w:val="single" w:color="CCCCCC" w:sz="1"/>
              <w:right w:val="single" w:color="CCCCCC" w:sz="1"/>
            </w:tcBorders>
            <w:shd w:fill="E8D5F5"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Dec 2024 – Jan 2025</w:t>
            </w:r>
          </w:p>
        </w:tc>
        <w:tc>
          <w:tcPr>
            <w:tcW w:type="dxa" w:w="1000"/>
            <w:tcBorders>
              <w:top w:val="single" w:color="CCCCCC" w:sz="1"/>
              <w:left w:val="single" w:color="CCCCCC" w:sz="1"/>
              <w:bottom w:val="single" w:color="CCCCCC" w:sz="1"/>
              <w:right w:val="single" w:color="CCCCCC" w:sz="1"/>
            </w:tcBorders>
            <w:shd w:fill="E8D5F5" w:val="clear"/>
            <w:tcMar>
              <w:top w:type="dxa" w:w="80"/>
              <w:left w:type="dxa" w:w="120"/>
              <w:bottom w:type="dxa" w:w="80"/>
              <w:right w:type="dxa" w:w="120"/>
            </w:tcMar>
            <w:vAlign w:val="top"/>
          </w:tcPr>
          <w:p>
            <w:pPr>
              <w:spacing w:after="0"/>
              <w:jc w:val="center"/>
            </w:pPr>
            <w:r>
              <w:rPr>
                <w:rFonts w:ascii="Arial" w:cs="Arial" w:eastAsia="Arial" w:hAnsi="Arial"/>
                <w:b/>
                <w:bCs/>
                <w:color w:val="1B2A4A"/>
                <w:sz w:val="22"/>
                <w:szCs w:val="22"/>
              </w:rPr>
              <w:t xml:space="preserve">8</w:t>
            </w:r>
          </w:p>
        </w:tc>
        <w:tc>
          <w:tcPr>
            <w:tcW w:type="dxa" w:w="1000"/>
            <w:tcBorders>
              <w:top w:val="single" w:color="CCCCCC" w:sz="1"/>
              <w:left w:val="single" w:color="CCCCCC" w:sz="1"/>
              <w:bottom w:val="single" w:color="CCCCCC" w:sz="1"/>
              <w:right w:val="single" w:color="CCCCCC" w:sz="1"/>
            </w:tcBorders>
            <w:shd w:fill="E8D5F5" w:val="clear"/>
            <w:tcMar>
              <w:top w:type="dxa" w:w="80"/>
              <w:left w:type="dxa" w:w="120"/>
              <w:bottom w:type="dxa" w:w="80"/>
              <w:right w:type="dxa" w:w="120"/>
            </w:tcMar>
            <w:vAlign w:val="top"/>
          </w:tcPr>
          <w:p>
            <w:pPr>
              <w:spacing w:after="0"/>
              <w:jc w:val="center"/>
            </w:pPr>
            <w:r>
              <w:rPr>
                <w:rFonts w:ascii="Arial" w:cs="Arial" w:eastAsia="Arial" w:hAnsi="Arial"/>
                <w:b w:val="false"/>
                <w:bCs w:val="false"/>
                <w:color w:val="1A1A1A"/>
                <w:sz w:val="22"/>
                <w:szCs w:val="22"/>
              </w:rPr>
              <w:t xml:space="preserve">5</w:t>
            </w:r>
          </w:p>
        </w:tc>
        <w:tc>
          <w:tcPr>
            <w:tcW w:type="dxa" w:w="1000"/>
            <w:tcBorders>
              <w:top w:val="single" w:color="CCCCCC" w:sz="1"/>
              <w:left w:val="single" w:color="CCCCCC" w:sz="1"/>
              <w:bottom w:val="single" w:color="CCCCCC" w:sz="1"/>
              <w:right w:val="single" w:color="CCCCCC" w:sz="1"/>
            </w:tcBorders>
            <w:shd w:fill="E8D5F5" w:val="clear"/>
            <w:tcMar>
              <w:top w:type="dxa" w:w="80"/>
              <w:left w:type="dxa" w:w="120"/>
              <w:bottom w:type="dxa" w:w="80"/>
              <w:right w:type="dxa" w:w="120"/>
            </w:tcMar>
            <w:vAlign w:val="top"/>
          </w:tcPr>
          <w:p>
            <w:pPr>
              <w:spacing w:after="0"/>
              <w:jc w:val="center"/>
            </w:pPr>
            <w:r>
              <w:rPr>
                <w:rFonts w:ascii="Arial" w:cs="Arial" w:eastAsia="Arial" w:hAnsi="Arial"/>
                <w:b w:val="false"/>
                <w:bCs w:val="false"/>
                <w:color w:val="1A1A1A"/>
                <w:sz w:val="22"/>
                <w:szCs w:val="22"/>
              </w:rPr>
              <w:t xml:space="preserve">3</w:t>
            </w:r>
          </w:p>
        </w:tc>
        <w:tc>
          <w:tcPr>
            <w:tcW w:type="dxa" w:w="2946"/>
            <w:tcBorders>
              <w:top w:val="single" w:color="CCCCCC" w:sz="1"/>
              <w:left w:val="single" w:color="CCCCCC" w:sz="1"/>
              <w:bottom w:val="single" w:color="CCCCCC" w:sz="1"/>
              <w:right w:val="single" w:color="CCCCCC" w:sz="1"/>
            </w:tcBorders>
            <w:shd w:fill="E8D5F5"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Napas vendor access containment; Agfa PACS backup; HIS restore test; PDPL consent form; lawful basis mapping</w:t>
            </w:r>
          </w:p>
        </w:tc>
      </w:tr>
      <w:tr>
        <w:tc>
          <w:tcPr>
            <w:tcW w:type="dxa" w:w="18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Phase 2 — Governance</w:t>
            </w:r>
          </w:p>
        </w:tc>
        <w:tc>
          <w:tcPr>
            <w:tcW w:type="dxa" w:w="20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Feb – Apr 2025</w:t>
            </w:r>
          </w:p>
        </w:tc>
        <w:tc>
          <w:tcPr>
            <w:tcW w:type="dxa" w:w="10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vAlign w:val="top"/>
          </w:tcPr>
          <w:p>
            <w:pPr>
              <w:spacing w:after="0"/>
              <w:jc w:val="center"/>
            </w:pPr>
            <w:r>
              <w:rPr>
                <w:rFonts w:ascii="Arial" w:cs="Arial" w:eastAsia="Arial" w:hAnsi="Arial"/>
                <w:b/>
                <w:bCs/>
                <w:color w:val="1B2A4A"/>
                <w:sz w:val="22"/>
                <w:szCs w:val="22"/>
              </w:rPr>
              <w:t xml:space="preserve">11</w:t>
            </w:r>
          </w:p>
        </w:tc>
        <w:tc>
          <w:tcPr>
            <w:tcW w:type="dxa" w:w="10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vAlign w:val="top"/>
          </w:tcPr>
          <w:p>
            <w:pPr>
              <w:spacing w:after="0"/>
              <w:jc w:val="center"/>
            </w:pPr>
            <w:r>
              <w:rPr>
                <w:rFonts w:ascii="Arial" w:cs="Arial" w:eastAsia="Arial" w:hAnsi="Arial"/>
                <w:b w:val="false"/>
                <w:bCs w:val="false"/>
                <w:color w:val="1A1A1A"/>
                <w:sz w:val="22"/>
                <w:szCs w:val="22"/>
              </w:rPr>
              <w:t xml:space="preserve">7</w:t>
            </w:r>
          </w:p>
        </w:tc>
        <w:tc>
          <w:tcPr>
            <w:tcW w:type="dxa" w:w="10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vAlign w:val="top"/>
          </w:tcPr>
          <w:p>
            <w:pPr>
              <w:spacing w:after="0"/>
              <w:jc w:val="center"/>
            </w:pPr>
            <w:r>
              <w:rPr>
                <w:rFonts w:ascii="Arial" w:cs="Arial" w:eastAsia="Arial" w:hAnsi="Arial"/>
                <w:b w:val="false"/>
                <w:bCs w:val="false"/>
                <w:color w:val="1A1A1A"/>
                <w:sz w:val="22"/>
                <w:szCs w:val="22"/>
              </w:rPr>
              <w:t xml:space="preserve">4</w:t>
            </w:r>
          </w:p>
        </w:tc>
        <w:tc>
          <w:tcPr>
            <w:tcW w:type="dxa" w:w="2946"/>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Cybersecurity lead; IS Policy; risk assessment; IR plan; awareness training; patch policy; Bupa DPA; breach notification procedure; privacy notice</w:t>
            </w:r>
          </w:p>
        </w:tc>
      </w:tr>
      <w:tr>
        <w:tc>
          <w:tcPr>
            <w:tcW w:type="dxa" w:w="1800"/>
            <w:tcBorders>
              <w:top w:val="single" w:color="CCCCCC" w:sz="1"/>
              <w:left w:val="single" w:color="CCCCCC" w:sz="1"/>
              <w:bottom w:val="single" w:color="CCCCCC" w:sz="1"/>
              <w:right w:val="single" w:color="CCCCCC" w:sz="1"/>
            </w:tcBorders>
            <w:shd w:fill="D5F5E8"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Phase 3 — Operational</w:t>
            </w:r>
          </w:p>
        </w:tc>
        <w:tc>
          <w:tcPr>
            <w:tcW w:type="dxa" w:w="2000"/>
            <w:tcBorders>
              <w:top w:val="single" w:color="CCCCCC" w:sz="1"/>
              <w:left w:val="single" w:color="CCCCCC" w:sz="1"/>
              <w:bottom w:val="single" w:color="CCCCCC" w:sz="1"/>
              <w:right w:val="single" w:color="CCCCCC" w:sz="1"/>
            </w:tcBorders>
            <w:shd w:fill="D5F5E8"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May – Jul 2025</w:t>
            </w:r>
          </w:p>
        </w:tc>
        <w:tc>
          <w:tcPr>
            <w:tcW w:type="dxa" w:w="1000"/>
            <w:tcBorders>
              <w:top w:val="single" w:color="CCCCCC" w:sz="1"/>
              <w:left w:val="single" w:color="CCCCCC" w:sz="1"/>
              <w:bottom w:val="single" w:color="CCCCCC" w:sz="1"/>
              <w:right w:val="single" w:color="CCCCCC" w:sz="1"/>
            </w:tcBorders>
            <w:shd w:fill="D5F5E8" w:val="clear"/>
            <w:tcMar>
              <w:top w:type="dxa" w:w="80"/>
              <w:left w:type="dxa" w:w="120"/>
              <w:bottom w:type="dxa" w:w="80"/>
              <w:right w:type="dxa" w:w="120"/>
            </w:tcMar>
            <w:vAlign w:val="top"/>
          </w:tcPr>
          <w:p>
            <w:pPr>
              <w:spacing w:after="0"/>
              <w:jc w:val="center"/>
            </w:pPr>
            <w:r>
              <w:rPr>
                <w:rFonts w:ascii="Arial" w:cs="Arial" w:eastAsia="Arial" w:hAnsi="Arial"/>
                <w:b/>
                <w:bCs/>
                <w:color w:val="1B2A4A"/>
                <w:sz w:val="22"/>
                <w:szCs w:val="22"/>
              </w:rPr>
              <w:t xml:space="preserve">8</w:t>
            </w:r>
          </w:p>
        </w:tc>
        <w:tc>
          <w:tcPr>
            <w:tcW w:type="dxa" w:w="1000"/>
            <w:tcBorders>
              <w:top w:val="single" w:color="CCCCCC" w:sz="1"/>
              <w:left w:val="single" w:color="CCCCCC" w:sz="1"/>
              <w:bottom w:val="single" w:color="CCCCCC" w:sz="1"/>
              <w:right w:val="single" w:color="CCCCCC" w:sz="1"/>
            </w:tcBorders>
            <w:shd w:fill="D5F5E8" w:val="clear"/>
            <w:tcMar>
              <w:top w:type="dxa" w:w="80"/>
              <w:left w:type="dxa" w:w="120"/>
              <w:bottom w:type="dxa" w:w="80"/>
              <w:right w:type="dxa" w:w="120"/>
            </w:tcMar>
            <w:vAlign w:val="top"/>
          </w:tcPr>
          <w:p>
            <w:pPr>
              <w:spacing w:after="0"/>
              <w:jc w:val="center"/>
            </w:pPr>
            <w:r>
              <w:rPr>
                <w:rFonts w:ascii="Arial" w:cs="Arial" w:eastAsia="Arial" w:hAnsi="Arial"/>
                <w:b w:val="false"/>
                <w:bCs w:val="false"/>
                <w:color w:val="1A1A1A"/>
                <w:sz w:val="22"/>
                <w:szCs w:val="22"/>
              </w:rPr>
              <w:t xml:space="preserve">5</w:t>
            </w:r>
          </w:p>
        </w:tc>
        <w:tc>
          <w:tcPr>
            <w:tcW w:type="dxa" w:w="1000"/>
            <w:tcBorders>
              <w:top w:val="single" w:color="CCCCCC" w:sz="1"/>
              <w:left w:val="single" w:color="CCCCCC" w:sz="1"/>
              <w:bottom w:val="single" w:color="CCCCCC" w:sz="1"/>
              <w:right w:val="single" w:color="CCCCCC" w:sz="1"/>
            </w:tcBorders>
            <w:shd w:fill="D5F5E8" w:val="clear"/>
            <w:tcMar>
              <w:top w:type="dxa" w:w="80"/>
              <w:left w:type="dxa" w:w="120"/>
              <w:bottom w:type="dxa" w:w="80"/>
              <w:right w:type="dxa" w:w="120"/>
            </w:tcMar>
            <w:vAlign w:val="top"/>
          </w:tcPr>
          <w:p>
            <w:pPr>
              <w:spacing w:after="0"/>
              <w:jc w:val="center"/>
            </w:pPr>
            <w:r>
              <w:rPr>
                <w:rFonts w:ascii="Arial" w:cs="Arial" w:eastAsia="Arial" w:hAnsi="Arial"/>
                <w:b w:val="false"/>
                <w:bCs w:val="false"/>
                <w:color w:val="1A1A1A"/>
                <w:sz w:val="22"/>
                <w:szCs w:val="22"/>
              </w:rPr>
              <w:t xml:space="preserve">3</w:t>
            </w:r>
          </w:p>
        </w:tc>
        <w:tc>
          <w:tcPr>
            <w:tcW w:type="dxa" w:w="2946"/>
            <w:tcBorders>
              <w:top w:val="single" w:color="CCCCCC" w:sz="1"/>
              <w:left w:val="single" w:color="CCCCCC" w:sz="1"/>
              <w:bottom w:val="single" w:color="CCCCCC" w:sz="1"/>
              <w:right w:val="single" w:color="CCCCCC" w:sz="1"/>
            </w:tcBorders>
            <w:shd w:fill="D5F5E8"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Network segmentation; vulnerability scanning; offsite backup; Napas contract renegotiation; data subject rights mechanism; M365 DLP</w:t>
            </w:r>
          </w:p>
        </w:tc>
      </w:tr>
      <w:tr>
        <w:tc>
          <w:tcPr>
            <w:tcW w:type="dxa" w:w="1800"/>
            <w:tcBorders>
              <w:top w:val="single" w:color="CCCCCC" w:sz="1"/>
              <w:left w:val="single" w:color="CCCCCC" w:sz="1"/>
              <w:bottom w:val="single" w:color="CCCCCC" w:sz="1"/>
              <w:right w:val="single" w:color="CCCCCC" w:sz="1"/>
            </w:tcBorders>
            <w:shd w:fill="F5F0D5"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Phase 4 — Sustain</w:t>
            </w:r>
          </w:p>
        </w:tc>
        <w:tc>
          <w:tcPr>
            <w:tcW w:type="dxa" w:w="2000"/>
            <w:tcBorders>
              <w:top w:val="single" w:color="CCCCCC" w:sz="1"/>
              <w:left w:val="single" w:color="CCCCCC" w:sz="1"/>
              <w:bottom w:val="single" w:color="CCCCCC" w:sz="1"/>
              <w:right w:val="single" w:color="CCCCCC" w:sz="1"/>
            </w:tcBorders>
            <w:shd w:fill="F5F0D5"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Aug – Oct 2025</w:t>
            </w:r>
          </w:p>
        </w:tc>
        <w:tc>
          <w:tcPr>
            <w:tcW w:type="dxa" w:w="1000"/>
            <w:tcBorders>
              <w:top w:val="single" w:color="CCCCCC" w:sz="1"/>
              <w:left w:val="single" w:color="CCCCCC" w:sz="1"/>
              <w:bottom w:val="single" w:color="CCCCCC" w:sz="1"/>
              <w:right w:val="single" w:color="CCCCCC" w:sz="1"/>
            </w:tcBorders>
            <w:shd w:fill="F5F0D5" w:val="clear"/>
            <w:tcMar>
              <w:top w:type="dxa" w:w="80"/>
              <w:left w:type="dxa" w:w="120"/>
              <w:bottom w:type="dxa" w:w="80"/>
              <w:right w:type="dxa" w:w="120"/>
            </w:tcMar>
            <w:vAlign w:val="top"/>
          </w:tcPr>
          <w:p>
            <w:pPr>
              <w:spacing w:after="0"/>
              <w:jc w:val="center"/>
            </w:pPr>
            <w:r>
              <w:rPr>
                <w:rFonts w:ascii="Arial" w:cs="Arial" w:eastAsia="Arial" w:hAnsi="Arial"/>
                <w:b/>
                <w:bCs/>
                <w:color w:val="1B2A4A"/>
                <w:sz w:val="22"/>
                <w:szCs w:val="22"/>
              </w:rPr>
              <w:t xml:space="preserve">5</w:t>
            </w:r>
          </w:p>
        </w:tc>
        <w:tc>
          <w:tcPr>
            <w:tcW w:type="dxa" w:w="1000"/>
            <w:tcBorders>
              <w:top w:val="single" w:color="CCCCCC" w:sz="1"/>
              <w:left w:val="single" w:color="CCCCCC" w:sz="1"/>
              <w:bottom w:val="single" w:color="CCCCCC" w:sz="1"/>
              <w:right w:val="single" w:color="CCCCCC" w:sz="1"/>
            </w:tcBorders>
            <w:shd w:fill="F5F0D5" w:val="clear"/>
            <w:tcMar>
              <w:top w:type="dxa" w:w="80"/>
              <w:left w:type="dxa" w:w="120"/>
              <w:bottom w:type="dxa" w:w="80"/>
              <w:right w:type="dxa" w:w="120"/>
            </w:tcMar>
            <w:vAlign w:val="top"/>
          </w:tcPr>
          <w:p>
            <w:pPr>
              <w:spacing w:after="0"/>
              <w:jc w:val="center"/>
            </w:pPr>
            <w:r>
              <w:rPr>
                <w:rFonts w:ascii="Arial" w:cs="Arial" w:eastAsia="Arial" w:hAnsi="Arial"/>
                <w:b w:val="false"/>
                <w:bCs w:val="false"/>
                <w:color w:val="1A1A1A"/>
                <w:sz w:val="22"/>
                <w:szCs w:val="22"/>
              </w:rPr>
              <w:t xml:space="preserve">3</w:t>
            </w:r>
          </w:p>
        </w:tc>
        <w:tc>
          <w:tcPr>
            <w:tcW w:type="dxa" w:w="1000"/>
            <w:tcBorders>
              <w:top w:val="single" w:color="CCCCCC" w:sz="1"/>
              <w:left w:val="single" w:color="CCCCCC" w:sz="1"/>
              <w:bottom w:val="single" w:color="CCCCCC" w:sz="1"/>
              <w:right w:val="single" w:color="CCCCCC" w:sz="1"/>
            </w:tcBorders>
            <w:shd w:fill="F5F0D5" w:val="clear"/>
            <w:tcMar>
              <w:top w:type="dxa" w:w="80"/>
              <w:left w:type="dxa" w:w="120"/>
              <w:bottom w:type="dxa" w:w="80"/>
              <w:right w:type="dxa" w:w="120"/>
            </w:tcMar>
            <w:vAlign w:val="top"/>
          </w:tcPr>
          <w:p>
            <w:pPr>
              <w:spacing w:after="0"/>
              <w:jc w:val="center"/>
            </w:pPr>
            <w:r>
              <w:rPr>
                <w:rFonts w:ascii="Arial" w:cs="Arial" w:eastAsia="Arial" w:hAnsi="Arial"/>
                <w:b w:val="false"/>
                <w:bCs w:val="false"/>
                <w:color w:val="1A1A1A"/>
                <w:sz w:val="22"/>
                <w:szCs w:val="22"/>
              </w:rPr>
              <w:t xml:space="preserve">2</w:t>
            </w:r>
          </w:p>
        </w:tc>
        <w:tc>
          <w:tcPr>
            <w:tcW w:type="dxa" w:w="2946"/>
            <w:tcBorders>
              <w:top w:val="single" w:color="CCCCCC" w:sz="1"/>
              <w:left w:val="single" w:color="CCCCCC" w:sz="1"/>
              <w:bottom w:val="single" w:color="CCCCCC" w:sz="1"/>
              <w:right w:val="single" w:color="CCCCCC" w:sz="1"/>
            </w:tcBorders>
            <w:shd w:fill="F5F0D5"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Governance review cycle; phishing simulation; second risk assessment; PDPL annual review; staff refresher training</w:t>
            </w:r>
          </w:p>
        </w:tc>
      </w:tr>
    </w:tbl>
    <w:p>
      <w:pPr>
        <w:spacing w:after="160"/>
      </w:pPr>
      <w:r>
        <w:rPr>
          <w:rFonts w:ascii="Arial" w:cs="Arial" w:eastAsia="Arial" w:hAnsi="Arial"/>
          <w:color w:val="1A1A1A"/>
          <w:sz w:val="22"/>
          <w:szCs w:val="22"/>
        </w:rPr>
        <w:t xml:space="preserve"/>
      </w:r>
    </w:p>
    <w:p>
      <w:pPr>
        <w:shd w:fill="1B2A4A" w:val="clear"/>
        <w:spacing w:after="0" w:before="200"/>
        <w:ind w:left="120" w:right="120"/>
      </w:pPr>
      <w:r>
        <w:rPr>
          <w:rFonts w:ascii="Arial" w:cs="Arial" w:eastAsia="Arial" w:hAnsi="Arial"/>
          <w:b/>
          <w:bCs/>
          <w:color w:val="FFFFFF"/>
          <w:sz w:val="26"/>
          <w:szCs w:val="26"/>
        </w:rPr>
        <w:t xml:space="preserve">8.   Deliverable Index</w:t>
      </w:r>
    </w:p>
    <w:p>
      <w:pPr>
        <w:spacing w:after="8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The following documents constitute the complete audit report package for this engagement. All documents are classified CONFIDENTIAL and prepared exclusively for Rawabi Health Services Co.</w:t>
      </w:r>
    </w:p>
    <w:p>
      <w:pPr>
        <w:spacing w:after="8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346"/>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Document Ref</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Document</w:t>
            </w:r>
          </w:p>
        </w:tc>
        <w:tc>
          <w:tcPr>
            <w:tcW w:type="dxa" w:w="534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Description</w:t>
            </w:r>
          </w:p>
        </w:tc>
      </w:tr>
      <w:tr>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RCA-P4-001</w:t>
            </w:r>
          </w:p>
        </w:tc>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A1A1A"/>
                <w:sz w:val="22"/>
                <w:szCs w:val="22"/>
              </w:rPr>
              <w:t xml:space="preserve">Audit Engagement Letter</w:t>
            </w:r>
          </w:p>
        </w:tc>
        <w:tc>
          <w:tcPr>
            <w:tcW w:type="dxa" w:w="53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Formal engagement scope, methodology, and terms — signed by both parties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RCA-P4-002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A1A1A"/>
                <w:sz w:val="22"/>
                <w:szCs w:val="22"/>
              </w:rPr>
              <w:t xml:space="preserve">Audit Fieldwork Checklist</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Control-by-control assessment workbook — 114 ECC controls, 10 PDPL obligations, evidence log, interview schedule</w:t>
            </w:r>
          </w:p>
        </w:tc>
      </w:tr>
      <w:tr>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RCA-P4-003</w:t>
            </w:r>
          </w:p>
        </w:tc>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A1A1A"/>
                <w:sz w:val="22"/>
                <w:szCs w:val="22"/>
              </w:rPr>
              <w:t xml:space="preserve">NCA ECC Audit Findings Report</w:t>
            </w:r>
          </w:p>
        </w:tc>
        <w:tc>
          <w:tcPr>
            <w:tcW w:type="dxa" w:w="53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Detailed findings for all 8 ECC findings with observations, impact, and recommendations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RCA-P4-004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A1A1A"/>
                <w:sz w:val="22"/>
                <w:szCs w:val="22"/>
              </w:rPr>
              <w:t xml:space="preserve">PDPL Compliance Audit Report</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Detailed findings for all 5 PDPL findings, data processing overview, compliance scorecard</w:t>
            </w:r>
          </w:p>
        </w:tc>
      </w:tr>
      <w:tr>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RCA-P4-005</w:t>
            </w:r>
          </w:p>
        </w:tc>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A1A1A"/>
                <w:sz w:val="22"/>
                <w:szCs w:val="22"/>
              </w:rPr>
              <w:t xml:space="preserve">Risk Register</w:t>
            </w:r>
          </w:p>
        </w:tc>
        <w:tc>
          <w:tcPr>
            <w:tcW w:type="dxa" w:w="53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25 identified risks across 9 domains with scoring, heatmap, and domain summary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RCA-P4-006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A1A1A"/>
                <w:sz w:val="22"/>
                <w:szCs w:val="22"/>
              </w:rPr>
              <w:t xml:space="preserve">Corrective Action Plan</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32 corrective actions across 4 phases, Gantt chart, and finding-to-action crosswalk</w:t>
            </w:r>
          </w:p>
        </w:tc>
      </w:tr>
      <w:tr>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RCA-P4-007</w:t>
            </w:r>
          </w:p>
        </w:tc>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A1A1A"/>
                <w:sz w:val="22"/>
                <w:szCs w:val="22"/>
              </w:rPr>
              <w:t xml:space="preserve">Executive Summary</w:t>
            </w:r>
          </w:p>
        </w:tc>
        <w:tc>
          <w:tcPr>
            <w:tcW w:type="dxa" w:w="53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This document — board-level summary for leadership decision-making</w:t>
            </w:r>
          </w:p>
        </w:tc>
      </w:tr>
    </w:tbl>
    <w:p>
      <w:pPr>
        <w:spacing w:after="160"/>
      </w:pPr>
      <w:r>
        <w:rPr>
          <w:rFonts w:ascii="Arial" w:cs="Arial" w:eastAsia="Arial" w:hAnsi="Arial"/>
          <w:color w:val="1A1A1A"/>
          <w:sz w:val="22"/>
          <w:szCs w:val="22"/>
        </w:rPr>
        <w:t xml:space="preserve"/>
      </w:r>
    </w:p>
    <w:p>
      <w:pPr>
        <w:shd w:fill="1B2A4A" w:val="clear"/>
        <w:spacing w:after="0" w:before="200"/>
        <w:ind w:left="120" w:right="120"/>
      </w:pPr>
      <w:r>
        <w:rPr>
          <w:rFonts w:ascii="Arial" w:cs="Arial" w:eastAsia="Arial" w:hAnsi="Arial"/>
          <w:b/>
          <w:bCs/>
          <w:color w:val="FFFFFF"/>
          <w:sz w:val="26"/>
          <w:szCs w:val="26"/>
        </w:rPr>
        <w:t xml:space="preserve">9.   Auditor Sign-Off</w:t>
      </w:r>
    </w:p>
    <w:p>
      <w:pPr>
        <w:spacing w:after="8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This Executive Summary, together with the full audit report package (RCA-P4-001 through RCA-P4-006), represents the complete output of the compliance audit engagement conducted by Resolute Compliance Advisory LLP for Rawabi Health Services Co. All findings are based on evidence reviewed during the audit period. The corrective actions recommended reflect the auditor's professional assessment of the actions required to achieve material compliance with NCA ECC-1:2018 and the Saudi PDPL within the recommended timeframe.</w:t>
      </w:r>
    </w:p>
    <w:p>
      <w:pPr>
        <w:spacing w:after="8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Resolute Compliance Advisory LLP is available to provide clarification on any finding or recommendation contained in this report package. The firm also offers advisory support for Phase 1 containment actions and Phase 2 governance programme development, subject to a separate engagement.</w:t>
      </w:r>
    </w:p>
    <w:p>
      <w:pPr>
        <w:spacing w:after="20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Prepared by</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kay Shahbaaz  |  GRC Auditor  |  Resolute Compliance Advisory LLP</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Report Date</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31 January 2025</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Document Ref</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RCA-P4-007  |  v1.0  |  CONFIDENTIAL</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Engagement Ref</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RCA-P4-001 through RCA-P4-007</w:t>
            </w:r>
          </w:p>
        </w:tc>
      </w:tr>
    </w:tbl>
    <w:p>
      <w:pPr>
        <w:spacing w:after="160"/>
      </w:pPr>
      <w:r>
        <w:rPr>
          <w:rFonts w:ascii="Arial" w:cs="Arial" w:eastAsia="Arial" w:hAnsi="Arial"/>
          <w:color w:val="1A1A1A"/>
          <w:sz w:val="22"/>
          <w:szCs w:val="22"/>
        </w:rP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951" w:sz="4"/>
      </w:pBdr>
      <w:tabs>
        <w:tab w:val="center" w:pos="4873"/>
        <w:tab w:val="right" w:pos="9746"/>
      </w:tabs>
      <w:spacing w:after="0" w:before="80"/>
    </w:pPr>
    <w:r>
      <w:rPr>
        <w:rFonts w:ascii="Arial" w:cs="Arial" w:eastAsia="Arial" w:hAnsi="Arial"/>
        <w:color w:val="666666"/>
        <w:sz w:val="16"/>
        <w:szCs w:val="16"/>
      </w:rPr>
      <w:t xml:space="preserve">Resolute Compliance Advisory LLP</w:t>
    </w:r>
    <w:r>
      <w:rPr>
        <w:rFonts w:ascii="Arial" w:cs="Arial" w:eastAsia="Arial" w:hAnsi="Arial"/>
        <w:color w:val="1A1A1A"/>
        <w:sz w:val="16"/>
        <w:szCs w:val="16"/>
      </w:rPr>
      <w:t xml:space="preserve">	</w:t>
    </w:r>
    <w:r>
      <w:rPr>
        <w:rFonts w:ascii="Arial" w:cs="Arial" w:eastAsia="Arial" w:hAnsi="Arial"/>
        <w:color w:val="666666"/>
        <w:sz w:val="16"/>
        <w:szCs w:val="16"/>
      </w:rPr>
      <w:t xml:space="preserve">Executive Summary — Rawabi Health Services Co.</w:t>
    </w:r>
    <w:r>
      <w:rPr>
        <w:rFonts w:ascii="Arial" w:cs="Arial" w:eastAsia="Arial" w:hAnsi="Arial"/>
        <w:color w:val="1A1A1A"/>
        <w:sz w:val="16"/>
        <w:szCs w:val="16"/>
      </w:rPr>
      <w:t xml:space="preserve">	</w:t>
    </w:r>
    <w:r>
      <w:rPr>
        <w:rFonts w:ascii="Arial" w:cs="Arial" w:eastAsia="Arial" w:hAnsi="Arial"/>
        <w:color w:val="666666"/>
        <w:sz w:val="16"/>
        <w:szCs w:val="16"/>
      </w:rPr>
      <w:t xml:space="preserve">Page </w:t>
    </w:r>
    <w:fldSimple w:instr="PAGE">
      <w:r>
        <w:rPr>
          <w:rFonts w:ascii="Arial" w:cs="Arial" w:eastAsia="Arial" w:hAnsi="Arial"/>
          <w:color w:val="666666"/>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6200"/>
      <w:gridCol w:w="3546"/>
    </w:tblGrid>
    <w:tr>
      <w:tc>
        <w:tcPr>
          <w:tcW w:type="dxa" w:w="6200"/>
          <w:tcBorders>
            <w:top w:val="none" w:color="FFFFFF" w:sz="0"/>
            <w:left w:val="none" w:color="FFFFFF" w:sz="0"/>
            <w:bottom w:val="none" w:color="FFFFFF" w:sz="0"/>
            <w:right w:val="none" w:color="FFFFFF" w:sz="0"/>
          </w:tcBorders>
          <w:tcMar>
            <w:top w:type="dxa" w:w="40"/>
            <w:left w:type="dxa" w:w="0"/>
            <w:bottom w:type="dxa" w:w="40"/>
            <w:right w:type="dxa" w:w="120"/>
          </w:tcMar>
          <w:vAlign w:val="center"/>
        </w:tcPr>
        <w:p>
          <w:pPr>
            <w:spacing w:after="0"/>
          </w:pPr>
          <w:r>
            <w:rPr>
              <w:rFonts w:ascii="Arial" w:cs="Arial" w:eastAsia="Arial" w:hAnsi="Arial"/>
              <w:b/>
              <w:bCs/>
              <w:color w:val="1B2A4A"/>
              <w:sz w:val="28"/>
              <w:szCs w:val="28"/>
            </w:rPr>
            <w:t xml:space="preserve">RESOLUTE</w:t>
          </w:r>
        </w:p>
        <w:p>
          <w:pPr>
            <w:spacing w:after="0"/>
          </w:pPr>
          <w:r>
            <w:rPr>
              <w:rFonts w:ascii="Arial" w:cs="Arial" w:eastAsia="Arial" w:hAnsi="Arial"/>
              <w:b/>
              <w:bCs/>
              <w:color w:val="C8A951"/>
              <w:sz w:val="18"/>
              <w:szCs w:val="18"/>
            </w:rPr>
            <w:t xml:space="preserve">COMPLIANCE ADVISORY  LLP</w:t>
          </w:r>
        </w:p>
        <w:p>
          <w:pPr>
            <w:spacing w:after="0"/>
          </w:pPr>
          <w:r>
            <w:rPr>
              <w:rFonts w:ascii="Arial" w:cs="Arial" w:eastAsia="Arial" w:hAnsi="Arial"/>
              <w:i/>
              <w:iCs/>
              <w:color w:val="666666"/>
              <w:sz w:val="16"/>
              <w:szCs w:val="16"/>
            </w:rPr>
            <w:t xml:space="preserve">Governance · Risk · Compliance</w:t>
          </w:r>
        </w:p>
      </w:tc>
      <w:tc>
        <w:tcPr>
          <w:tcW w:type="dxa" w:w="3546"/>
          <w:tcBorders>
            <w:top w:val="none" w:color="FFFFFF" w:sz="0"/>
            <w:left w:val="none" w:color="FFFFFF" w:sz="0"/>
            <w:bottom w:val="none" w:color="FFFFFF" w:sz="0"/>
            <w:right w:val="none" w:color="FFFFFF" w:sz="0"/>
          </w:tcBorders>
          <w:tcMar>
            <w:top w:type="dxa" w:w="40"/>
            <w:left w:type="dxa" w:w="120"/>
            <w:bottom w:type="dxa" w:w="40"/>
            <w:right w:type="dxa" w:w="0"/>
          </w:tcMar>
          <w:vAlign w:val="center"/>
        </w:tcPr>
        <w:p>
          <w:pPr>
            <w:spacing w:after="0"/>
            <w:jc w:val="right"/>
          </w:pPr>
          <w:r>
            <w:rPr>
              <w:rFonts w:ascii="Arial" w:cs="Arial" w:eastAsia="Arial" w:hAnsi="Arial"/>
              <w:b/>
              <w:bCs/>
              <w:color w:val="C8A951"/>
              <w:sz w:val="18"/>
              <w:szCs w:val="18"/>
            </w:rPr>
            <w:t xml:space="preserve">CONFIDENTIAL</w:t>
          </w:r>
        </w:p>
        <w:p>
          <w:pPr>
            <w:spacing w:after="0"/>
            <w:jc w:val="right"/>
          </w:pPr>
          <w:r>
            <w:rPr>
              <w:rFonts w:ascii="Arial" w:cs="Arial" w:eastAsia="Arial" w:hAnsi="Arial"/>
              <w:color w:val="666666"/>
              <w:sz w:val="16"/>
              <w:szCs w:val="16"/>
            </w:rPr>
            <w:t xml:space="preserve">RCA-P4-007  ·  v1.0</w:t>
          </w:r>
        </w:p>
      </w:tc>
    </w:tr>
  </w:tbl>
  <w:p>
    <w:pPr>
      <w:pBdr>
        <w:bottom w:val="single" w:color="1B2A4A" w:sz="8"/>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2026-06-26T10:41:32.294Z</dcterms:created>
  <dcterms:modified xsi:type="dcterms:W3CDTF">2026-06-26T10:41:32.307Z</dcterms:modified>
</cp:coreProperties>
</file>

<file path=docProps/custom.xml><?xml version="1.0" encoding="utf-8"?>
<Properties xmlns="http://schemas.openxmlformats.org/officeDocument/2006/custom-properties" xmlns:vt="http://schemas.openxmlformats.org/officeDocument/2006/docPropsVTypes"/>
</file>