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320"/>
              <w:left w:type="dxa" w:w="300"/>
              <w:bottom w:type="dxa" w:w="320"/>
              <w:right w:type="dxa" w:w="300"/>
            </w:tcMar>
          </w:tcPr>
          <w:p>
            <w:pPr>
              <w:spacing w:after="60"/>
            </w:pPr>
            <w:r>
              <w:rPr>
                <w:rFonts w:ascii="Arial" w:cs="Arial" w:eastAsia="Arial" w:hAnsi="Arial"/>
                <w:b/>
                <w:bCs/>
                <w:color w:val="FFFFFF"/>
                <w:sz w:val="36"/>
                <w:szCs w:val="36"/>
              </w:rPr>
              <w:t xml:space="preserve">RESOLUTE COMPLIANCE ADVISORY LLP</w:t>
            </w:r>
          </w:p>
          <w:p>
            <w:pPr>
              <w:spacing w:after="0"/>
            </w:pPr>
            <w:r>
              <w:rPr>
                <w:rFonts w:ascii="Arial" w:cs="Arial" w:eastAsia="Arial" w:hAnsi="Arial"/>
                <w:i/>
                <w:iCs/>
                <w:color w:val="C8A951"/>
                <w:sz w:val="22"/>
                <w:szCs w:val="22"/>
              </w:rPr>
              <w:t xml:space="preserve">Governance · Risk · Compliance</w:t>
            </w:r>
          </w:p>
        </w:tc>
      </w:tr>
    </w:tbl>
    <w:p>
      <w:pPr>
        <w:spacing w:after="200"/>
      </w:pPr>
      <w:r>
        <w:t xml:space="preserve"/>
      </w:r>
    </w:p>
    <w:p>
      <w:pPr>
        <w:spacing w:after="40"/>
        <w:jc w:val="center"/>
      </w:pPr>
      <w:r>
        <w:rPr>
          <w:rFonts w:ascii="Arial" w:cs="Arial" w:eastAsia="Arial" w:hAnsi="Arial"/>
          <w:b/>
          <w:bCs/>
          <w:color w:val="1B2A4A"/>
          <w:sz w:val="30"/>
          <w:szCs w:val="30"/>
        </w:rPr>
        <w:t xml:space="preserve">AUDIT ENGAGEMENT LETTER &amp; SCOPE OF WORK</w:t>
      </w:r>
    </w:p>
    <w:p>
      <w:pPr>
        <w:pBdr>
          <w:bottom w:val="single" w:color="C8A951" w:sz="8"/>
        </w:pBdr>
        <w:spacing w:after="280"/>
        <w:jc w:val="center"/>
      </w:pPr>
    </w:p>
    <w:p>
      <w:pPr>
        <w:spacing w:after="200"/>
      </w:pPr>
      <w:r>
        <w:t xml:space="preserve"/>
      </w:r>
    </w:p>
    <w:tbl>
      <w:tblPr>
        <w:tblW w:type="dxa" w:w="9746"/>
        <w:tblBorders>
          <w:top w:val="none" w:color="FFFFFF" w:sz="0"/>
          <w:left w:val="single" w:color="C8A951" w:sz="2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C8A951" w:sz="20"/>
              <w:bottom w:val="none" w:color="FFFFFF" w:sz="0"/>
              <w:right w:val="none" w:color="FFFFFF" w:sz="0"/>
            </w:tcBorders>
            <w:shd w:fill="EEF1F7" w:val="clear"/>
            <w:tcMar>
              <w:top w:type="dxa" w:w="200"/>
              <w:left w:type="dxa" w:w="300"/>
              <w:bottom w:type="dxa" w:w="200"/>
              <w:right w:type="dxa" w:w="300"/>
            </w:tcMar>
          </w:tcPr>
          <w:p>
            <w:pPr>
              <w:spacing w:after="60"/>
            </w:pPr>
            <w:r>
              <w:rPr>
                <w:rFonts w:ascii="Arial" w:cs="Arial" w:eastAsia="Arial" w:hAnsi="Arial"/>
                <w:i/>
                <w:iCs/>
                <w:color w:val="666666"/>
                <w:sz w:val="18"/>
                <w:szCs w:val="18"/>
              </w:rPr>
              <w:t xml:space="preserve">Prepared for</w:t>
            </w:r>
          </w:p>
          <w:p>
            <w:pPr>
              <w:spacing w:after="40"/>
            </w:pPr>
            <w:r>
              <w:rPr>
                <w:rFonts w:ascii="Arial" w:cs="Arial" w:eastAsia="Arial" w:hAnsi="Arial"/>
                <w:b/>
                <w:bCs/>
                <w:color w:val="1B2A4A"/>
                <w:sz w:val="30"/>
                <w:szCs w:val="30"/>
              </w:rPr>
              <w:t xml:space="preserve">Rawabi Health Services Co.</w:t>
            </w:r>
          </w:p>
          <w:p>
            <w:pPr>
              <w:spacing w:after="60"/>
            </w:pPr>
            <w:r>
              <w:rPr>
                <w:rFonts w:ascii="Arial" w:cs="Arial" w:eastAsia="Arial" w:hAnsi="Arial"/>
                <w:color w:val="666666"/>
                <w:sz w:val="24"/>
                <w:szCs w:val="24"/>
              </w:rPr>
              <w:t xml:space="preserve">شركة روابي للخدمات الصحية</w:t>
            </w:r>
          </w:p>
          <w:p>
            <w:pPr>
              <w:spacing w:after="40"/>
            </w:pPr>
            <w:r>
              <w:rPr>
                <w:rFonts w:ascii="Arial" w:cs="Arial" w:eastAsia="Arial" w:hAnsi="Arial"/>
                <w:color w:val="666666"/>
                <w:sz w:val="22"/>
                <w:szCs w:val="22"/>
              </w:rPr>
              <w:t xml:space="preserve">Healthcare Services  ·  Jeddah, Saudi Arabia</w:t>
            </w:r>
          </w:p>
          <w:p>
            <w:pPr>
              <w:spacing w:after="0"/>
            </w:pPr>
            <w:r>
              <w:rPr>
                <w:rFonts w:ascii="Arial" w:cs="Arial" w:eastAsia="Arial" w:hAnsi="Arial"/>
                <w:color w:val="666666"/>
                <w:sz w:val="22"/>
                <w:szCs w:val="22"/>
              </w:rPr>
              <w:t xml:space="preserve">Audit Period:  10 November 2024 – 31 January 2025</w:t>
            </w:r>
          </w:p>
        </w:tc>
      </w:tr>
    </w:tbl>
    <w:p>
      <w:pPr>
        <w:spacing w:after="30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9"/>
        <w:gridCol w:w="3249"/>
      </w:tblGrid>
      <w:tr>
        <w:tc>
          <w:tcPr>
            <w:tcW w:type="dxa" w:w="3248"/>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Prepared by</w:t>
            </w:r>
          </w:p>
          <w:p>
            <w:pPr>
              <w:spacing w:after="20"/>
            </w:pPr>
            <w:r>
              <w:rPr>
                <w:rFonts w:ascii="Arial" w:cs="Arial" w:eastAsia="Arial" w:hAnsi="Arial"/>
                <w:b/>
                <w:bCs/>
                <w:color w:val="1B2A4A"/>
                <w:sz w:val="22"/>
                <w:szCs w:val="22"/>
              </w:rPr>
              <w:t xml:space="preserve">kay Shahbaaz</w:t>
            </w:r>
          </w:p>
          <w:p>
            <w:pPr>
              <w:spacing w:after="0"/>
            </w:pPr>
            <w:r>
              <w:rPr>
                <w:rFonts w:ascii="Arial" w:cs="Arial" w:eastAsia="Arial" w:hAnsi="Arial"/>
                <w:color w:val="666666"/>
                <w:sz w:val="20"/>
                <w:szCs w:val="20"/>
              </w:rPr>
              <w:t xml:space="preserve">GRC Auditor</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Date</w:t>
            </w:r>
          </w:p>
          <w:p>
            <w:pPr>
              <w:spacing w:after="0"/>
            </w:pPr>
            <w:r>
              <w:rPr>
                <w:rFonts w:ascii="Arial" w:cs="Arial" w:eastAsia="Arial" w:hAnsi="Arial"/>
                <w:b/>
                <w:bCs/>
                <w:color w:val="1B2A4A"/>
                <w:sz w:val="22"/>
                <w:szCs w:val="22"/>
              </w:rPr>
              <w:t xml:space="preserve">10 November 2024</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Document Ref</w:t>
            </w:r>
          </w:p>
          <w:p>
            <w:pPr>
              <w:spacing w:after="0"/>
            </w:pPr>
            <w:r>
              <w:rPr>
                <w:rFonts w:ascii="Arial" w:cs="Arial" w:eastAsia="Arial" w:hAnsi="Arial"/>
                <w:b/>
                <w:bCs/>
                <w:color w:val="1B2A4A"/>
                <w:sz w:val="22"/>
                <w:szCs w:val="22"/>
              </w:rPr>
              <w:t xml:space="preserve">RCA-P4-001</w:t>
            </w:r>
          </w:p>
        </w:tc>
      </w:tr>
    </w:tbl>
    <w:p>
      <w:pPr>
        <w:spacing w:after="3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80"/>
              <w:jc w:val="center"/>
            </w:pPr>
            <w:r>
              <w:rPr>
                <w:rFonts w:ascii="Arial" w:cs="Arial" w:eastAsia="Arial" w:hAnsi="Arial"/>
                <w:b/>
                <w:bCs/>
                <w:color w:val="C8A951"/>
                <w:sz w:val="18"/>
                <w:szCs w:val="18"/>
              </w:rPr>
              <w:t xml:space="preserve">CONFIDENTIALITY NOTICE</w:t>
            </w:r>
          </w:p>
          <w:p>
            <w:pPr>
              <w:spacing w:after="0"/>
              <w:jc w:val="center"/>
            </w:pPr>
            <w:r>
              <w:rPr>
                <w:rFonts w:ascii="Arial" w:cs="Arial" w:eastAsia="Arial" w:hAnsi="Arial"/>
                <w:i/>
                <w:iCs/>
                <w:color w:val="EEF1F7"/>
                <w:sz w:val="16"/>
                <w:szCs w:val="16"/>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pPr>
        <w:spacing w:after="0"/>
      </w:pPr>
      <w:r>
        <w:br w:type="pag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Document Control</w:t>
      </w:r>
    </w:p>
    <w:p>
      <w:pPr>
        <w:spacing w:after="8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Document Title</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Audit Engagement Letter &amp; Scope of Work</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Document Ref</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RCA-P4-001</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Client</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Rawabi Health Services Co.</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Project</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NCA ECC-1:2018 &amp; PDPL Compliance Audit</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Prepared by</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kay Shahbaaz</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Reviewed by</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Resolute Compliance Advisory LLP</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Date</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10 November 2024</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Version</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v1.0</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Classification</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CONFIDENTIAL</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Status</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Final</w:t>
            </w:r>
          </w:p>
        </w:tc>
      </w:tr>
    </w:tbl>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1.   Introduction</w:t>
      </w:r>
    </w:p>
    <w:p>
      <w:pPr>
        <w:spacing w:after="80"/>
      </w:pPr>
      <w:r>
        <w:t xml:space="preserve"/>
      </w:r>
    </w:p>
    <w:p>
      <w:pPr>
        <w:spacing w:after="120"/>
      </w:pPr>
      <w:r>
        <w:rPr>
          <w:rFonts w:ascii="Arial" w:cs="Arial" w:eastAsia="Arial" w:hAnsi="Arial"/>
          <w:color w:val="1A1A1A"/>
          <w:sz w:val="22"/>
          <w:szCs w:val="22"/>
        </w:rPr>
        <w:t xml:space="preserve">This document constitutes the formal Audit Engagement Letter and Scope of Work between Resolute Compliance Advisory LLP (hereinafter referred to as </w:t>
      </w:r>
      <w:r>
        <w:rPr>
          <w:rFonts w:ascii="Arial" w:cs="Arial" w:eastAsia="Arial" w:hAnsi="Arial"/>
          <w:b/>
          <w:bCs/>
          <w:color w:val="1A1A1A"/>
          <w:sz w:val="22"/>
          <w:szCs w:val="22"/>
        </w:rPr>
        <w:t xml:space="preserve">"the Firm"</w:t>
      </w:r>
      <w:r>
        <w:rPr>
          <w:rFonts w:ascii="Arial" w:cs="Arial" w:eastAsia="Arial" w:hAnsi="Arial"/>
          <w:color w:val="1A1A1A"/>
          <w:sz w:val="22"/>
          <w:szCs w:val="22"/>
        </w:rPr>
        <w:t xml:space="preserve">) and Rawabi Health Services Co. (hereinafter referred to as </w:t>
      </w:r>
      <w:r>
        <w:rPr>
          <w:rFonts w:ascii="Arial" w:cs="Arial" w:eastAsia="Arial" w:hAnsi="Arial"/>
          <w:b/>
          <w:bCs/>
          <w:color w:val="1A1A1A"/>
          <w:sz w:val="22"/>
          <w:szCs w:val="22"/>
        </w:rPr>
        <w:t xml:space="preserve">"the Client"</w:t>
      </w:r>
      <w:r>
        <w:rPr>
          <w:rFonts w:ascii="Arial" w:cs="Arial" w:eastAsia="Arial" w:hAnsi="Arial"/>
          <w:color w:val="1A1A1A"/>
          <w:sz w:val="22"/>
          <w:szCs w:val="22"/>
        </w:rPr>
        <w:t xml:space="preserve">). It sets out the objectives, scope, methodology, deliverables, roles, responsibilities, and timeline governing the compliance audit engagement against the National Cybersecurity Authority Essential Cybersecurity Controls (NCA ECC-1:2018) and the Saudi Personal Data Protection Law (PDPL).</w:t>
      </w:r>
    </w:p>
    <w:p>
      <w:pPr>
        <w:spacing w:after="80"/>
      </w:pPr>
      <w:r>
        <w:t xml:space="preserve"/>
      </w:r>
    </w:p>
    <w:p>
      <w:pPr>
        <w:pBdr>
          <w:bottom w:val="single" w:color="C8A951" w:sz="4"/>
        </w:pBdr>
        <w:spacing w:after="80" w:before="200"/>
      </w:pPr>
      <w:r>
        <w:rPr>
          <w:rFonts w:ascii="Arial" w:cs="Arial" w:eastAsia="Arial" w:hAnsi="Arial"/>
          <w:b/>
          <w:bCs/>
          <w:color w:val="1B2A4A"/>
          <w:sz w:val="24"/>
          <w:szCs w:val="24"/>
        </w:rPr>
        <w:t xml:space="preserve">1.1   Engagement Overview</w:t>
      </w:r>
    </w:p>
    <w:p>
      <w:pPr>
        <w:spacing w:after="120"/>
      </w:pPr>
      <w:r>
        <w:rPr>
          <w:rFonts w:ascii="Arial" w:cs="Arial" w:eastAsia="Arial" w:hAnsi="Arial"/>
          <w:color w:val="1A1A1A"/>
          <w:sz w:val="22"/>
          <w:szCs w:val="22"/>
        </w:rPr>
        <w:t xml:space="preserve">Rawabi Health Services Co. is a private healthcare services provider operating outpatient specialty clinics and diagnostic centres in Jeddah and Medina, Saudi Arabia. The organisation processes sensitive personal health data at scale, including patient clinical records, diagnostic imaging, and laboratory results, across a network of facilities serving approximately 1,800 patients per month.</w:t>
      </w:r>
    </w:p>
    <w:p>
      <w:pPr>
        <w:spacing w:after="60"/>
      </w:pPr>
      <w:r>
        <w:t xml:space="preserve"/>
      </w:r>
    </w:p>
    <w:p>
      <w:pPr>
        <w:spacing w:after="120"/>
      </w:pPr>
      <w:r>
        <w:rPr>
          <w:rFonts w:ascii="Arial" w:cs="Arial" w:eastAsia="Arial" w:hAnsi="Arial"/>
          <w:color w:val="1A1A1A"/>
          <w:sz w:val="22"/>
          <w:szCs w:val="22"/>
        </w:rPr>
        <w:t xml:space="preserve">As a healthcare operator processing sensitive personal data within the Kingdom of Saudi Arabia, Rawabi is subject to mandatory cybersecurity obligations under the NCA ECC-1:2018 framework and data protection obligations under the PDPL, which has been in full enforcement since September 2023. Health data is explicitly classified as sensitive personal data under PDPL Article 23, placing Rawabi in the highest-risk processing category under that law.</w:t>
      </w:r>
    </w:p>
    <w:p>
      <w:pPr>
        <w:spacing w:after="60"/>
      </w:pPr>
      <w:r>
        <w:t xml:space="preserve"/>
      </w:r>
    </w:p>
    <w:p>
      <w:pPr>
        <w:spacing w:after="120"/>
      </w:pPr>
      <w:r>
        <w:rPr>
          <w:rFonts w:ascii="Arial" w:cs="Arial" w:eastAsia="Arial" w:hAnsi="Arial"/>
          <w:color w:val="1A1A1A"/>
          <w:sz w:val="22"/>
          <w:szCs w:val="22"/>
        </w:rPr>
        <w:t xml:space="preserve">Rawabi has engaged Resolute Compliance Advisory LLP to conduct an independent compliance audit assessing the organisation's current cybersecurity posture against all applicable NCA ECC-1:2018 controls and its compliance status against the PDPL's substantive obligations. The audit will identify gaps, assess risks, and provide a prioritised corrective action plan to support the organisation's path to full compliance.</w:t>
      </w:r>
    </w:p>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2.   Client Profile</w:t>
      </w:r>
    </w:p>
    <w:p>
      <w:pPr>
        <w:spacing w:after="80"/>
      </w:pPr>
      <w:r>
        <w:t xml:space="preserve"/>
      </w:r>
    </w:p>
    <w:p>
      <w:pPr>
        <w:pBdr>
          <w:bottom w:val="single" w:color="C8A951" w:sz="4"/>
        </w:pBdr>
        <w:spacing w:after="80" w:before="200"/>
      </w:pPr>
      <w:r>
        <w:rPr>
          <w:rFonts w:ascii="Arial" w:cs="Arial" w:eastAsia="Arial" w:hAnsi="Arial"/>
          <w:b/>
          <w:bCs/>
          <w:color w:val="1B2A4A"/>
          <w:sz w:val="24"/>
          <w:szCs w:val="24"/>
        </w:rPr>
        <w:t xml:space="preserve">2.1   Organisation Details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Organisation Name</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Rawabi Health Services Co.</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Industry Sector</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Healthcare — Outpatient Clinics &amp; Diagnostic Services</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Headquarters</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Jeddah, Kingdom of Saudi Arabia</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Branch Location</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Medina, Kingdom of Saudi Arabia</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Employees</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Approximately 280</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Established</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2009</w:t>
            </w:r>
          </w:p>
        </w:tc>
      </w:tr>
      <w:tr>
        <w:tc>
          <w:tcPr>
            <w:tcW w:type="dxa" w:w="3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Ownership</w:t>
            </w:r>
          </w:p>
        </w:tc>
        <w:tc>
          <w:tcPr>
            <w:tcW w:type="dxa" w:w="6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Saudi private (family-group owned)</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Regulatory Bodies</w:t>
            </w:r>
          </w:p>
        </w:tc>
        <w:tc>
          <w:tcPr>
            <w:tcW w:type="dxa" w:w="65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Ministry of Health (MoH), Saudi Health Council, NCA, SDAIA</w:t>
            </w:r>
          </w:p>
        </w:tc>
      </w:tr>
    </w:tbl>
    <w:p>
      <w:pPr>
        <w:spacing w:after="120"/>
      </w:pPr>
      <w:r>
        <w:t xml:space="preserve"/>
      </w:r>
    </w:p>
    <w:p>
      <w:pPr>
        <w:pBdr>
          <w:bottom w:val="single" w:color="C8A951" w:sz="4"/>
        </w:pBdr>
        <w:spacing w:after="80" w:before="200"/>
      </w:pPr>
      <w:r>
        <w:rPr>
          <w:rFonts w:ascii="Arial" w:cs="Arial" w:eastAsia="Arial" w:hAnsi="Arial"/>
          <w:b/>
          <w:bCs/>
          <w:color w:val="1B2A4A"/>
          <w:sz w:val="24"/>
          <w:szCs w:val="24"/>
        </w:rPr>
        <w:t xml:space="preserve">2.2   Services</w:t>
      </w:r>
    </w:p>
    <w:p>
      <w:pPr>
        <w:spacing w:after="120"/>
      </w:pPr>
      <w:r>
        <w:rPr>
          <w:rFonts w:ascii="Arial" w:cs="Arial" w:eastAsia="Arial" w:hAnsi="Arial"/>
          <w:color w:val="1A1A1A"/>
          <w:sz w:val="22"/>
          <w:szCs w:val="22"/>
        </w:rPr>
        <w:t xml:space="preserve">Rawabi Health Services operates a network of outpatient specialty clinics and diagnostic centres across Jeddah and Medina, providing services in cardiology, orthopaedics, radiology, and laboratory diagnostics. The organisation also operates a home healthcare division delivering post-surgical care and physiotherapy services. Combined patient volumes across all sites are approximately 1,800 visits per month.</w:t>
      </w:r>
    </w:p>
    <w:p>
      <w:pPr>
        <w:spacing w:after="120"/>
      </w:pPr>
      <w:r>
        <w:t xml:space="preserve"/>
      </w:r>
    </w:p>
    <w:p>
      <w:pPr>
        <w:pBdr>
          <w:bottom w:val="single" w:color="C8A951" w:sz="4"/>
        </w:pBdr>
        <w:spacing w:after="80" w:before="200"/>
      </w:pPr>
      <w:r>
        <w:rPr>
          <w:rFonts w:ascii="Arial" w:cs="Arial" w:eastAsia="Arial" w:hAnsi="Arial"/>
          <w:b/>
          <w:bCs/>
          <w:color w:val="1B2A4A"/>
          <w:sz w:val="24"/>
          <w:szCs w:val="24"/>
        </w:rPr>
        <w:t xml:space="preserve">2.3   IT &amp; Systems Environment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800"/>
        <w:gridCol w:w="5946"/>
      </w:tblGrid>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Hospital Information System (HIS)</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Napas HIS — on-premise, Jeddah data centre; patient records, lab orders, appointments</w:t>
            </w:r>
          </w:p>
        </w:tc>
      </w:tr>
      <w:tr>
        <w:tc>
          <w:tcPr>
            <w:tcW w:type="dxa" w:w="3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Laboratory Information System (LIS)</w:t>
            </w:r>
          </w:p>
        </w:tc>
        <w:tc>
          <w:tcPr>
            <w:tcW w:type="dxa" w:w="59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Meditech LIS — integrated with Napas HIS</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Radiology / PACS</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Agfa PACS — on-premise; stores DICOM imaging files</w:t>
            </w:r>
          </w:p>
        </w:tc>
      </w:tr>
      <w:tr>
        <w:tc>
          <w:tcPr>
            <w:tcW w:type="dxa" w:w="3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Finance / ERP</w:t>
            </w:r>
          </w:p>
        </w:tc>
        <w:tc>
          <w:tcPr>
            <w:tcW w:type="dxa" w:w="59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SAP Business One — on-premise</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Collaboration</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Microsoft 365 — Exchange Online, Teams, SharePoint</w:t>
            </w:r>
          </w:p>
        </w:tc>
      </w:tr>
      <w:tr>
        <w:tc>
          <w:tcPr>
            <w:tcW w:type="dxa" w:w="3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Identity &amp; Access</w:t>
            </w:r>
          </w:p>
        </w:tc>
        <w:tc>
          <w:tcPr>
            <w:tcW w:type="dxa" w:w="59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On-premise Active Directory; no MFA enforced organisation-wide</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Cloud Workloads</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 primary cloud infrastructure; Microsoft 365 is the sole cloud service</w:t>
            </w:r>
          </w:p>
        </w:tc>
      </w:tr>
      <w:tr>
        <w:tc>
          <w:tcPr>
            <w:tcW w:type="dxa" w:w="3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Network Architecture</w:t>
            </w:r>
          </w:p>
        </w:tc>
        <w:tc>
          <w:tcPr>
            <w:tcW w:type="dxa" w:w="59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Single flat network — clinical and administrative traffic unsegregated</w:t>
            </w:r>
          </w:p>
        </w:tc>
      </w:tr>
      <w:tr>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Backup</w:t>
            </w:r>
          </w:p>
        </w:tc>
        <w:tc>
          <w:tcPr>
            <w:tcW w:type="dxa" w:w="5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On-site tape backup (weekly full, daily incremental); no offsite or cloud backup</w:t>
            </w:r>
          </w:p>
        </w:tc>
      </w:tr>
      <w:tr>
        <w:tc>
          <w:tcPr>
            <w:tcW w:type="dxa" w:w="3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B2A4A"/>
                <w:sz w:val="22"/>
                <w:szCs w:val="22"/>
              </w:rPr>
              <w:t xml:space="preserve">Endpoints</w:t>
            </w:r>
          </w:p>
        </w:tc>
        <w:tc>
          <w:tcPr>
            <w:tcW w:type="dxa" w:w="59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2"/>
                <w:szCs w:val="22"/>
              </w:rPr>
              <w:t xml:space="preserve">Approximately 180 Windows endpoints; antivirus deployed; no EDR solution</w:t>
            </w:r>
          </w:p>
        </w:tc>
      </w:tr>
    </w:tbl>
    <w:p>
      <w:pPr>
        <w:spacing w:after="120"/>
      </w:pPr>
      <w:r>
        <w:t xml:space="preserve"/>
      </w:r>
    </w:p>
    <w:p>
      <w:pPr>
        <w:pBdr>
          <w:bottom w:val="single" w:color="C8A951" w:sz="4"/>
        </w:pBdr>
        <w:spacing w:after="80" w:before="200"/>
      </w:pPr>
      <w:r>
        <w:rPr>
          <w:rFonts w:ascii="Arial" w:cs="Arial" w:eastAsia="Arial" w:hAnsi="Arial"/>
          <w:b/>
          <w:bCs/>
          <w:color w:val="1B2A4A"/>
          <w:sz w:val="24"/>
          <w:szCs w:val="24"/>
        </w:rPr>
        <w:t xml:space="preserve">2.4   IT Function</w:t>
      </w:r>
    </w:p>
    <w:p>
      <w:pPr>
        <w:spacing w:after="120"/>
      </w:pPr>
      <w:r>
        <w:rPr>
          <w:rFonts w:ascii="Arial" w:cs="Arial" w:eastAsia="Arial" w:hAnsi="Arial"/>
          <w:color w:val="1A1A1A"/>
          <w:sz w:val="22"/>
          <w:szCs w:val="22"/>
        </w:rPr>
        <w:t xml:space="preserve">Rawabi maintains an 8-person IT department focused on infrastructure operations. There is no dedicated cybersecurity function and no Chief Information Security Officer (CISO). Cybersecurity responsibilities are held informally by the IT Manager, who reports to the Chief Operations Officer. Security decisions are made on an ad hoc basis with no formal governance structure, policies, or risk management framework in place.</w:t>
      </w:r>
    </w:p>
    <w:p>
      <w:pPr>
        <w:spacing w:after="120"/>
      </w:pPr>
      <w:r>
        <w:t xml:space="preserve"/>
      </w:r>
    </w:p>
    <w:p>
      <w:pPr>
        <w:pBdr>
          <w:bottom w:val="single" w:color="C8A951" w:sz="4"/>
        </w:pBdr>
        <w:spacing w:after="80" w:before="200"/>
      </w:pPr>
      <w:r>
        <w:rPr>
          <w:rFonts w:ascii="Arial" w:cs="Arial" w:eastAsia="Arial" w:hAnsi="Arial"/>
          <w:b/>
          <w:bCs/>
          <w:color w:val="1B2A4A"/>
          <w:sz w:val="24"/>
          <w:szCs w:val="24"/>
        </w:rPr>
        <w:t xml:space="preserve">2.5   Third-Party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346"/>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Third Party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3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Data Shared</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1A1A"/>
                <w:sz w:val="22"/>
                <w:szCs w:val="22"/>
              </w:rPr>
              <w:t xml:space="preserve">Bupa Arabia</w:t>
            </w:r>
          </w:p>
        </w:tc>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Insurance partner — patient eligibility verification</w:t>
            </w:r>
          </w:p>
        </w:tc>
        <w:tc>
          <w:tcPr>
            <w:tcW w:type="dxa" w:w="3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Patient identifiers, diagnosis codes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Nphies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MoH national health platform — claims submission</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Patient data, clinical records</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1A1A"/>
                <w:sz w:val="22"/>
                <w:szCs w:val="22"/>
              </w:rPr>
              <w:t xml:space="preserve">DHL Medical Logistics</w:t>
            </w:r>
          </w:p>
        </w:tc>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Specimen transport</w:t>
            </w:r>
          </w:p>
        </w:tc>
        <w:tc>
          <w:tcPr>
            <w:tcW w:type="dxa" w:w="3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Limited patient identifiers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Napas (vendor)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HIS support &amp; remote maintenance</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Remote access to live HIS system</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1A1A"/>
                <w:sz w:val="22"/>
                <w:szCs w:val="22"/>
              </w:rPr>
              <w:t xml:space="preserve">Al Bilad Lab</w:t>
            </w:r>
          </w:p>
        </w:tc>
        <w:tc>
          <w:tcPr>
            <w:tcW w:type="dxa" w:w="3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External reference laboratory</w:t>
            </w:r>
          </w:p>
        </w:tc>
        <w:tc>
          <w:tcPr>
            <w:tcW w:type="dxa" w:w="3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Patient samples, lab results</w:t>
            </w:r>
          </w:p>
        </w:tc>
      </w:tr>
    </w:tbl>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3.   Regulatory &amp; Compliance Context</w:t>
      </w:r>
    </w:p>
    <w:p>
      <w:pPr>
        <w:spacing w:after="80"/>
      </w:pPr>
      <w:r>
        <w:t xml:space="preserve"/>
      </w:r>
    </w:p>
    <w:p>
      <w:pPr>
        <w:pBdr>
          <w:bottom w:val="single" w:color="C8A951" w:sz="4"/>
        </w:pBdr>
        <w:spacing w:after="80" w:before="200"/>
      </w:pPr>
      <w:r>
        <w:rPr>
          <w:rFonts w:ascii="Arial" w:cs="Arial" w:eastAsia="Arial" w:hAnsi="Arial"/>
          <w:b/>
          <w:bCs/>
          <w:color w:val="1B2A4A"/>
          <w:sz w:val="24"/>
          <w:szCs w:val="24"/>
        </w:rPr>
        <w:t xml:space="preserve">3.1   NCA Essential Cybersecurity Controls (ECC-1:2018)</w:t>
      </w:r>
    </w:p>
    <w:p>
      <w:pPr>
        <w:spacing w:after="120"/>
      </w:pPr>
      <w:r>
        <w:rPr>
          <w:rFonts w:ascii="Arial" w:cs="Arial" w:eastAsia="Arial" w:hAnsi="Arial"/>
          <w:color w:val="1A1A1A"/>
          <w:sz w:val="22"/>
          <w:szCs w:val="22"/>
        </w:rPr>
        <w:t xml:space="preserve">The National Cybersecurity Authority (NCA) Essential Cybersecurity Controls (ECC-1:2018) are mandatory for all government entities and organisations operating critical information infrastructure within the Kingdom of Saudi Arabia. Healthcare is classified as a critical national sector. ECC-1:2018 comprises 114 controls across five domains: Cybersecurity Governance, Cybersecurity Risk Management, Cybersecurity Operations, Third-Party and Cloud Computing Cybersecurity, and Industrial Control Systems Cybersecurity. This engagement assesses Rawabi against all applicable controls across the first four domains.</w:t>
      </w:r>
    </w:p>
    <w:p>
      <w:pPr>
        <w:spacing w:after="100"/>
      </w:pPr>
      <w:r>
        <w:t xml:space="preserve"/>
      </w:r>
    </w:p>
    <w:p>
      <w:pPr>
        <w:pBdr>
          <w:bottom w:val="single" w:color="C8A951" w:sz="4"/>
        </w:pBdr>
        <w:spacing w:after="80" w:before="200"/>
      </w:pPr>
      <w:r>
        <w:rPr>
          <w:rFonts w:ascii="Arial" w:cs="Arial" w:eastAsia="Arial" w:hAnsi="Arial"/>
          <w:b/>
          <w:bCs/>
          <w:color w:val="1B2A4A"/>
          <w:sz w:val="24"/>
          <w:szCs w:val="24"/>
        </w:rPr>
        <w:t xml:space="preserve">3.2   Saudi Personal Data Protection Law (PDPL)</w:t>
      </w:r>
    </w:p>
    <w:p>
      <w:pPr>
        <w:spacing w:after="120"/>
      </w:pPr>
      <w:r>
        <w:rPr>
          <w:rFonts w:ascii="Arial" w:cs="Arial" w:eastAsia="Arial" w:hAnsi="Arial"/>
          <w:color w:val="1A1A1A"/>
          <w:sz w:val="22"/>
          <w:szCs w:val="22"/>
        </w:rPr>
        <w:t xml:space="preserve">The Personal Data Protection Law (PDPL), issued by Royal Decree M/19 dated 09/02/1443H, has been in full enforcement since September 2023. The PDPL governs the collection, processing, storage, and transfer of personal data for all organisations operating within or targeting individuals in the Kingdom of Saudi Arabia. Oversight and enforcement authority rests with the Saudi Data and AI Authority (SDAIA).</w:t>
      </w:r>
    </w:p>
    <w:p>
      <w:pPr>
        <w:spacing w:after="60"/>
      </w:pPr>
      <w:r>
        <w:t xml:space="preserve"/>
      </w:r>
    </w:p>
    <w:p>
      <w:pPr>
        <w:spacing w:after="120"/>
      </w:pPr>
      <w:r>
        <w:rPr>
          <w:rFonts w:ascii="Arial" w:cs="Arial" w:eastAsia="Arial" w:hAnsi="Arial"/>
          <w:color w:val="1A1A1A"/>
          <w:sz w:val="22"/>
          <w:szCs w:val="22"/>
        </w:rPr>
        <w:t xml:space="preserve">Health data — including clinical records, diagnostic results, imaging files, and any data that identifies or could identify a patient's health status — is explicitly classified as sensitive personal data under PDPL Article 23. Organisations processing sensitive personal data are subject to heightened obligations, including obtaining explicit informed consent for processing, implementing proportionate technical and organisational safeguards, and notifying SDAIA within 72 hours of a confirmed personal data breach under Article 20.</w:t>
      </w:r>
    </w:p>
    <w:p>
      <w:pPr>
        <w:spacing w:after="60"/>
      </w:pPr>
      <w:r>
        <w:t xml:space="preserve"/>
      </w:r>
    </w:p>
    <w:p>
      <w:pPr>
        <w:spacing w:after="120"/>
      </w:pPr>
      <w:r>
        <w:rPr>
          <w:rFonts w:ascii="Arial" w:cs="Arial" w:eastAsia="Arial" w:hAnsi="Arial"/>
          <w:color w:val="1A1A1A"/>
          <w:sz w:val="22"/>
          <w:szCs w:val="22"/>
        </w:rPr>
        <w:t xml:space="preserve">Given the nature of Rawabi's operations, the volume of patient data processed across Jeddah and Medina sites, and the organisation's data-sharing relationships with insurance partners and the national Nphies platform, PDPL compliance is a material regulatory obligation requiring immediate attention.</w:t>
      </w:r>
    </w:p>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4.   Scope of Work</w:t>
      </w:r>
    </w:p>
    <w:p>
      <w:pPr>
        <w:spacing w:after="80"/>
      </w:pPr>
      <w:r>
        <w:t xml:space="preserve"/>
      </w:r>
    </w:p>
    <w:p>
      <w:pPr>
        <w:pBdr>
          <w:bottom w:val="single" w:color="C8A951" w:sz="4"/>
        </w:pBdr>
        <w:spacing w:after="80" w:before="200"/>
      </w:pPr>
      <w:r>
        <w:rPr>
          <w:rFonts w:ascii="Arial" w:cs="Arial" w:eastAsia="Arial" w:hAnsi="Arial"/>
          <w:b/>
          <w:bCs/>
          <w:color w:val="1B2A4A"/>
          <w:sz w:val="24"/>
          <w:szCs w:val="24"/>
        </w:rPr>
        <w:t xml:space="preserve">4.1   NCA ECC-1:2018 Compliance Audit</w:t>
      </w:r>
    </w:p>
    <w:p>
      <w:pPr>
        <w:spacing w:after="120"/>
      </w:pPr>
      <w:r>
        <w:rPr>
          <w:rFonts w:ascii="Arial" w:cs="Arial" w:eastAsia="Arial" w:hAnsi="Arial"/>
          <w:color w:val="1A1A1A"/>
          <w:sz w:val="22"/>
          <w:szCs w:val="22"/>
        </w:rPr>
        <w:t xml:space="preserve">The audit will assess Rawabi Health Services Co. against all 114 controls contained in the NCA ECC-1:2018 framework, organised across five control domains. Each control will be evaluated and rated as one of the following:</w:t>
      </w:r>
    </w:p>
    <w:p>
      <w:pPr>
        <w:spacing w:after="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Rating</w:t>
            </w:r>
          </w:p>
        </w:tc>
        <w:tc>
          <w:tcPr>
            <w:tcW w:type="dxa" w:w="75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Conformant</w:t>
            </w:r>
          </w:p>
        </w:tc>
        <w:tc>
          <w:tcPr>
            <w:tcW w:type="dxa" w:w="75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Control is fully implemented and evidence of operation is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Partial</w:t>
            </w:r>
          </w:p>
        </w:tc>
        <w:tc>
          <w:tcPr>
            <w:tcW w:type="dxa" w:w="7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Control is partially implemented; gaps or weaknesses are present</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Non-Conformant</w:t>
            </w:r>
          </w:p>
        </w:tc>
        <w:tc>
          <w:tcPr>
            <w:tcW w:type="dxa" w:w="75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Control is absent or ineffective; no evidence of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Not Applicable</w:t>
            </w:r>
          </w:p>
        </w:tc>
        <w:tc>
          <w:tcPr>
            <w:tcW w:type="dxa" w:w="7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Control is not applicable to Rawabi's operating environment</w:t>
            </w:r>
          </w:p>
        </w:tc>
      </w:tr>
    </w:tbl>
    <w:p>
      <w:pPr>
        <w:spacing w:after="120"/>
      </w:pPr>
      <w:r>
        <w:t xml:space="preserve"/>
      </w:r>
    </w:p>
    <w:p>
      <w:pPr>
        <w:spacing w:after="120"/>
      </w:pPr>
      <w:r>
        <w:rPr>
          <w:rFonts w:ascii="Arial" w:cs="Arial" w:eastAsia="Arial" w:hAnsi="Arial"/>
          <w:color w:val="1A1A1A"/>
          <w:sz w:val="22"/>
          <w:szCs w:val="22"/>
        </w:rPr>
        <w:t xml:space="preserve">Control domains in scope:</w:t>
      </w:r>
    </w:p>
    <w:p>
      <w:pPr>
        <w:pStyle w:val="ListParagraph"/>
        <w:numPr>
          <w:ilvl w:val="0"/>
          <w:numId w:val="2"/>
        </w:numPr>
        <w:spacing w:after="60"/>
      </w:pPr>
      <w:r>
        <w:rPr>
          <w:rFonts w:ascii="Arial" w:cs="Arial" w:eastAsia="Arial" w:hAnsi="Arial"/>
          <w:b w:val="false"/>
          <w:bCs w:val="false"/>
          <w:color w:val="1A1A1A"/>
          <w:sz w:val="22"/>
          <w:szCs w:val="22"/>
        </w:rPr>
        <w:t xml:space="preserve">Domain 1 — Cybersecurity Governance</w:t>
      </w:r>
    </w:p>
    <w:p>
      <w:pPr>
        <w:pStyle w:val="ListParagraph"/>
        <w:numPr>
          <w:ilvl w:val="0"/>
          <w:numId w:val="2"/>
        </w:numPr>
        <w:spacing w:after="60"/>
      </w:pPr>
      <w:r>
        <w:rPr>
          <w:rFonts w:ascii="Arial" w:cs="Arial" w:eastAsia="Arial" w:hAnsi="Arial"/>
          <w:b w:val="false"/>
          <w:bCs w:val="false"/>
          <w:color w:val="1A1A1A"/>
          <w:sz w:val="22"/>
          <w:szCs w:val="22"/>
        </w:rPr>
        <w:t xml:space="preserve">Domain 2 — Cybersecurity Risk Management</w:t>
      </w:r>
    </w:p>
    <w:p>
      <w:pPr>
        <w:pStyle w:val="ListParagraph"/>
        <w:numPr>
          <w:ilvl w:val="0"/>
          <w:numId w:val="2"/>
        </w:numPr>
        <w:spacing w:after="60"/>
      </w:pPr>
      <w:r>
        <w:rPr>
          <w:rFonts w:ascii="Arial" w:cs="Arial" w:eastAsia="Arial" w:hAnsi="Arial"/>
          <w:b w:val="false"/>
          <w:bCs w:val="false"/>
          <w:color w:val="1A1A1A"/>
          <w:sz w:val="22"/>
          <w:szCs w:val="22"/>
        </w:rPr>
        <w:t xml:space="preserve">Domain 3 — Cybersecurity Operations</w:t>
      </w:r>
    </w:p>
    <w:p>
      <w:pPr>
        <w:pStyle w:val="ListParagraph"/>
        <w:numPr>
          <w:ilvl w:val="0"/>
          <w:numId w:val="2"/>
        </w:numPr>
        <w:spacing w:after="60"/>
      </w:pPr>
      <w:r>
        <w:rPr>
          <w:rFonts w:ascii="Arial" w:cs="Arial" w:eastAsia="Arial" w:hAnsi="Arial"/>
          <w:b w:val="false"/>
          <w:bCs w:val="false"/>
          <w:color w:val="1A1A1A"/>
          <w:sz w:val="22"/>
          <w:szCs w:val="22"/>
        </w:rPr>
        <w:t xml:space="preserve">Domain 4 — Third-Party and Cloud Computing Cybersecurity</w:t>
      </w:r>
    </w:p>
    <w:p>
      <w:pPr>
        <w:pStyle w:val="ListParagraph"/>
        <w:numPr>
          <w:ilvl w:val="0"/>
          <w:numId w:val="2"/>
        </w:numPr>
        <w:spacing w:after="60"/>
      </w:pPr>
      <w:r>
        <w:rPr>
          <w:rFonts w:ascii="Arial" w:cs="Arial" w:eastAsia="Arial" w:hAnsi="Arial"/>
          <w:b w:val="false"/>
          <w:bCs w:val="false"/>
          <w:color w:val="1A1A1A"/>
          <w:sz w:val="22"/>
          <w:szCs w:val="22"/>
        </w:rPr>
        <w:t xml:space="preserve">Domain 5 — Industrial Control Systems Cybersecurity (applicability to be confirmed during fieldwork)</w:t>
      </w:r>
    </w:p>
    <w:p>
      <w:pPr>
        <w:spacing w:after="120"/>
      </w:pPr>
      <w:r>
        <w:t xml:space="preserve"/>
      </w:r>
    </w:p>
    <w:p>
      <w:pPr>
        <w:pBdr>
          <w:bottom w:val="single" w:color="C8A951" w:sz="4"/>
        </w:pBdr>
        <w:spacing w:after="80" w:before="200"/>
      </w:pPr>
      <w:r>
        <w:rPr>
          <w:rFonts w:ascii="Arial" w:cs="Arial" w:eastAsia="Arial" w:hAnsi="Arial"/>
          <w:b/>
          <w:bCs/>
          <w:color w:val="1B2A4A"/>
          <w:sz w:val="24"/>
          <w:szCs w:val="24"/>
        </w:rPr>
        <w:t xml:space="preserve">4.2   PDPL Compliance Review</w:t>
      </w:r>
    </w:p>
    <w:p>
      <w:pPr>
        <w:spacing w:after="120"/>
      </w:pPr>
      <w:r>
        <w:rPr>
          <w:rFonts w:ascii="Arial" w:cs="Arial" w:eastAsia="Arial" w:hAnsi="Arial"/>
          <w:color w:val="1A1A1A"/>
          <w:sz w:val="22"/>
          <w:szCs w:val="22"/>
        </w:rPr>
        <w:t xml:space="preserve">The PDPL compliance review will assess Rawabi's adherence to the substantive obligations of the Saudi Personal Data Protection Law. The review will cover the following areas:</w:t>
      </w:r>
    </w:p>
    <w:p>
      <w:pPr>
        <w:pStyle w:val="ListParagraph"/>
        <w:numPr>
          <w:ilvl w:val="0"/>
          <w:numId w:val="2"/>
        </w:numPr>
        <w:spacing w:after="60"/>
      </w:pPr>
      <w:r>
        <w:rPr>
          <w:rFonts w:ascii="Arial" w:cs="Arial" w:eastAsia="Arial" w:hAnsi="Arial"/>
          <w:b w:val="false"/>
          <w:bCs w:val="false"/>
          <w:color w:val="1A1A1A"/>
          <w:sz w:val="22"/>
          <w:szCs w:val="22"/>
        </w:rPr>
        <w:t xml:space="preserve">Lawful basis and consent management for health data processing (Articles 5, 6, 23)</w:t>
      </w:r>
    </w:p>
    <w:p>
      <w:pPr>
        <w:pStyle w:val="ListParagraph"/>
        <w:numPr>
          <w:ilvl w:val="0"/>
          <w:numId w:val="2"/>
        </w:numPr>
        <w:spacing w:after="60"/>
      </w:pPr>
      <w:r>
        <w:rPr>
          <w:rFonts w:ascii="Arial" w:cs="Arial" w:eastAsia="Arial" w:hAnsi="Arial"/>
          <w:b w:val="false"/>
          <w:bCs w:val="false"/>
          <w:color w:val="1A1A1A"/>
          <w:sz w:val="22"/>
          <w:szCs w:val="22"/>
        </w:rPr>
        <w:t xml:space="preserve">Data subject rights mechanisms — access, correction, deletion, and portability (Articles 4, 9)</w:t>
      </w:r>
    </w:p>
    <w:p>
      <w:pPr>
        <w:pStyle w:val="ListParagraph"/>
        <w:numPr>
          <w:ilvl w:val="0"/>
          <w:numId w:val="2"/>
        </w:numPr>
        <w:spacing w:after="60"/>
      </w:pPr>
      <w:r>
        <w:rPr>
          <w:rFonts w:ascii="Arial" w:cs="Arial" w:eastAsia="Arial" w:hAnsi="Arial"/>
          <w:b w:val="false"/>
          <w:bCs w:val="false"/>
          <w:color w:val="1A1A1A"/>
          <w:sz w:val="22"/>
          <w:szCs w:val="22"/>
        </w:rPr>
        <w:t xml:space="preserve">Data processing agreements and third-party data sharing governance (processor obligations)</w:t>
      </w:r>
    </w:p>
    <w:p>
      <w:pPr>
        <w:pStyle w:val="ListParagraph"/>
        <w:numPr>
          <w:ilvl w:val="0"/>
          <w:numId w:val="2"/>
        </w:numPr>
        <w:spacing w:after="60"/>
      </w:pPr>
      <w:r>
        <w:rPr>
          <w:rFonts w:ascii="Arial" w:cs="Arial" w:eastAsia="Arial" w:hAnsi="Arial"/>
          <w:b w:val="false"/>
          <w:bCs w:val="false"/>
          <w:color w:val="1A1A1A"/>
          <w:sz w:val="22"/>
          <w:szCs w:val="22"/>
        </w:rPr>
        <w:t xml:space="preserve">Personal data breach detection and notification procedures — 72-hour SDAIA reporting (Article 20)</w:t>
      </w:r>
    </w:p>
    <w:p>
      <w:pPr>
        <w:pStyle w:val="ListParagraph"/>
        <w:numPr>
          <w:ilvl w:val="0"/>
          <w:numId w:val="2"/>
        </w:numPr>
        <w:spacing w:after="60"/>
      </w:pPr>
      <w:r>
        <w:rPr>
          <w:rFonts w:ascii="Arial" w:cs="Arial" w:eastAsia="Arial" w:hAnsi="Arial"/>
          <w:b w:val="false"/>
          <w:bCs w:val="false"/>
          <w:color w:val="1A1A1A"/>
          <w:sz w:val="22"/>
          <w:szCs w:val="22"/>
        </w:rPr>
        <w:t xml:space="preserve">Privacy notice adequacy and transparency disclosures (Article 11)</w:t>
      </w:r>
    </w:p>
    <w:p>
      <w:pPr>
        <w:pStyle w:val="ListParagraph"/>
        <w:numPr>
          <w:ilvl w:val="0"/>
          <w:numId w:val="2"/>
        </w:numPr>
        <w:spacing w:after="60"/>
      </w:pPr>
      <w:r>
        <w:rPr>
          <w:rFonts w:ascii="Arial" w:cs="Arial" w:eastAsia="Arial" w:hAnsi="Arial"/>
          <w:b w:val="false"/>
          <w:bCs w:val="false"/>
          <w:color w:val="1A1A1A"/>
          <w:sz w:val="22"/>
          <w:szCs w:val="22"/>
        </w:rPr>
        <w:t xml:space="preserve">Cross-border data transfer controls (Article 29)</w:t>
      </w:r>
    </w:p>
    <w:p>
      <w:pPr>
        <w:pStyle w:val="ListParagraph"/>
        <w:numPr>
          <w:ilvl w:val="0"/>
          <w:numId w:val="2"/>
        </w:numPr>
        <w:spacing w:after="60"/>
      </w:pPr>
      <w:r>
        <w:rPr>
          <w:rFonts w:ascii="Arial" w:cs="Arial" w:eastAsia="Arial" w:hAnsi="Arial"/>
          <w:b w:val="false"/>
          <w:bCs w:val="false"/>
          <w:color w:val="1A1A1A"/>
          <w:sz w:val="22"/>
          <w:szCs w:val="22"/>
        </w:rPr>
        <w:t xml:space="preserve">Data retention and disposal procedures</w:t>
      </w:r>
    </w:p>
    <w:p>
      <w:pPr>
        <w:spacing w:after="120"/>
      </w:pPr>
      <w:r>
        <w:t xml:space="preserve"/>
      </w:r>
    </w:p>
    <w:p>
      <w:pPr>
        <w:pBdr>
          <w:bottom w:val="single" w:color="C8A951" w:sz="4"/>
        </w:pBdr>
        <w:spacing w:after="80" w:before="200"/>
      </w:pPr>
      <w:r>
        <w:rPr>
          <w:rFonts w:ascii="Arial" w:cs="Arial" w:eastAsia="Arial" w:hAnsi="Arial"/>
          <w:b/>
          <w:bCs/>
          <w:color w:val="1B2A4A"/>
          <w:sz w:val="24"/>
          <w:szCs w:val="24"/>
        </w:rPr>
        <w:t xml:space="preserve">4.3   Audit Activities</w:t>
      </w:r>
    </w:p>
    <w:p>
      <w:pPr>
        <w:spacing w:after="120"/>
      </w:pPr>
      <w:r>
        <w:rPr>
          <w:rFonts w:ascii="Arial" w:cs="Arial" w:eastAsia="Arial" w:hAnsi="Arial"/>
          <w:color w:val="1A1A1A"/>
          <w:sz w:val="22"/>
          <w:szCs w:val="22"/>
        </w:rPr>
        <w:t xml:space="preserve">The audit will be conducted through the following activities:</w:t>
      </w:r>
    </w:p>
    <w:p>
      <w:pPr>
        <w:pStyle w:val="ListParagraph"/>
        <w:numPr>
          <w:ilvl w:val="0"/>
          <w:numId w:val="2"/>
        </w:numPr>
        <w:spacing w:after="60"/>
      </w:pPr>
      <w:r>
        <w:rPr>
          <w:rFonts w:ascii="Arial" w:cs="Arial" w:eastAsia="Arial" w:hAnsi="Arial"/>
          <w:b w:val="false"/>
          <w:bCs w:val="false"/>
          <w:color w:val="1A1A1A"/>
          <w:sz w:val="22"/>
          <w:szCs w:val="22"/>
        </w:rPr>
        <w:t xml:space="preserve">Document review — policies, procedures, contracts, system configurations, and prior audit records</w:t>
      </w:r>
    </w:p>
    <w:p>
      <w:pPr>
        <w:pStyle w:val="ListParagraph"/>
        <w:numPr>
          <w:ilvl w:val="0"/>
          <w:numId w:val="2"/>
        </w:numPr>
        <w:spacing w:after="60"/>
      </w:pPr>
      <w:r>
        <w:rPr>
          <w:rFonts w:ascii="Arial" w:cs="Arial" w:eastAsia="Arial" w:hAnsi="Arial"/>
          <w:b w:val="false"/>
          <w:bCs w:val="false"/>
          <w:color w:val="1A1A1A"/>
          <w:sz w:val="22"/>
          <w:szCs w:val="22"/>
        </w:rPr>
        <w:t xml:space="preserve">Stakeholder interviews — IT Manager, Operations Manager, and clinical administration staff</w:t>
      </w:r>
    </w:p>
    <w:p>
      <w:pPr>
        <w:pStyle w:val="ListParagraph"/>
        <w:numPr>
          <w:ilvl w:val="0"/>
          <w:numId w:val="2"/>
        </w:numPr>
        <w:spacing w:after="60"/>
      </w:pPr>
      <w:r>
        <w:rPr>
          <w:rFonts w:ascii="Arial" w:cs="Arial" w:eastAsia="Arial" w:hAnsi="Arial"/>
          <w:b w:val="false"/>
          <w:bCs w:val="false"/>
          <w:color w:val="1A1A1A"/>
          <w:sz w:val="22"/>
          <w:szCs w:val="22"/>
        </w:rPr>
        <w:t xml:space="preserve">System walkthroughs — Napas HIS, Agfa PACS, Active Directory, and Microsoft 365 administration</w:t>
      </w:r>
    </w:p>
    <w:p>
      <w:pPr>
        <w:pStyle w:val="ListParagraph"/>
        <w:numPr>
          <w:ilvl w:val="0"/>
          <w:numId w:val="2"/>
        </w:numPr>
        <w:spacing w:after="60"/>
      </w:pPr>
      <w:r>
        <w:rPr>
          <w:rFonts w:ascii="Arial" w:cs="Arial" w:eastAsia="Arial" w:hAnsi="Arial"/>
          <w:b w:val="false"/>
          <w:bCs w:val="false"/>
          <w:color w:val="1A1A1A"/>
          <w:sz w:val="22"/>
          <w:szCs w:val="22"/>
        </w:rPr>
        <w:t xml:space="preserve">Evidence collection and validation against ECC control requirements</w:t>
      </w:r>
    </w:p>
    <w:p>
      <w:pPr>
        <w:pStyle w:val="ListParagraph"/>
        <w:numPr>
          <w:ilvl w:val="0"/>
          <w:numId w:val="2"/>
        </w:numPr>
        <w:spacing w:after="60"/>
      </w:pPr>
      <w:r>
        <w:rPr>
          <w:rFonts w:ascii="Arial" w:cs="Arial" w:eastAsia="Arial" w:hAnsi="Arial"/>
          <w:b w:val="false"/>
          <w:bCs w:val="false"/>
          <w:color w:val="1A1A1A"/>
          <w:sz w:val="22"/>
          <w:szCs w:val="22"/>
        </w:rPr>
        <w:t xml:space="preserve">Third-party contract review — Bupa Arabia, Nphies, and Napas vendor agreements</w:t>
      </w:r>
    </w:p>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5.   Out of Scope</w:t>
      </w:r>
    </w:p>
    <w:p>
      <w:pPr>
        <w:spacing w:after="80"/>
      </w:pPr>
      <w:r>
        <w:t xml:space="preserve"/>
      </w:r>
    </w:p>
    <w:p>
      <w:pPr>
        <w:spacing w:after="120"/>
      </w:pPr>
      <w:r>
        <w:rPr>
          <w:rFonts w:ascii="Arial" w:cs="Arial" w:eastAsia="Arial" w:hAnsi="Arial"/>
          <w:color w:val="1A1A1A"/>
          <w:sz w:val="22"/>
          <w:szCs w:val="22"/>
        </w:rPr>
        <w:t xml:space="preserve">The following items are explicitly excluded from this engagement:</w:t>
      </w:r>
    </w:p>
    <w:p>
      <w:pPr>
        <w:pStyle w:val="ListParagraph"/>
        <w:numPr>
          <w:ilvl w:val="0"/>
          <w:numId w:val="2"/>
        </w:numPr>
        <w:spacing w:after="60"/>
      </w:pPr>
      <w:r>
        <w:rPr>
          <w:rFonts w:ascii="Arial" w:cs="Arial" w:eastAsia="Arial" w:hAnsi="Arial"/>
          <w:b w:val="false"/>
          <w:bCs w:val="false"/>
          <w:color w:val="1A1A1A"/>
          <w:sz w:val="22"/>
          <w:szCs w:val="22"/>
        </w:rPr>
        <w:t xml:space="preserve">Implementation of controls or remediation activities — these remain the sole responsibility of the Client</w:t>
      </w:r>
    </w:p>
    <w:p>
      <w:pPr>
        <w:pStyle w:val="ListParagraph"/>
        <w:numPr>
          <w:ilvl w:val="0"/>
          <w:numId w:val="2"/>
        </w:numPr>
        <w:spacing w:after="60"/>
      </w:pPr>
      <w:r>
        <w:rPr>
          <w:rFonts w:ascii="Arial" w:cs="Arial" w:eastAsia="Arial" w:hAnsi="Arial"/>
          <w:b w:val="false"/>
          <w:bCs w:val="false"/>
          <w:color w:val="1A1A1A"/>
          <w:sz w:val="22"/>
          <w:szCs w:val="22"/>
        </w:rPr>
        <w:t xml:space="preserve">Penetration testing, vulnerability scanning, or technical security testing of any system</w:t>
      </w:r>
    </w:p>
    <w:p>
      <w:pPr>
        <w:pStyle w:val="ListParagraph"/>
        <w:numPr>
          <w:ilvl w:val="0"/>
          <w:numId w:val="2"/>
        </w:numPr>
        <w:spacing w:after="60"/>
      </w:pPr>
      <w:r>
        <w:rPr>
          <w:rFonts w:ascii="Arial" w:cs="Arial" w:eastAsia="Arial" w:hAnsi="Arial"/>
          <w:b w:val="false"/>
          <w:bCs w:val="false"/>
          <w:color w:val="1A1A1A"/>
          <w:sz w:val="22"/>
          <w:szCs w:val="22"/>
        </w:rPr>
        <w:t xml:space="preserve">Certification audit or issuance of any compliance certificate — this engagement is an audit and readiness assessment only</w:t>
      </w:r>
    </w:p>
    <w:p>
      <w:pPr>
        <w:pStyle w:val="ListParagraph"/>
        <w:numPr>
          <w:ilvl w:val="0"/>
          <w:numId w:val="2"/>
        </w:numPr>
        <w:spacing w:after="60"/>
      </w:pPr>
      <w:r>
        <w:rPr>
          <w:rFonts w:ascii="Arial" w:cs="Arial" w:eastAsia="Arial" w:hAnsi="Arial"/>
          <w:b w:val="false"/>
          <w:bCs w:val="false"/>
          <w:color w:val="1A1A1A"/>
          <w:sz w:val="22"/>
          <w:szCs w:val="22"/>
        </w:rPr>
        <w:t xml:space="preserve">Assessment of Industrial Control Systems (Domain 5) unless confirmed as applicable during initial fieldwork</w:t>
      </w:r>
    </w:p>
    <w:p>
      <w:pPr>
        <w:pStyle w:val="ListParagraph"/>
        <w:numPr>
          <w:ilvl w:val="0"/>
          <w:numId w:val="2"/>
        </w:numPr>
        <w:spacing w:after="60"/>
      </w:pPr>
      <w:r>
        <w:rPr>
          <w:rFonts w:ascii="Arial" w:cs="Arial" w:eastAsia="Arial" w:hAnsi="Arial"/>
          <w:b w:val="false"/>
          <w:bCs w:val="false"/>
          <w:color w:val="1A1A1A"/>
          <w:sz w:val="22"/>
          <w:szCs w:val="22"/>
        </w:rPr>
        <w:t xml:space="preserve">Assessment of GDPR or any non-KSA data protection framework — this engagement is scoped to PDPL only</w:t>
      </w:r>
    </w:p>
    <w:p>
      <w:pPr>
        <w:pStyle w:val="ListParagraph"/>
        <w:numPr>
          <w:ilvl w:val="0"/>
          <w:numId w:val="2"/>
        </w:numPr>
        <w:spacing w:after="60"/>
      </w:pPr>
      <w:r>
        <w:rPr>
          <w:rFonts w:ascii="Arial" w:cs="Arial" w:eastAsia="Arial" w:hAnsi="Arial"/>
          <w:b w:val="false"/>
          <w:bCs w:val="false"/>
          <w:color w:val="1A1A1A"/>
          <w:sz w:val="22"/>
          <w:szCs w:val="22"/>
        </w:rPr>
        <w:t xml:space="preserve">Physical security testing of clinic or data centre facilities beyond document and walkthrough review</w:t>
      </w:r>
    </w:p>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6.   Deliverables</w:t>
      </w:r>
    </w:p>
    <w:p>
      <w:pPr>
        <w:spacing w:after="80"/>
      </w:pPr>
      <w:r>
        <w:t xml:space="preserve"/>
      </w:r>
    </w:p>
    <w:p>
      <w:pPr>
        <w:spacing w:after="120"/>
      </w:pPr>
      <w:r>
        <w:rPr>
          <w:rFonts w:ascii="Arial" w:cs="Arial" w:eastAsia="Arial" w:hAnsi="Arial"/>
          <w:color w:val="1A1A1A"/>
          <w:sz w:val="22"/>
          <w:szCs w:val="22"/>
        </w:rPr>
        <w:t xml:space="preserve">Resolute Compliance Advisory LLP will provide the following deliverables upon completion of the engagement:</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Ref</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57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RCA-P4-001</w:t>
            </w:r>
          </w:p>
        </w:tc>
        <w:tc>
          <w:tcPr>
            <w:tcW w:type="dxa" w:w="2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1A1A"/>
                <w:sz w:val="22"/>
                <w:szCs w:val="22"/>
              </w:rPr>
              <w:t xml:space="preserve">Engagement Letter</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This document — audit scope, methodology, and terms of engagement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RCA-P4-002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Audit Fieldwork Checklist</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Control-by-control assessment workbook — all 114 ECC controls, evidence log, and interview schedule</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RCA-P4-003</w:t>
            </w:r>
          </w:p>
        </w:tc>
        <w:tc>
          <w:tcPr>
            <w:tcW w:type="dxa" w:w="2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1A1A"/>
                <w:sz w:val="22"/>
                <w:szCs w:val="22"/>
              </w:rPr>
              <w:t xml:space="preserve">NCA ECC Audit Findings Report</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Detailed findings report with conformance rating, finding narratives, and ECC control references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RCA-P4-004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PDPL Compliance Audit Report</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PDPL compliance assessment with finding narratives, Article references, and regulatory exposure analysis</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RCA-P4-005</w:t>
            </w:r>
          </w:p>
        </w:tc>
        <w:tc>
          <w:tcPr>
            <w:tcW w:type="dxa" w:w="2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1A1A"/>
                <w:sz w:val="22"/>
                <w:szCs w:val="22"/>
              </w:rPr>
              <w:t xml:space="preserve">Risk Register</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25 risks across 9 domains with likelihood × impact scoring, risk ratings, and owner assignments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RCA-P4-006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Corrective Action Plan</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32 prioritised remediation actions across 4 phases, November 2024 – October 2025</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RCA-P4-007</w:t>
            </w:r>
          </w:p>
        </w:tc>
        <w:tc>
          <w:tcPr>
            <w:tcW w:type="dxa" w:w="2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1A1A"/>
                <w:sz w:val="22"/>
                <w:szCs w:val="22"/>
              </w:rPr>
              <w:t xml:space="preserve">Executive Summary</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Board-level summary of audit findings, overall compliance posture, and strategic recommendations</w:t>
            </w:r>
          </w:p>
        </w:tc>
      </w:tr>
    </w:tbl>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7.   Engagement Timeline</w:t>
      </w:r>
    </w:p>
    <w:p>
      <w:pPr>
        <w:spacing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94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4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Phase 1 — Initiation</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10 – 17 November 2024</w:t>
            </w:r>
          </w:p>
        </w:tc>
        <w:tc>
          <w:tcPr>
            <w:tcW w:type="dxa" w:w="4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Engagement kickoff; document request list issued; stakeholder interview schedule agreed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Phase 2 — Fieldwork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18 November – 13 December 2024</w:t>
            </w:r>
          </w:p>
        </w:tc>
        <w:tc>
          <w:tcPr>
            <w:tcW w:type="dxa" w:w="4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Document review; stakeholder interviews; system walkthroughs (Napas HIS, Agfa PACS, Active Directory); evidence collection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Phase 3 — Analysis</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16 – 31 December 2024</w:t>
            </w:r>
          </w:p>
        </w:tc>
        <w:tc>
          <w:tcPr>
            <w:tcW w:type="dxa" w:w="4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Control assessment; gap analysis; risk scoring; finding narratives drafted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Phase 4 — Reporting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01 – 24 January 2025</w:t>
            </w:r>
          </w:p>
        </w:tc>
        <w:tc>
          <w:tcPr>
            <w:tcW w:type="dxa" w:w="4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Draft reports prepared; management review session; findings presentation to Client leadership</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B2A4A"/>
                <w:sz w:val="22"/>
                <w:szCs w:val="22"/>
              </w:rPr>
              <w:t xml:space="preserve">Phase 5 — Final Delivery</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31 January 2025</w:t>
            </w:r>
          </w:p>
        </w:tc>
        <w:tc>
          <w:tcPr>
            <w:tcW w:type="dxa" w:w="4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color w:val="1A1A1A"/>
                <w:sz w:val="22"/>
                <w:szCs w:val="22"/>
              </w:rPr>
              <w:t xml:space="preserve">Final report package issued; corrective action plan handed over; engagement closed</w:t>
            </w:r>
          </w:p>
        </w:tc>
      </w:tr>
    </w:tbl>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8.   Roles &amp; Responsibilities</w:t>
      </w:r>
    </w:p>
    <w:p>
      <w:pPr>
        <w:spacing w:after="80"/>
      </w:pPr>
      <w:r>
        <w:t xml:space="preserve"/>
      </w:r>
    </w:p>
    <w:p>
      <w:pPr>
        <w:pBdr>
          <w:bottom w:val="single" w:color="C8A951" w:sz="4"/>
        </w:pBdr>
        <w:spacing w:after="80" w:before="200"/>
      </w:pPr>
      <w:r>
        <w:rPr>
          <w:rFonts w:ascii="Arial" w:cs="Arial" w:eastAsia="Arial" w:hAnsi="Arial"/>
          <w:b/>
          <w:bCs/>
          <w:color w:val="1B2A4A"/>
          <w:sz w:val="24"/>
          <w:szCs w:val="24"/>
        </w:rPr>
        <w:t xml:space="preserve">8.1   Resolute Compliance Advisory LLP</w:t>
      </w:r>
    </w:p>
    <w:p>
      <w:pPr>
        <w:pStyle w:val="ListParagraph"/>
        <w:numPr>
          <w:ilvl w:val="0"/>
          <w:numId w:val="2"/>
        </w:numPr>
        <w:spacing w:after="60"/>
      </w:pPr>
      <w:r>
        <w:rPr>
          <w:rFonts w:ascii="Arial" w:cs="Arial" w:eastAsia="Arial" w:hAnsi="Arial"/>
          <w:b w:val="false"/>
          <w:bCs w:val="false"/>
          <w:color w:val="1A1A1A"/>
          <w:sz w:val="22"/>
          <w:szCs w:val="22"/>
        </w:rPr>
        <w:t xml:space="preserve">Conduct the audit in accordance with the scope defined in this engagement letter</w:t>
      </w:r>
    </w:p>
    <w:p>
      <w:pPr>
        <w:pStyle w:val="ListParagraph"/>
        <w:numPr>
          <w:ilvl w:val="0"/>
          <w:numId w:val="2"/>
        </w:numPr>
        <w:spacing w:after="60"/>
      </w:pPr>
      <w:r>
        <w:rPr>
          <w:rFonts w:ascii="Arial" w:cs="Arial" w:eastAsia="Arial" w:hAnsi="Arial"/>
          <w:b w:val="false"/>
          <w:bCs w:val="false"/>
          <w:color w:val="1A1A1A"/>
          <w:sz w:val="22"/>
          <w:szCs w:val="22"/>
        </w:rPr>
        <w:t xml:space="preserve">Assess all applicable NCA ECC-1:2018 controls and PDPL compliance obligations</w:t>
      </w:r>
    </w:p>
    <w:p>
      <w:pPr>
        <w:pStyle w:val="ListParagraph"/>
        <w:numPr>
          <w:ilvl w:val="0"/>
          <w:numId w:val="2"/>
        </w:numPr>
        <w:spacing w:after="60"/>
      </w:pPr>
      <w:r>
        <w:rPr>
          <w:rFonts w:ascii="Arial" w:cs="Arial" w:eastAsia="Arial" w:hAnsi="Arial"/>
          <w:b w:val="false"/>
          <w:bCs w:val="false"/>
          <w:color w:val="1A1A1A"/>
          <w:sz w:val="22"/>
          <w:szCs w:val="22"/>
        </w:rPr>
        <w:t xml:space="preserve">Prepare and deliver all seven deliverables listed in Section 6</w:t>
      </w:r>
    </w:p>
    <w:p>
      <w:pPr>
        <w:pStyle w:val="ListParagraph"/>
        <w:numPr>
          <w:ilvl w:val="0"/>
          <w:numId w:val="2"/>
        </w:numPr>
        <w:spacing w:after="60"/>
      </w:pPr>
      <w:r>
        <w:rPr>
          <w:rFonts w:ascii="Arial" w:cs="Arial" w:eastAsia="Arial" w:hAnsi="Arial"/>
          <w:b w:val="false"/>
          <w:bCs w:val="false"/>
          <w:color w:val="1A1A1A"/>
          <w:sz w:val="22"/>
          <w:szCs w:val="22"/>
        </w:rPr>
        <w:t xml:space="preserve">Maintain the confidentiality of all client information accessed during the engagement</w:t>
      </w:r>
    </w:p>
    <w:p>
      <w:pPr>
        <w:pStyle w:val="ListParagraph"/>
        <w:numPr>
          <w:ilvl w:val="0"/>
          <w:numId w:val="2"/>
        </w:numPr>
        <w:spacing w:after="60"/>
      </w:pPr>
      <w:r>
        <w:rPr>
          <w:rFonts w:ascii="Arial" w:cs="Arial" w:eastAsia="Arial" w:hAnsi="Arial"/>
          <w:b w:val="false"/>
          <w:bCs w:val="false"/>
          <w:color w:val="1A1A1A"/>
          <w:sz w:val="22"/>
          <w:szCs w:val="22"/>
        </w:rPr>
        <w:t xml:space="preserve">Present draft findings to Client management prior to issuing the final report</w:t>
      </w:r>
    </w:p>
    <w:p>
      <w:pPr>
        <w:spacing w:after="80"/>
      </w:pPr>
      <w:r>
        <w:t xml:space="preserve"/>
      </w:r>
    </w:p>
    <w:p>
      <w:pPr>
        <w:pBdr>
          <w:bottom w:val="single" w:color="C8A951" w:sz="4"/>
        </w:pBdr>
        <w:spacing w:after="80" w:before="200"/>
      </w:pPr>
      <w:r>
        <w:rPr>
          <w:rFonts w:ascii="Arial" w:cs="Arial" w:eastAsia="Arial" w:hAnsi="Arial"/>
          <w:b/>
          <w:bCs/>
          <w:color w:val="1B2A4A"/>
          <w:sz w:val="24"/>
          <w:szCs w:val="24"/>
        </w:rPr>
        <w:t xml:space="preserve">8.2   Rawabi Health Services Co.</w:t>
      </w:r>
    </w:p>
    <w:p>
      <w:pPr>
        <w:pStyle w:val="ListParagraph"/>
        <w:numPr>
          <w:ilvl w:val="0"/>
          <w:numId w:val="2"/>
        </w:numPr>
        <w:spacing w:after="60"/>
      </w:pPr>
      <w:r>
        <w:rPr>
          <w:rFonts w:ascii="Arial" w:cs="Arial" w:eastAsia="Arial" w:hAnsi="Arial"/>
          <w:b w:val="false"/>
          <w:bCs w:val="false"/>
          <w:color w:val="1A1A1A"/>
          <w:sz w:val="22"/>
          <w:szCs w:val="22"/>
        </w:rPr>
        <w:t xml:space="preserve">Designate an engagement point of contact — IT Manager or equivalent — to coordinate the audit</w:t>
      </w:r>
    </w:p>
    <w:p>
      <w:pPr>
        <w:pStyle w:val="ListParagraph"/>
        <w:numPr>
          <w:ilvl w:val="0"/>
          <w:numId w:val="2"/>
        </w:numPr>
        <w:spacing w:after="60"/>
      </w:pPr>
      <w:r>
        <w:rPr>
          <w:rFonts w:ascii="Arial" w:cs="Arial" w:eastAsia="Arial" w:hAnsi="Arial"/>
          <w:b w:val="false"/>
          <w:bCs w:val="false"/>
          <w:color w:val="1A1A1A"/>
          <w:sz w:val="22"/>
          <w:szCs w:val="22"/>
        </w:rPr>
        <w:t xml:space="preserve">Provide timely access to requested documentation, policies, system configurations, and records</w:t>
      </w:r>
    </w:p>
    <w:p>
      <w:pPr>
        <w:pStyle w:val="ListParagraph"/>
        <w:numPr>
          <w:ilvl w:val="0"/>
          <w:numId w:val="2"/>
        </w:numPr>
        <w:spacing w:after="60"/>
      </w:pPr>
      <w:r>
        <w:rPr>
          <w:rFonts w:ascii="Arial" w:cs="Arial" w:eastAsia="Arial" w:hAnsi="Arial"/>
          <w:b w:val="false"/>
          <w:bCs w:val="false"/>
          <w:color w:val="1A1A1A"/>
          <w:sz w:val="22"/>
          <w:szCs w:val="22"/>
        </w:rPr>
        <w:t xml:space="preserve">Facilitate stakeholder interviews with relevant IT, operations, and clinical administration personnel</w:t>
      </w:r>
    </w:p>
    <w:p>
      <w:pPr>
        <w:pStyle w:val="ListParagraph"/>
        <w:numPr>
          <w:ilvl w:val="0"/>
          <w:numId w:val="2"/>
        </w:numPr>
        <w:spacing w:after="60"/>
      </w:pPr>
      <w:r>
        <w:rPr>
          <w:rFonts w:ascii="Arial" w:cs="Arial" w:eastAsia="Arial" w:hAnsi="Arial"/>
          <w:b w:val="false"/>
          <w:bCs w:val="false"/>
          <w:color w:val="1A1A1A"/>
          <w:sz w:val="22"/>
          <w:szCs w:val="22"/>
        </w:rPr>
        <w:t xml:space="preserve">Provide supervised access to Napas HIS, Agfa PACS, Active Directory, and Microsoft 365 administration portals for walkthrough purposes</w:t>
      </w:r>
    </w:p>
    <w:p>
      <w:pPr>
        <w:pStyle w:val="ListParagraph"/>
        <w:numPr>
          <w:ilvl w:val="0"/>
          <w:numId w:val="2"/>
        </w:numPr>
        <w:spacing w:after="60"/>
      </w:pPr>
      <w:r>
        <w:rPr>
          <w:rFonts w:ascii="Arial" w:cs="Arial" w:eastAsia="Arial" w:hAnsi="Arial"/>
          <w:b w:val="false"/>
          <w:bCs w:val="false"/>
          <w:color w:val="1A1A1A"/>
          <w:sz w:val="22"/>
          <w:szCs w:val="22"/>
        </w:rPr>
        <w:t xml:space="preserve">Review draft findings and provide factual clarifications within five (5) business days of receipt</w:t>
      </w:r>
    </w:p>
    <w:p>
      <w:pPr>
        <w:pStyle w:val="ListParagraph"/>
        <w:numPr>
          <w:ilvl w:val="0"/>
          <w:numId w:val="2"/>
        </w:numPr>
        <w:spacing w:after="60"/>
      </w:pPr>
      <w:r>
        <w:rPr>
          <w:rFonts w:ascii="Arial" w:cs="Arial" w:eastAsia="Arial" w:hAnsi="Arial"/>
          <w:b w:val="false"/>
          <w:bCs w:val="false"/>
          <w:color w:val="1A1A1A"/>
          <w:sz w:val="22"/>
          <w:szCs w:val="22"/>
        </w:rPr>
        <w:t xml:space="preserve">Retain sole responsibility for the implementation of any remediation actions arising from this audit</w:t>
      </w:r>
    </w:p>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9.   Confidentiality &amp; Data Handling</w:t>
      </w:r>
    </w:p>
    <w:p>
      <w:pPr>
        <w:spacing w:after="80"/>
      </w:pPr>
      <w:r>
        <w:t xml:space="preserve"/>
      </w:r>
    </w:p>
    <w:p>
      <w:pPr>
        <w:spacing w:after="120"/>
      </w:pPr>
      <w:r>
        <w:rPr>
          <w:rFonts w:ascii="Arial" w:cs="Arial" w:eastAsia="Arial" w:hAnsi="Arial"/>
          <w:color w:val="1A1A1A"/>
          <w:sz w:val="22"/>
          <w:szCs w:val="22"/>
        </w:rPr>
        <w:t xml:space="preserve">All information, documentation, and data accessed or obtained by Resolute Compliance Advisory LLP in the course of this engagement shall be treated as strictly confidential. The Firm will not disclose, reproduce, or share any client information with any third party without the prior written consent of Rawabi Health Services Co., except where required by applicable law or regulatory authority.</w:t>
      </w:r>
    </w:p>
    <w:p>
      <w:pPr>
        <w:spacing w:after="80"/>
      </w:pPr>
      <w:r>
        <w:t xml:space="preserve"/>
      </w:r>
    </w:p>
    <w:p>
      <w:pPr>
        <w:spacing w:after="120"/>
      </w:pPr>
      <w:r>
        <w:rPr>
          <w:rFonts w:ascii="Arial" w:cs="Arial" w:eastAsia="Arial" w:hAnsi="Arial"/>
          <w:color w:val="1A1A1A"/>
          <w:sz w:val="22"/>
          <w:szCs w:val="22"/>
        </w:rPr>
        <w:t xml:space="preserve">All audit workpapers, evidence, and draft deliverables will be stored securely by the Firm and destroyed or returned to the Client upon written request following completion of the engagement. The Firm acknowledges that information accessed during this engagement may include sensitive personal health data governed by the PDPL and will handle all such data in accordance with applicable data protection obligations.</w:t>
      </w:r>
    </w:p>
    <w:p>
      <w:pPr>
        <w:spacing w:after="160"/>
      </w:pPr>
      <w:r>
        <w:t xml:space="preserve"/>
      </w:r>
    </w:p>
    <w:p>
      <w:pPr>
        <w:pBdr>
          <w:bottom w:val="single" w:color="C8A951" w:sz="6"/>
        </w:pBdr>
        <w:shd w:fill="1B2A4A" w:val="clear"/>
        <w:spacing w:after="0" w:before="200"/>
        <w:ind w:left="120" w:right="120"/>
      </w:pPr>
      <w:r>
        <w:rPr>
          <w:rFonts w:ascii="Arial" w:cs="Arial" w:eastAsia="Arial" w:hAnsi="Arial"/>
          <w:b/>
          <w:bCs/>
          <w:color w:val="FFFFFF"/>
          <w:sz w:val="26"/>
          <w:szCs w:val="26"/>
        </w:rPr>
        <w:t xml:space="preserve">10.   Authorisation &amp; Acceptance</w:t>
      </w:r>
    </w:p>
    <w:p>
      <w:pPr>
        <w:spacing w:after="80"/>
      </w:pPr>
      <w:r>
        <w:t xml:space="preserve"/>
      </w:r>
    </w:p>
    <w:p>
      <w:pPr>
        <w:spacing w:after="120"/>
      </w:pPr>
      <w:r>
        <w:rPr>
          <w:rFonts w:ascii="Arial" w:cs="Arial" w:eastAsia="Arial" w:hAnsi="Arial"/>
          <w:color w:val="1A1A1A"/>
          <w:sz w:val="22"/>
          <w:szCs w:val="22"/>
        </w:rPr>
        <w:t xml:space="preserve">By signing below, both parties confirm their agreement to the terms, scope, and conditions set out in this Audit Engagement Letter and Scope of Work.</w:t>
      </w:r>
    </w:p>
    <w:p>
      <w:pPr>
        <w:spacing w:after="20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700"/>
        <w:gridCol w:w="300"/>
        <w:gridCol w:w="4746"/>
      </w:tblGrid>
      <w:tr>
        <w:tc>
          <w:tcPr>
            <w:tcW w:type="dxa" w:w="47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200"/>
            </w:pPr>
            <w:r>
              <w:rPr>
                <w:rFonts w:ascii="Arial" w:cs="Arial" w:eastAsia="Arial" w:hAnsi="Arial"/>
                <w:b/>
                <w:bCs/>
                <w:color w:val="1B2A4A"/>
                <w:sz w:val="22"/>
                <w:szCs w:val="22"/>
              </w:rPr>
              <w:t xml:space="preserve">For Resolute Compliance Advisory LLP</w:t>
            </w:r>
          </w:p>
          <w:p>
            <w:pPr>
              <w:pBdr>
                <w:bottom w:val="single" w:color="1B2A4A" w:sz="4"/>
              </w:pBdr>
              <w:spacing w:after="80"/>
            </w:pPr>
          </w:p>
          <w:p>
            <w:pPr>
              <w:spacing w:after="120"/>
            </w:pPr>
            <w:r>
              <w:rPr>
                <w:rFonts w:ascii="Arial" w:cs="Arial" w:eastAsia="Arial" w:hAnsi="Arial"/>
                <w:color w:val="1A1A1A"/>
                <w:sz w:val="22"/>
                <w:szCs w:val="22"/>
              </w:rPr>
              <w:t xml:space="preserve">Signature</w:t>
            </w:r>
          </w:p>
          <w:p>
            <w:pPr>
              <w:pBdr>
                <w:bottom w:val="single" w:color="1B2A4A" w:sz="4"/>
              </w:pBdr>
              <w:spacing w:after="80"/>
            </w:pPr>
          </w:p>
          <w:p>
            <w:pPr>
              <w:spacing w:after="120"/>
            </w:pPr>
            <w:r>
              <w:rPr>
                <w:rFonts w:ascii="Arial" w:cs="Arial" w:eastAsia="Arial" w:hAnsi="Arial"/>
                <w:color w:val="1A1A1A"/>
                <w:sz w:val="22"/>
                <w:szCs w:val="22"/>
              </w:rPr>
              <w:t xml:space="preserve">kay Shahbaaz  |  GRC Auditor</w:t>
            </w:r>
          </w:p>
          <w:p>
            <w:pPr>
              <w:pBdr>
                <w:bottom w:val="single" w:color="1B2A4A" w:sz="4"/>
              </w:pBdr>
              <w:spacing w:after="80"/>
            </w:pPr>
          </w:p>
          <w:p>
            <w:pPr>
              <w:spacing w:after="0"/>
            </w:pPr>
            <w:r>
              <w:rPr>
                <w:rFonts w:ascii="Arial" w:cs="Arial" w:eastAsia="Arial" w:hAnsi="Arial"/>
                <w:color w:val="1A1A1A"/>
                <w:sz w:val="22"/>
                <w:szCs w:val="22"/>
              </w:rPr>
              <w:t xml:space="preserve">Date</w:t>
            </w:r>
          </w:p>
        </w:tc>
        <w:tc>
          <w:tcPr>
            <w:tcW w:type="dxa" w:w="300"/>
            <w:tcBorders>
              <w:top w:val="none" w:color="FFFFFF" w:sz="0"/>
              <w:left w:val="none" w:color="FFFFFF" w:sz="0"/>
              <w:bottom w:val="none" w:color="FFFFFF" w:sz="0"/>
              <w:right w:val="none" w:color="FFFFFF" w:sz="0"/>
            </w:tcBorders>
          </w:tcPr>
          <w:p/>
        </w:tc>
        <w:tc>
          <w:tcPr>
            <w:tcW w:type="dxa" w:w="4746"/>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200"/>
            </w:pPr>
            <w:r>
              <w:rPr>
                <w:rFonts w:ascii="Arial" w:cs="Arial" w:eastAsia="Arial" w:hAnsi="Arial"/>
                <w:b/>
                <w:bCs/>
                <w:color w:val="1B2A4A"/>
                <w:sz w:val="22"/>
                <w:szCs w:val="22"/>
              </w:rPr>
              <w:t xml:space="preserve">For Rawabi Health Services Co.</w:t>
            </w:r>
          </w:p>
          <w:p>
            <w:pPr>
              <w:pBdr>
                <w:bottom w:val="single" w:color="1B2A4A" w:sz="4"/>
              </w:pBdr>
              <w:spacing w:after="80"/>
            </w:pPr>
          </w:p>
          <w:p>
            <w:pPr>
              <w:spacing w:after="120"/>
            </w:pPr>
            <w:r>
              <w:rPr>
                <w:rFonts w:ascii="Arial" w:cs="Arial" w:eastAsia="Arial" w:hAnsi="Arial"/>
                <w:color w:val="1A1A1A"/>
                <w:sz w:val="22"/>
                <w:szCs w:val="22"/>
              </w:rPr>
              <w:t xml:space="preserve">Signature</w:t>
            </w:r>
          </w:p>
          <w:p>
            <w:pPr>
              <w:pBdr>
                <w:bottom w:val="single" w:color="1B2A4A" w:sz="4"/>
              </w:pBdr>
              <w:spacing w:after="80"/>
            </w:pPr>
          </w:p>
          <w:p>
            <w:pPr>
              <w:spacing w:after="120"/>
            </w:pPr>
            <w:r>
              <w:rPr>
                <w:rFonts w:ascii="Arial" w:cs="Arial" w:eastAsia="Arial" w:hAnsi="Arial"/>
                <w:color w:val="1A1A1A"/>
                <w:sz w:val="22"/>
                <w:szCs w:val="22"/>
              </w:rPr>
              <w:t xml:space="preserve">Name  |  Title</w:t>
            </w:r>
          </w:p>
          <w:p>
            <w:pPr>
              <w:pBdr>
                <w:bottom w:val="single" w:color="1B2A4A" w:sz="4"/>
              </w:pBdr>
              <w:spacing w:after="80"/>
            </w:pPr>
          </w:p>
          <w:p>
            <w:pPr>
              <w:spacing w:after="0"/>
            </w:pPr>
            <w:r>
              <w:rPr>
                <w:rFonts w:ascii="Arial" w:cs="Arial" w:eastAsia="Arial" w:hAnsi="Arial"/>
                <w:color w:val="1A1A1A"/>
                <w:sz w:val="22"/>
                <w:szCs w:val="22"/>
              </w:rPr>
              <w:t xml:space="preserve">Date</w:t>
            </w:r>
          </w:p>
        </w:tc>
      </w:tr>
    </w:tbl>
    <w:p>
      <w:pPr>
        <w:spacing w:after="1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4"/>
      </w:pBdr>
      <w:tabs>
        <w:tab w:val="center" w:pos="4873"/>
        <w:tab w:val="right" w:pos="9746"/>
      </w:tabs>
      <w:spacing w:after="0" w:before="80"/>
    </w:pPr>
    <w:r>
      <w:rPr>
        <w:rFonts w:ascii="Arial" w:cs="Arial" w:eastAsia="Arial" w:hAnsi="Arial"/>
        <w:color w:val="666666"/>
        <w:sz w:val="16"/>
        <w:szCs w:val="16"/>
      </w:rPr>
      <w:t xml:space="preserve">Resolute Compliance Advisory LLP</w:t>
    </w:r>
    <w:r>
      <w:rPr>
        <w:rFonts w:ascii="Arial" w:cs="Arial" w:eastAsia="Arial" w:hAnsi="Arial"/>
        <w:sz w:val="16"/>
        <w:szCs w:val="16"/>
      </w:rPr>
      <w:t xml:space="preserve">	</w:t>
    </w:r>
    <w:r>
      <w:rPr>
        <w:rFonts w:ascii="Arial" w:cs="Arial" w:eastAsia="Arial" w:hAnsi="Arial"/>
        <w:color w:val="666666"/>
        <w:sz w:val="16"/>
        <w:szCs w:val="16"/>
      </w:rPr>
      <w:t xml:space="preserve">Audit Engagement Letter &amp; Scope of Work</w:t>
    </w:r>
    <w:r>
      <w:rPr>
        <w:rFonts w:ascii="Arial" w:cs="Arial" w:eastAsia="Arial" w:hAnsi="Arial"/>
        <w:sz w:val="16"/>
        <w:szCs w:val="16"/>
      </w:rPr>
      <w:t xml:space="preserve">	</w:t>
    </w:r>
    <w:r>
      <w:rPr>
        <w:rFonts w:ascii="Arial" w:cs="Arial" w:eastAsia="Arial" w:hAnsi="Arial"/>
        <w:color w:val="666666"/>
        <w:sz w:val="16"/>
        <w:szCs w:val="16"/>
      </w:rPr>
      <w:t xml:space="preserve">Page </w:t>
    </w:r>
    <w:fldSimple w:instr="PAGE">
      <w:r>
        <w:rPr>
          <w:rFonts w:ascii="Arial" w:cs="Arial" w:eastAsia="Arial" w:hAnsi="Arial"/>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000"/>
      <w:gridCol w:w="3746"/>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r>
            <w:rPr>
              <w:rFonts w:ascii="Arial" w:cs="Arial" w:eastAsia="Arial" w:hAnsi="Arial"/>
              <w:b/>
              <w:bCs/>
              <w:color w:val="1B2A4A"/>
              <w:sz w:val="28"/>
              <w:szCs w:val="28"/>
            </w:rPr>
            <w:t xml:space="preserve">RESOLUTE</w:t>
          </w:r>
        </w:p>
        <w:p>
          <w:pPr>
            <w:spacing w:after="0"/>
          </w:pPr>
          <w:r>
            <w:rPr>
              <w:rFonts w:ascii="Arial" w:cs="Arial" w:eastAsia="Arial" w:hAnsi="Arial"/>
              <w:b/>
              <w:bCs/>
              <w:color w:val="C8A951"/>
              <w:sz w:val="18"/>
              <w:szCs w:val="18"/>
            </w:rPr>
            <w:t xml:space="preserve">COMPLIANCE ADVISORY  LLP</w:t>
          </w:r>
        </w:p>
        <w:p>
          <w:pPr>
            <w:spacing w:after="0"/>
          </w:pPr>
          <w:r>
            <w:rPr>
              <w:rFonts w:ascii="Arial" w:cs="Arial" w:eastAsia="Arial" w:hAnsi="Arial"/>
              <w:i/>
              <w:iCs/>
              <w:color w:val="666666"/>
              <w:sz w:val="16"/>
              <w:szCs w:val="16"/>
            </w:rPr>
            <w:t xml:space="preserve">Governance · Risk · Compliance</w:t>
          </w:r>
        </w:p>
      </w:tc>
      <w:tc>
        <w:tcPr>
          <w:tcW w:type="dxa" w:w="3746"/>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spacing w:after="0"/>
            <w:jc w:val="right"/>
          </w:pPr>
          <w:r>
            <w:rPr>
              <w:rFonts w:ascii="Arial" w:cs="Arial" w:eastAsia="Arial" w:hAnsi="Arial"/>
              <w:b/>
              <w:bCs/>
              <w:color w:val="C8A951"/>
              <w:sz w:val="18"/>
              <w:szCs w:val="18"/>
            </w:rPr>
            <w:t xml:space="preserve">CONFIDENTIAL</w:t>
          </w:r>
        </w:p>
        <w:p>
          <w:pPr>
            <w:spacing w:after="0"/>
            <w:jc w:val="right"/>
          </w:pPr>
          <w:r>
            <w:rPr>
              <w:rFonts w:ascii="Arial" w:cs="Arial" w:eastAsia="Arial" w:hAnsi="Arial"/>
              <w:color w:val="666666"/>
              <w:sz w:val="16"/>
              <w:szCs w:val="16"/>
            </w:rPr>
            <w:t xml:space="preserve">RCA-P4-001  ·  v1.0</w:t>
          </w:r>
        </w:p>
      </w:tc>
    </w:tr>
  </w:tbl>
  <w:p>
    <w:pPr>
      <w:pBdr>
        <w:bottom w:val="single" w:color="1B2A4A" w:sz="8"/>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2026-06-24T23:14:48.716Z</dcterms:created>
  <dcterms:modified xsi:type="dcterms:W3CDTF">2026-06-24T23:14:48.716Z</dcterms:modified>
</cp:coreProperties>
</file>

<file path=docProps/custom.xml><?xml version="1.0" encoding="utf-8"?>
<Properties xmlns="http://schemas.openxmlformats.org/officeDocument/2006/custom-properties" xmlns:vt="http://schemas.openxmlformats.org/officeDocument/2006/docPropsVTypes"/>
</file>