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120" w:before="0"/>
        <w:jc w:val="center"/>
      </w:pPr>
      <w:r>
        <w:rPr>
          <w:rFonts w:ascii="Arial" w:cs="Arial" w:eastAsia="Arial" w:hAnsi="Arial"/>
          <w:b/>
          <w:bCs/>
          <w:color w:val="C8A951"/>
          <w:sz w:val="32"/>
          <w:szCs w:val="32"/>
        </w:rPr>
        <w:t xml:space="preserve">ISO 27001:2022</w:t>
      </w:r>
    </w:p>
    <w:p>
      <w:pPr>
        <w:spacing w:after="80" w:before="0"/>
        <w:jc w:val="center"/>
      </w:pPr>
      <w:r>
        <w:rPr>
          <w:rFonts w:ascii="Arial" w:cs="Arial" w:eastAsia="Arial" w:hAnsi="Arial"/>
          <w:b/>
          <w:bCs/>
          <w:color w:val="1B2A4A"/>
          <w:sz w:val="44"/>
          <w:szCs w:val="44"/>
        </w:rPr>
        <w:t xml:space="preserve">GAP ASSESSMENT REPORT</w:t>
      </w:r>
    </w:p>
    <w:p>
      <w:pPr>
        <w:spacing w:after="400" w:before="0"/>
        <w:jc w:val="center"/>
      </w:pPr>
      <w:r>
        <w:rPr>
          <w:rFonts w:ascii="Arial" w:cs="Arial" w:eastAsia="Arial" w:hAnsi="Arial"/>
          <w:color w:val="666666"/>
          <w:sz w:val="22"/>
          <w:szCs w:val="22"/>
        </w:rPr>
        <w:t xml:space="preserve">RCA-P1-002  ·  Final  ·  28 February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200"/>
              <w:left w:type="dxa" w:w="240"/>
              <w:bottom w:type="dxa" w:w="200"/>
              <w:right w:type="dxa" w:w="240"/>
            </w:tcMar>
          </w:tcPr>
          <w:p>
            <w:pPr>
              <w:spacing w:after="80" w:before="0"/>
              <w:jc w:val="center"/>
            </w:pPr>
            <w:r>
              <w:rPr>
                <w:rFonts w:ascii="Arial" w:cs="Arial" w:eastAsia="Arial" w:hAnsi="Arial"/>
                <w:color w:val="666666"/>
                <w:sz w:val="18"/>
                <w:szCs w:val="18"/>
              </w:rPr>
              <w:t xml:space="preserve">Prepared for</w:t>
            </w:r>
          </w:p>
          <w:p>
            <w:pPr>
              <w:spacing w:after="60" w:before="0"/>
              <w:jc w:val="center"/>
            </w:pPr>
            <w:r>
              <w:rPr>
                <w:rFonts w:ascii="Arial" w:cs="Arial" w:eastAsia="Arial" w:hAnsi="Arial"/>
                <w:b/>
                <w:bCs/>
                <w:color w:val="1B2A4A"/>
                <w:sz w:val="26"/>
                <w:szCs w:val="26"/>
              </w:rPr>
              <w:t xml:space="preserve">Brightpath Technologies Pvt. Ltd.</w:t>
            </w:r>
          </w:p>
          <w:p>
            <w:pPr>
              <w:spacing w:after="60" w:before="0"/>
              <w:jc w:val="center"/>
            </w:pPr>
            <w:r>
              <w:rPr>
                <w:rFonts w:ascii="Arial" w:cs="Arial" w:eastAsia="Arial" w:hAnsi="Arial"/>
                <w:color w:val="666666"/>
                <w:sz w:val="20"/>
                <w:szCs w:val="20"/>
              </w:rPr>
              <w:t xml:space="preserve">IT Services  ·  Bengaluru, India</w:t>
            </w:r>
          </w:p>
          <w:p>
            <w:pPr>
              <w:spacing w:after="0" w:before="0"/>
              <w:jc w:val="center"/>
            </w:pPr>
            <w:r>
              <w:rPr>
                <w:rFonts w:ascii="Arial" w:cs="Arial" w:eastAsia="Arial" w:hAnsi="Arial"/>
                <w:color w:val="1A1A1A"/>
                <w:sz w:val="20"/>
                <w:szCs w:val="20"/>
              </w:rPr>
              <w:t xml:space="preserve">Assessment Period: October 2023 – December 2023</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Prepared by</w:t>
            </w:r>
          </w:p>
          <w:p>
            <w:r>
              <w:rPr>
                <w:rFonts w:ascii="Arial" w:cs="Arial" w:eastAsia="Arial" w:hAnsi="Arial"/>
                <w:b/>
                <w:bCs/>
                <w:color w:val="FFFFFF"/>
                <w:sz w:val="20"/>
                <w:szCs w:val="20"/>
              </w:rPr>
              <w:t xml:space="preserve">kay Shahbaaz</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Title</w:t>
            </w:r>
          </w:p>
          <w:p>
            <w:r>
              <w:rPr>
                <w:rFonts w:ascii="Arial" w:cs="Arial" w:eastAsia="Arial" w:hAnsi="Arial"/>
                <w:b/>
                <w:bCs/>
                <w:color w:val="FFFFFF"/>
                <w:sz w:val="20"/>
                <w:szCs w:val="20"/>
              </w:rPr>
              <w:t xml:space="preserve">GRC Analyst</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Date</w:t>
            </w:r>
          </w:p>
          <w:p>
            <w:r>
              <w:rPr>
                <w:rFonts w:ascii="Arial" w:cs="Arial" w:eastAsia="Arial" w:hAnsi="Arial"/>
                <w:b/>
                <w:bCs/>
                <w:color w:val="FFFFFF"/>
                <w:sz w:val="20"/>
                <w:szCs w:val="20"/>
              </w:rPr>
              <w:t xml:space="preserve">28 February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140"/>
              <w:left w:type="dxa" w:w="200"/>
              <w:bottom w:type="dxa" w:w="140"/>
              <w:right w:type="dxa" w:w="200"/>
            </w:tcMar>
          </w:tcPr>
          <w:p>
            <w:pPr>
              <w:spacing w:after="60" w:before="0"/>
              <w:jc w:val="center"/>
            </w:pPr>
            <w:r>
              <w:rPr>
                <w:rFonts w:ascii="Arial" w:cs="Arial" w:eastAsia="Arial" w:hAnsi="Arial"/>
                <w:b/>
                <w:bCs/>
                <w:color w:val="1B2A4A"/>
                <w:sz w:val="18"/>
                <w:szCs w:val="18"/>
              </w:rPr>
              <w:t xml:space="preserve">CONFIDENTIALITY NOTICE</w:t>
            </w:r>
          </w:p>
          <w:p>
            <w:pPr>
              <w:spacing w:after="0" w:before="0"/>
              <w:jc w:val="both"/>
            </w:pPr>
            <w:r>
              <w:rPr>
                <w:rFonts w:ascii="Arial" w:cs="Arial" w:eastAsia="Arial" w:hAnsi="Arial"/>
                <w:color w:val="666666"/>
                <w:sz w:val="17"/>
                <w:szCs w:val="17"/>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r>
        <w:br w:type="page"/>
      </w:r>
    </w:p>
    <w:p>
      <w:pPr>
        <w:pStyle w:val="Heading1"/>
        <w:spacing w:after="120" w:before="320"/>
      </w:pPr>
      <w:r>
        <w:rPr>
          <w:rFonts w:ascii="Arial" w:cs="Arial" w:eastAsia="Arial" w:hAnsi="Arial"/>
          <w:b/>
          <w:bCs/>
          <w:color w:val="1B2A4A"/>
          <w:sz w:val="26"/>
          <w:szCs w:val="26"/>
        </w:rPr>
        <w:t xml:space="preserve">Document Control</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Document Title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Gap Assessment Report</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Document Ref</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RCA-P1-002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Client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Technologies Pvt. Ltd.</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Project</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ISO 27001:2022 + SOC 2 Compliance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Prepared by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kay Shahbaaz</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Reviewed by</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Resolute Compliance Advisory LLP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Report Date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28 February 2024</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Assessment Period</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October 2023 – December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Version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v1.0</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Classification</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Status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Final</w:t>
            </w:r>
          </w:p>
        </w:tc>
      </w:tr>
    </w:tbl>
    <w:p>
      <w:r>
        <w:br w:type="page"/>
      </w:r>
    </w:p>
    <w:p>
      <w:pPr>
        <w:pStyle w:val="Heading1"/>
        <w:spacing w:after="120" w:before="320"/>
      </w:pPr>
      <w:r>
        <w:rPr>
          <w:rFonts w:ascii="Arial" w:cs="Arial" w:eastAsia="Arial" w:hAnsi="Arial"/>
          <w:b/>
          <w:bCs/>
          <w:color w:val="1B2A4A"/>
          <w:sz w:val="26"/>
          <w:szCs w:val="26"/>
        </w:rPr>
        <w:t xml:space="preserve">1.   Executive Summary</w:t>
      </w:r>
    </w:p>
    <w:p>
      <w:pPr>
        <w:spacing w:after="140" w:before="0"/>
        <w:jc w:val="both"/>
      </w:pPr>
      <w:r>
        <w:rPr>
          <w:rFonts w:ascii="Arial" w:cs="Arial" w:eastAsia="Arial" w:hAnsi="Arial"/>
          <w:color w:val="1A1A1A"/>
          <w:sz w:val="20"/>
          <w:szCs w:val="20"/>
        </w:rPr>
        <w:t xml:space="preserve">Resolute Compliance Advisory LLP was engaged by Brightpath Technologies Pvt. Ltd. to conduct a comprehensive gap assessment against the ISO 27001:2022 standard. The assessment was performed between October and December 2023, covering all 93 controls defined in ISO 27001:2022 Annex A across four control themes: Organisational, People, Physical, and Technological.</w:t>
      </w:r>
    </w:p>
    <w:p>
      <w:pPr>
        <w:spacing w:after="140" w:before="0"/>
        <w:jc w:val="both"/>
      </w:pPr>
      <w:r>
        <w:rPr>
          <w:rFonts w:ascii="Arial" w:cs="Arial" w:eastAsia="Arial" w:hAnsi="Arial"/>
          <w:color w:val="1A1A1A"/>
          <w:sz w:val="20"/>
          <w:szCs w:val="20"/>
        </w:rPr>
        <w:t xml:space="preserve">The assessment findings indicate that Brightpath's current information security posture is at an early stage of maturity. The organisation has foundational IT infrastructure in place and demonstrates awareness of the importance of information security; however, the formal controls, processes, and documentation required to achieve ISO 27001:2022 conformance are largely absent or incomplete.</w:t>
      </w:r>
    </w:p>
    <w:p>
      <w:pPr>
        <w:pStyle w:val="Heading2"/>
        <w:spacing w:after="80" w:before="240"/>
      </w:pPr>
      <w:r>
        <w:rPr>
          <w:rFonts w:ascii="Arial" w:cs="Arial" w:eastAsia="Arial" w:hAnsi="Arial"/>
          <w:b/>
          <w:bCs/>
          <w:color w:val="1B2A4A"/>
          <w:sz w:val="22"/>
          <w:szCs w:val="22"/>
        </w:rPr>
        <w:t xml:space="preserve">1.1   Overall Conformance</w:t>
      </w:r>
    </w:p>
    <w:p>
      <w:pPr>
        <w:spacing w:after="140" w:before="0"/>
        <w:jc w:val="both"/>
      </w:pPr>
      <w:r>
        <w:rPr>
          <w:rFonts w:ascii="Arial" w:cs="Arial" w:eastAsia="Arial" w:hAnsi="Arial"/>
          <w:color w:val="1A1A1A"/>
          <w:sz w:val="20"/>
          <w:szCs w:val="20"/>
        </w:rPr>
        <w:t xml:space="preserve">Of the 93 Annex A controls assessed, 35 were found to be Conformant, 42 were assessed as Partial (controls partially implemented but with identified gaps), and 16 were assessed as Non-Conformant (no implementation evidence identified). The overall conformance rate stands at approximately 37.6% on a weighted basis.</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Control Theme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Total Controls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Non-Conformant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Partial</w:t>
            </w:r>
          </w:p>
        </w:tc>
        <w:tc>
          <w:tcPr>
            <w:tcW w:type="dxa" w:w="16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Conformant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left"/>
            </w:pPr>
            <w:r>
              <w:rPr>
                <w:rFonts w:ascii="Arial" w:cs="Arial" w:eastAsia="Arial" w:hAnsi="Arial"/>
                <w:color w:val="1A1A1A"/>
                <w:sz w:val="20"/>
                <w:szCs w:val="20"/>
              </w:rPr>
              <w:t xml:space="preserve">Organisational Controls (A.5)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A1A1A"/>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C0392B"/>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D35400"/>
                <w:sz w:val="20"/>
                <w:szCs w:val="20"/>
              </w:rPr>
              <w:t xml:space="preserve">18</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E8449"/>
                <w:sz w:val="20"/>
                <w:szCs w:val="20"/>
              </w:rPr>
              <w:t xml:space="preserve">11</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left"/>
            </w:pPr>
            <w:r>
              <w:rPr>
                <w:rFonts w:ascii="Arial" w:cs="Arial" w:eastAsia="Arial" w:hAnsi="Arial"/>
                <w:color w:val="1A1A1A"/>
                <w:sz w:val="20"/>
                <w:szCs w:val="20"/>
              </w:rPr>
              <w:t xml:space="preserve">People Controls (A.6)</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color w:val="1A1A1A"/>
                <w:sz w:val="20"/>
                <w:szCs w:val="20"/>
              </w:rPr>
              <w:t xml:space="preserve">8</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C0392B"/>
                <w:sz w:val="20"/>
                <w:szCs w:val="20"/>
              </w:rPr>
              <w:t xml:space="preserve">1</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D35400"/>
                <w:sz w:val="20"/>
                <w:szCs w:val="20"/>
              </w:rPr>
              <w:t xml:space="preserve">4</w:t>
            </w:r>
          </w:p>
        </w:tc>
        <w:tc>
          <w:tcPr>
            <w:tcW w:type="dxa" w:w="16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1E8449"/>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left"/>
            </w:pPr>
            <w:r>
              <w:rPr>
                <w:rFonts w:ascii="Arial" w:cs="Arial" w:eastAsia="Arial" w:hAnsi="Arial"/>
                <w:color w:val="1A1A1A"/>
                <w:sz w:val="20"/>
                <w:szCs w:val="20"/>
              </w:rPr>
              <w:t xml:space="preserve">Physical Controls (A.7)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A1A1A"/>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C0392B"/>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D35400"/>
                <w:sz w:val="20"/>
                <w:szCs w:val="20"/>
              </w:rPr>
              <w:t xml:space="preserve">6</w:t>
            </w:r>
          </w:p>
        </w:tc>
        <w:tc>
          <w:tcPr>
            <w:tcW w:type="dxa" w:w="1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E8449"/>
                <w:sz w:val="20"/>
                <w:szCs w:val="20"/>
              </w:rPr>
              <w:t xml:space="preserve">6</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left"/>
            </w:pPr>
            <w:r>
              <w:rPr>
                <w:rFonts w:ascii="Arial" w:cs="Arial" w:eastAsia="Arial" w:hAnsi="Arial"/>
                <w:color w:val="1A1A1A"/>
                <w:sz w:val="20"/>
                <w:szCs w:val="20"/>
              </w:rPr>
              <w:t xml:space="preserve">Technological Controls (A.8)</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color w:val="1A1A1A"/>
                <w:sz w:val="20"/>
                <w:szCs w:val="20"/>
              </w:rPr>
              <w:t xml:space="preserve">34</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C0392B"/>
                <w:sz w:val="20"/>
                <w:szCs w:val="20"/>
              </w:rPr>
              <w:t xml:space="preserve">5</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D35400"/>
                <w:sz w:val="20"/>
                <w:szCs w:val="20"/>
              </w:rPr>
              <w:t xml:space="preserve">14</w:t>
            </w:r>
          </w:p>
        </w:tc>
        <w:tc>
          <w:tcPr>
            <w:tcW w:type="dxa" w:w="16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1E8449"/>
                <w:sz w:val="20"/>
                <w:szCs w:val="20"/>
              </w:rPr>
              <w:t xml:space="preserve">15</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left"/>
            </w:pPr>
            <w:r>
              <w:rPr>
                <w:rFonts w:ascii="Arial" w:cs="Arial" w:eastAsia="Arial" w:hAnsi="Arial"/>
                <w:b/>
                <w:bCs/>
                <w:color w:val="1B2A4A"/>
                <w:sz w:val="20"/>
                <w:szCs w:val="20"/>
              </w:rPr>
              <w:t xml:space="preserve">TOTAL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1B2A4A"/>
                <w:sz w:val="20"/>
                <w:szCs w:val="20"/>
              </w:rPr>
              <w:t xml:space="preserve">93</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C0392B"/>
                <w:sz w:val="20"/>
                <w:szCs w:val="20"/>
              </w:rPr>
              <w:t xml:space="preserve">16</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D35400"/>
                <w:sz w:val="20"/>
                <w:szCs w:val="20"/>
              </w:rPr>
              <w:t xml:space="preserve">42</w:t>
            </w:r>
          </w:p>
        </w:tc>
        <w:tc>
          <w:tcPr>
            <w:tcW w:type="dxa" w:w="16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pPr>
              <w:jc w:val="center"/>
            </w:pPr>
            <w:r>
              <w:rPr>
                <w:rFonts w:ascii="Arial" w:cs="Arial" w:eastAsia="Arial" w:hAnsi="Arial"/>
                <w:b/>
                <w:bCs/>
                <w:color w:val="1E8449"/>
                <w:sz w:val="20"/>
                <w:szCs w:val="20"/>
              </w:rPr>
              <w:t xml:space="preserve">35</w:t>
            </w:r>
          </w:p>
        </w:tc>
      </w:tr>
    </w:tbl>
    <w:p>
      <w:pPr>
        <w:spacing w:after="0" w:before="0" w:line="240"/>
      </w:pPr>
      <w:r>
        <w:t xml:space="preserve"/>
      </w:r>
    </w:p>
    <w:p>
      <w:pPr>
        <w:spacing w:after="140" w:before="0"/>
        <w:jc w:val="both"/>
      </w:pPr>
      <w:r>
        <w:rPr>
          <w:rFonts w:ascii="Arial" w:cs="Arial" w:eastAsia="Arial" w:hAnsi="Arial"/>
          <w:color w:val="1A1A1A"/>
          <w:sz w:val="20"/>
          <w:szCs w:val="20"/>
        </w:rPr>
        <w:t xml:space="preserve">The 16 Non-Conformant controls represent immediate remediation priorities. The 42 Partial controls indicate areas where effort has begun but formal documentation, management approval, or consistent implementation is lacking.</w:t>
      </w:r>
    </w:p>
    <w:p>
      <w:pPr>
        <w:pStyle w:val="Heading2"/>
        <w:spacing w:after="80" w:before="240"/>
      </w:pPr>
      <w:r>
        <w:rPr>
          <w:rFonts w:ascii="Arial" w:cs="Arial" w:eastAsia="Arial" w:hAnsi="Arial"/>
          <w:b/>
          <w:bCs/>
          <w:color w:val="1B2A4A"/>
          <w:sz w:val="22"/>
          <w:szCs w:val="22"/>
        </w:rPr>
        <w:t xml:space="preserve">1.2   Critical Findings Summary</w:t>
      </w:r>
    </w:p>
    <w:p>
      <w:pPr>
        <w:spacing w:after="140" w:before="0"/>
        <w:jc w:val="both"/>
      </w:pPr>
      <w:r>
        <w:rPr>
          <w:rFonts w:ascii="Arial" w:cs="Arial" w:eastAsia="Arial" w:hAnsi="Arial"/>
          <w:color w:val="1A1A1A"/>
          <w:sz w:val="20"/>
          <w:szCs w:val="20"/>
        </w:rPr>
        <w:t xml:space="preserve">Six findings have been assessed as Critical, each representing a foundational gap with the potential to independently fail an ISO 27001 certification audit:</w:t>
      </w:r>
    </w:p>
    <w:p>
      <w:pPr>
        <w:pStyle w:val="ListParagraph"/>
        <w:numPr>
          <w:ilvl w:val="0"/>
          <w:numId w:val="2"/>
        </w:numPr>
        <w:spacing w:after="40" w:before="40"/>
      </w:pPr>
      <w:r>
        <w:rPr>
          <w:rFonts w:ascii="Arial" w:cs="Arial" w:eastAsia="Arial" w:hAnsi="Arial"/>
          <w:color w:val="1A1A1A"/>
          <w:sz w:val="20"/>
          <w:szCs w:val="20"/>
        </w:rPr>
        <w:t xml:space="preserve">F-001: No formal Information Security Policy or ISMS framework — the single most foundational gap</w:t>
      </w:r>
    </w:p>
    <w:p>
      <w:pPr>
        <w:pStyle w:val="ListParagraph"/>
        <w:numPr>
          <w:ilvl w:val="0"/>
          <w:numId w:val="2"/>
        </w:numPr>
        <w:spacing w:after="40" w:before="40"/>
      </w:pPr>
      <w:r>
        <w:rPr>
          <w:rFonts w:ascii="Arial" w:cs="Arial" w:eastAsia="Arial" w:hAnsi="Arial"/>
          <w:color w:val="1A1A1A"/>
          <w:sz w:val="20"/>
          <w:szCs w:val="20"/>
        </w:rPr>
        <w:t xml:space="preserve">F-002: No information asset inventory — required as the basis for risk assessment and control application</w:t>
      </w:r>
    </w:p>
    <w:p>
      <w:pPr>
        <w:pStyle w:val="ListParagraph"/>
        <w:numPr>
          <w:ilvl w:val="0"/>
          <w:numId w:val="2"/>
        </w:numPr>
        <w:spacing w:after="40" w:before="40"/>
      </w:pPr>
      <w:r>
        <w:rPr>
          <w:rFonts w:ascii="Arial" w:cs="Arial" w:eastAsia="Arial" w:hAnsi="Arial"/>
          <w:color w:val="1A1A1A"/>
          <w:sz w:val="20"/>
          <w:szCs w:val="20"/>
        </w:rPr>
        <w:t xml:space="preserve">F-003: No formal risk assessment or risk treatment process — a mandatory ISO 27001 certification requirement</w:t>
      </w:r>
    </w:p>
    <w:p>
      <w:pPr>
        <w:pStyle w:val="ListParagraph"/>
        <w:numPr>
          <w:ilvl w:val="0"/>
          <w:numId w:val="2"/>
        </w:numPr>
        <w:spacing w:after="40" w:before="40"/>
      </w:pPr>
      <w:r>
        <w:rPr>
          <w:rFonts w:ascii="Arial" w:cs="Arial" w:eastAsia="Arial" w:hAnsi="Arial"/>
          <w:color w:val="1A1A1A"/>
          <w:sz w:val="20"/>
          <w:szCs w:val="20"/>
        </w:rPr>
        <w:t xml:space="preserve">F-004: No access control policy and unmanaged privileged access to AWS production environments</w:t>
      </w:r>
    </w:p>
    <w:p>
      <w:pPr>
        <w:pStyle w:val="ListParagraph"/>
        <w:numPr>
          <w:ilvl w:val="0"/>
          <w:numId w:val="2"/>
        </w:numPr>
        <w:spacing w:after="40" w:before="40"/>
      </w:pPr>
      <w:r>
        <w:rPr>
          <w:rFonts w:ascii="Arial" w:cs="Arial" w:eastAsia="Arial" w:hAnsi="Arial"/>
          <w:color w:val="1A1A1A"/>
          <w:sz w:val="20"/>
          <w:szCs w:val="20"/>
        </w:rPr>
        <w:t xml:space="preserve">F-005: No supplier security management framework despite reliance on multiple third-party vendors</w:t>
      </w:r>
    </w:p>
    <w:p>
      <w:pPr>
        <w:pStyle w:val="ListParagraph"/>
        <w:numPr>
          <w:ilvl w:val="0"/>
          <w:numId w:val="2"/>
        </w:numPr>
        <w:spacing w:after="40" w:before="40"/>
      </w:pPr>
      <w:r>
        <w:rPr>
          <w:rFonts w:ascii="Arial" w:cs="Arial" w:eastAsia="Arial" w:hAnsi="Arial"/>
          <w:color w:val="1A1A1A"/>
          <w:sz w:val="20"/>
          <w:szCs w:val="20"/>
        </w:rPr>
        <w:t xml:space="preserve">F-006: No incident response capability — ad hoc handling of all security events</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1.3   Key Themes</w:t>
      </w:r>
    </w:p>
    <w:p>
      <w:pPr>
        <w:spacing w:after="140" w:before="0"/>
        <w:jc w:val="both"/>
      </w:pPr>
      <w:r>
        <w:rPr>
          <w:rFonts w:ascii="Arial" w:cs="Arial" w:eastAsia="Arial" w:hAnsi="Arial"/>
          <w:color w:val="1A1A1A"/>
          <w:sz w:val="20"/>
          <w:szCs w:val="20"/>
        </w:rPr>
        <w:t xml:space="preserve">The findings from this assessment can be grouped into four overarching themes:</w:t>
      </w:r>
    </w:p>
    <w:p>
      <w:pPr>
        <w:pStyle w:val="ListParagraph"/>
        <w:numPr>
          <w:ilvl w:val="0"/>
          <w:numId w:val="2"/>
        </w:numPr>
        <w:spacing w:after="40" w:before="40"/>
      </w:pPr>
      <w:r>
        <w:rPr>
          <w:rFonts w:ascii="Arial" w:cs="Arial" w:eastAsia="Arial" w:hAnsi="Arial"/>
          <w:color w:val="1A1A1A"/>
          <w:sz w:val="20"/>
          <w:szCs w:val="20"/>
        </w:rPr>
        <w:t xml:space="preserve">Governance deficit: The organisation lacks the foundational governance structures required by ISO 27001:2022 — no policy, no scope, no defined ownership, and no management commitment artefacts.</w:t>
      </w:r>
    </w:p>
    <w:p>
      <w:pPr>
        <w:pStyle w:val="ListParagraph"/>
        <w:numPr>
          <w:ilvl w:val="0"/>
          <w:numId w:val="2"/>
        </w:numPr>
        <w:spacing w:after="40" w:before="40"/>
      </w:pPr>
      <w:r>
        <w:rPr>
          <w:rFonts w:ascii="Arial" w:cs="Arial" w:eastAsia="Arial" w:hAnsi="Arial"/>
          <w:color w:val="1A1A1A"/>
          <w:sz w:val="20"/>
          <w:szCs w:val="20"/>
        </w:rPr>
        <w:t xml:space="preserve">Risk management absence: There is no risk-driven approach to information security. Controls have been implemented reactively rather than as the output of a formal risk assessment process.</w:t>
      </w:r>
    </w:p>
    <w:p>
      <w:pPr>
        <w:pStyle w:val="ListParagraph"/>
        <w:numPr>
          <w:ilvl w:val="0"/>
          <w:numId w:val="2"/>
        </w:numPr>
        <w:spacing w:after="40" w:before="40"/>
      </w:pPr>
      <w:r>
        <w:rPr>
          <w:rFonts w:ascii="Arial" w:cs="Arial" w:eastAsia="Arial" w:hAnsi="Arial"/>
          <w:color w:val="1A1A1A"/>
          <w:sz w:val="20"/>
          <w:szCs w:val="20"/>
        </w:rPr>
        <w:t xml:space="preserve">Supply chain exposure: Given Brightpath's role as a managed IT services provider, the absence of any third-party security management is a significant risk both to the organisation and to its clients.</w:t>
      </w:r>
    </w:p>
    <w:p>
      <w:pPr>
        <w:pStyle w:val="ListParagraph"/>
        <w:numPr>
          <w:ilvl w:val="0"/>
          <w:numId w:val="2"/>
        </w:numPr>
        <w:spacing w:after="40" w:before="40"/>
      </w:pPr>
      <w:r>
        <w:rPr>
          <w:rFonts w:ascii="Arial" w:cs="Arial" w:eastAsia="Arial" w:hAnsi="Arial"/>
          <w:color w:val="1A1A1A"/>
          <w:sz w:val="20"/>
          <w:szCs w:val="20"/>
        </w:rPr>
        <w:t xml:space="preserve">People and process gaps: Human-layer controls — screening, awareness training, offboarding — are consistently underdeveloped across the organisation.</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1.4   Certification Readiness</w:t>
      </w:r>
    </w:p>
    <w:p>
      <w:pPr>
        <w:spacing w:after="140" w:before="0"/>
        <w:jc w:val="both"/>
      </w:pPr>
      <w:r>
        <w:rPr>
          <w:rFonts w:ascii="Arial" w:cs="Arial" w:eastAsia="Arial" w:hAnsi="Arial"/>
          <w:color w:val="1A1A1A"/>
          <w:sz w:val="20"/>
          <w:szCs w:val="20"/>
        </w:rPr>
        <w:t xml:space="preserve">Based on the findings of this assessment, Brightpath is not currently in a position to pursue ISO 27001:2022 certification. An estimated 9 to 12 months of active remediation will be required before the organisation is ready for a Stage 1 audit by an accredited Certification Body, assuming the Remediation Roadmap (RCA-P1-006) is implemented on the timelines proposed therein.</w:t>
      </w:r>
    </w:p>
    <w:p>
      <w:r>
        <w:br w:type="page"/>
      </w:r>
    </w:p>
    <w:p>
      <w:pPr>
        <w:pStyle w:val="Heading1"/>
        <w:spacing w:after="120" w:before="320"/>
      </w:pPr>
      <w:r>
        <w:rPr>
          <w:rFonts w:ascii="Arial" w:cs="Arial" w:eastAsia="Arial" w:hAnsi="Arial"/>
          <w:b/>
          <w:bCs/>
          <w:color w:val="1B2A4A"/>
          <w:sz w:val="26"/>
          <w:szCs w:val="26"/>
        </w:rPr>
        <w:t xml:space="preserve">2.   Assessment Methodology</w:t>
      </w:r>
    </w:p>
    <w:p>
      <w:pPr>
        <w:pStyle w:val="Heading2"/>
        <w:spacing w:after="80" w:before="240"/>
      </w:pPr>
      <w:r>
        <w:rPr>
          <w:rFonts w:ascii="Arial" w:cs="Arial" w:eastAsia="Arial" w:hAnsi="Arial"/>
          <w:b/>
          <w:bCs/>
          <w:color w:val="1B2A4A"/>
          <w:sz w:val="22"/>
          <w:szCs w:val="22"/>
        </w:rPr>
        <w:t xml:space="preserve">2.1   Approach</w:t>
      </w:r>
    </w:p>
    <w:p>
      <w:pPr>
        <w:spacing w:after="140" w:before="0"/>
        <w:jc w:val="both"/>
      </w:pPr>
      <w:r>
        <w:rPr>
          <w:rFonts w:ascii="Arial" w:cs="Arial" w:eastAsia="Arial" w:hAnsi="Arial"/>
          <w:color w:val="1A1A1A"/>
          <w:sz w:val="20"/>
          <w:szCs w:val="20"/>
        </w:rPr>
        <w:t xml:space="preserve">The gap assessment was conducted using a structured three-phase approach: document review, stakeholder interviews, and evidence-based control assessment. For each of the 93 ISO 27001:2022 Annex A controls, the assessment team evaluated the current implementation status against the control requirement as defined in the standard and its supporting guidance in ISO 27002:2022.</w:t>
      </w:r>
    </w:p>
    <w:p>
      <w:pPr>
        <w:pStyle w:val="Heading2"/>
        <w:spacing w:after="80" w:before="240"/>
      </w:pPr>
      <w:r>
        <w:rPr>
          <w:rFonts w:ascii="Arial" w:cs="Arial" w:eastAsia="Arial" w:hAnsi="Arial"/>
          <w:b/>
          <w:bCs/>
          <w:color w:val="1B2A4A"/>
          <w:sz w:val="22"/>
          <w:szCs w:val="22"/>
        </w:rPr>
        <w:t xml:space="preserve">2.2   Assessment Criteria</w:t>
      </w:r>
    </w:p>
    <w:p>
      <w:pPr>
        <w:spacing w:after="140" w:before="0"/>
        <w:jc w:val="both"/>
      </w:pPr>
      <w:r>
        <w:rPr>
          <w:rFonts w:ascii="Arial" w:cs="Arial" w:eastAsia="Arial" w:hAnsi="Arial"/>
          <w:color w:val="1A1A1A"/>
          <w:sz w:val="20"/>
          <w:szCs w:val="20"/>
        </w:rPr>
        <w:t xml:space="preserve">Each control was assessed against the following implementation status criteria:</w:t>
      </w:r>
    </w:p>
    <w:p>
      <w:pPr>
        <w:pStyle w:val="ListParagraph"/>
        <w:numPr>
          <w:ilvl w:val="0"/>
          <w:numId w:val="2"/>
        </w:numPr>
        <w:spacing w:after="40" w:before="40"/>
      </w:pPr>
      <w:r>
        <w:rPr>
          <w:rFonts w:ascii="Arial" w:cs="Arial" w:eastAsia="Arial" w:hAnsi="Arial"/>
          <w:color w:val="1A1A1A"/>
          <w:sz w:val="20"/>
          <w:szCs w:val="20"/>
        </w:rPr>
        <w:t xml:space="preserve">Conformant (C): The control is implemented, documented, consistently applied, and supported by adequate evidence. No material gaps identified.</w:t>
      </w:r>
    </w:p>
    <w:p>
      <w:pPr>
        <w:pStyle w:val="ListParagraph"/>
        <w:numPr>
          <w:ilvl w:val="0"/>
          <w:numId w:val="2"/>
        </w:numPr>
        <w:spacing w:after="40" w:before="40"/>
      </w:pPr>
      <w:r>
        <w:rPr>
          <w:rFonts w:ascii="Arial" w:cs="Arial" w:eastAsia="Arial" w:hAnsi="Arial"/>
          <w:color w:val="1A1A1A"/>
          <w:sz w:val="20"/>
          <w:szCs w:val="20"/>
        </w:rPr>
        <w:t xml:space="preserve">Partial (P): The control is partially implemented. Evidence of some activity exists but there are gaps in documentation, consistency, completeness, or formal management approval.</w:t>
      </w:r>
    </w:p>
    <w:p>
      <w:pPr>
        <w:pStyle w:val="ListParagraph"/>
        <w:numPr>
          <w:ilvl w:val="0"/>
          <w:numId w:val="2"/>
        </w:numPr>
        <w:spacing w:after="40" w:before="40"/>
      </w:pPr>
      <w:r>
        <w:rPr>
          <w:rFonts w:ascii="Arial" w:cs="Arial" w:eastAsia="Arial" w:hAnsi="Arial"/>
          <w:color w:val="1A1A1A"/>
          <w:sz w:val="20"/>
          <w:szCs w:val="20"/>
        </w:rPr>
        <w:t xml:space="preserve">Non-Conformant (NC): No evidence of implementation. The control requirement is not met. This status would constitute a finding at a certification audit.</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2.3   Risk Rating Criteria</w:t>
      </w:r>
    </w:p>
    <w:p>
      <w:pPr>
        <w:spacing w:after="140" w:before="0"/>
        <w:jc w:val="both"/>
      </w:pPr>
      <w:r>
        <w:rPr>
          <w:rFonts w:ascii="Arial" w:cs="Arial" w:eastAsia="Arial" w:hAnsi="Arial"/>
          <w:color w:val="1A1A1A"/>
          <w:sz w:val="20"/>
          <w:szCs w:val="20"/>
        </w:rPr>
        <w:t xml:space="preserve">Detailed findings have been assigned a risk rating based on the potential impact of the gap on Brightpath's information security posture, operational continuity, and compliance obligations:</w:t>
      </w:r>
    </w:p>
    <w:p>
      <w:pPr>
        <w:pStyle w:val="ListParagraph"/>
        <w:numPr>
          <w:ilvl w:val="0"/>
          <w:numId w:val="2"/>
        </w:numPr>
        <w:spacing w:after="40" w:before="40"/>
      </w:pPr>
      <w:r>
        <w:rPr>
          <w:rFonts w:ascii="Arial" w:cs="Arial" w:eastAsia="Arial" w:hAnsi="Arial"/>
          <w:color w:val="1A1A1A"/>
          <w:sz w:val="20"/>
          <w:szCs w:val="20"/>
        </w:rPr>
        <w:t xml:space="preserve">Critical: Represents a systemic or foundational gap that independently constitutes a major non-conformity. Immediate remediation required.</w:t>
      </w:r>
    </w:p>
    <w:p>
      <w:pPr>
        <w:pStyle w:val="ListParagraph"/>
        <w:numPr>
          <w:ilvl w:val="0"/>
          <w:numId w:val="2"/>
        </w:numPr>
        <w:spacing w:after="40" w:before="40"/>
      </w:pPr>
      <w:r>
        <w:rPr>
          <w:rFonts w:ascii="Arial" w:cs="Arial" w:eastAsia="Arial" w:hAnsi="Arial"/>
          <w:color w:val="1A1A1A"/>
          <w:sz w:val="20"/>
          <w:szCs w:val="20"/>
        </w:rPr>
        <w:t xml:space="preserve">High: Significant control gap with material impact on risk exposure. Remediation required within 90 days.</w:t>
      </w:r>
    </w:p>
    <w:p>
      <w:pPr>
        <w:pStyle w:val="ListParagraph"/>
        <w:numPr>
          <w:ilvl w:val="0"/>
          <w:numId w:val="2"/>
        </w:numPr>
        <w:spacing w:after="40" w:before="40"/>
      </w:pPr>
      <w:r>
        <w:rPr>
          <w:rFonts w:ascii="Arial" w:cs="Arial" w:eastAsia="Arial" w:hAnsi="Arial"/>
          <w:color w:val="1A1A1A"/>
          <w:sz w:val="20"/>
          <w:szCs w:val="20"/>
        </w:rPr>
        <w:t xml:space="preserve">Medium: Control gap with moderate risk impact. Remediation required within 180 days.</w:t>
      </w:r>
    </w:p>
    <w:p>
      <w:pPr>
        <w:pStyle w:val="ListParagraph"/>
        <w:numPr>
          <w:ilvl w:val="0"/>
          <w:numId w:val="2"/>
        </w:numPr>
        <w:spacing w:after="40" w:before="40"/>
      </w:pPr>
      <w:r>
        <w:rPr>
          <w:rFonts w:ascii="Arial" w:cs="Arial" w:eastAsia="Arial" w:hAnsi="Arial"/>
          <w:color w:val="1A1A1A"/>
          <w:sz w:val="20"/>
          <w:szCs w:val="20"/>
        </w:rPr>
        <w:t xml:space="preserve">Low: Minor gap or best practice enhancement. Remediation within 12 months.</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2.4   Evidence Sources</w:t>
      </w:r>
    </w:p>
    <w:p>
      <w:pPr>
        <w:spacing w:after="140" w:before="0"/>
        <w:jc w:val="both"/>
      </w:pPr>
      <w:r>
        <w:rPr>
          <w:rFonts w:ascii="Arial" w:cs="Arial" w:eastAsia="Arial" w:hAnsi="Arial"/>
          <w:color w:val="1A1A1A"/>
          <w:sz w:val="20"/>
          <w:szCs w:val="20"/>
        </w:rPr>
        <w:t xml:space="preserve">Evidence reviewed during this assessment included: existing IT policies and procedures (provided by the Client); AWS IAM configuration exports; HR records (onboarding and offboarding documentation); vendor and supplier contracts; IT asset records; and outputs from stakeholder interviews with the IT Manager, Head of Operations, and HR Manager.</w:t>
      </w:r>
    </w:p>
    <w:p>
      <w:r>
        <w:br w:type="page"/>
      </w:r>
    </w:p>
    <w:p>
      <w:pPr>
        <w:pStyle w:val="Heading1"/>
        <w:spacing w:after="120" w:before="320"/>
      </w:pPr>
      <w:r>
        <w:rPr>
          <w:rFonts w:ascii="Arial" w:cs="Arial" w:eastAsia="Arial" w:hAnsi="Arial"/>
          <w:b/>
          <w:bCs/>
          <w:color w:val="1B2A4A"/>
          <w:sz w:val="26"/>
          <w:szCs w:val="26"/>
        </w:rPr>
        <w:t xml:space="preserve">3.   Detailed Findings</w:t>
      </w:r>
    </w:p>
    <w:p>
      <w:pPr>
        <w:spacing w:after="140" w:before="0"/>
        <w:jc w:val="both"/>
      </w:pPr>
      <w:r>
        <w:rPr>
          <w:rFonts w:ascii="Arial" w:cs="Arial" w:eastAsia="Arial" w:hAnsi="Arial"/>
          <w:color w:val="1A1A1A"/>
          <w:sz w:val="20"/>
          <w:szCs w:val="20"/>
        </w:rPr>
        <w:t xml:space="preserve">The following section presents the detailed findings from the assessment. Six Critical findings and four High findings are presented in full. The remaining findings are summarised in Section 4 (Control Assessment Summary). All findings feed into the Risk Register (RCA-P1-005) and Remediation Roadmap (RCA-P1-006).</w:t>
      </w:r>
    </w:p>
    <w:p>
      <w:pPr>
        <w:pStyle w:val="Heading2"/>
        <w:spacing w:after="80" w:before="240"/>
      </w:pPr>
      <w:r>
        <w:rPr>
          <w:rFonts w:ascii="Arial" w:cs="Arial" w:eastAsia="Arial" w:hAnsi="Arial"/>
          <w:b/>
          <w:bCs/>
          <w:color w:val="1B2A4A"/>
          <w:sz w:val="22"/>
          <w:szCs w:val="22"/>
        </w:rPr>
        <w:t xml:space="preserve">3.1   Critical Findings</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F-001  —  No Formal Information Security Policy or ISMS Framework</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Clause 5.2 (Policy), Clause 4.3 (Scope), A.5.1 (Policies for information security)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formally documented information security policy. An informal set of IT usage guidelines exists in email form but has not been reviewed, approved by management, or communicated to staff. No ISMS scope has been defined and there is no evidence of top management commitment to information security.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Absence of a formal information security policy means there is no governing framework against which controls can be implemented, measured, or audited. Clause 5.2 requires a policy that is appropriate to the organisation's purpose, includes objectives, and commits to satisfying applicable requirements. None of these conditions are currently met.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Without a policy framework, all security controls implemented within Brightpath operate without formal authority, accountability, or direction. This creates systemic exposure across every other Annex A control domain and represents the most foundational non-conformity identified in this assessment.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and obtain top management sign-off on a formal Information Security Policy aligned to ISO 27001:2022 Clause 5.2. Define and document the ISMS scope per Clause 4.3. Establish an information security function with defined ownership. This must be completed before any other remediation activity commences.</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F-002  —  No Information Asset Inventory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A.5.9 (Inventory of information and other associated assets)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formal inventory of information assets. The IT team maintains an informal list of hardware and software in a shared spreadsheet that has not been updated in over 12 months. Cloud resources on AWS are not inventoried and there is no classification of information assets by criticality or sensitivity.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A.5.9 requires that an inventory of information and associated assets be developed, maintained, and kept accurate. Without an asset inventory, Brightpath cannot perform a meaningful risk assessment, apply appropriate controls, or demonstrate conformance with any other Annex A control that references specific assets.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Unmanaged and unclassified assets represent a significant risk of data exposure. AWS resources not captured in any inventory may lack appropriate access controls, monitoring, or backup. The absence of asset ownership assignments means there is no accountability for the security of critical business information.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 comprehensive information asset inventory covering all on-premises hardware, software, cloud resources (AWS), data stores, and third-party systems. Assign an asset owner to each entry. Classify assets according to a defined information classification scheme (see F-006). Review and update the inventory on a minimum quarterly basis.</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F-003  —  No Formal Risk Assessment Process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Clause 6.1.2 (Information security risk assessment), Clause 6.1.3 (Information security risk treatment)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not conducted a formal information security risk assessment. No risk assessment methodology has been defined, no risk criteria have been established, and no risk treatment decisions have been documented. Security decisions are made reactively and on an ad hoc basis by the IT team.</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Clause 6.1.2 requires the organisation to define and apply an information security risk assessment process that produces consistent, valid and comparable results. Clause 6.1.3 requires documented risk treatment options and a Risk Treatment Plan. Neither exists at Brightpath. This is a mandatory prerequisite for ISO 27001 certification.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Without a structured risk assessment process, Brightpath has no visibility of its information security risk exposure. Control decisions are not risk-driven, meaning resources may be misallocated and critical risks may go unaddressed. Any ISO 27001 certification audit would immediately flag the absence of a documented risk assessment as a major non-conformity.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Define and document a risk assessment methodology including risk criteria, likelihood and impact scoring, and risk acceptance thresholds. Conduct an initial enterprise-wide risk assessment covering all in-scope assets, threats, and vulnerabilities. Document a Risk Treatment Plan with identified controls, owners, and timelines. This forms the basis of RCA-P1-005 (Risk Register).</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F-004  —  Absence of Formal Access Control Policy and Privileged Access Management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A.5.15 (Access control), A.5.18 (Access rights), A.8.2 (Privileged access rights)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documented access control policy. AWS IAM roles have been configured over time without a consistent baseline, and role assignments have not been formally reviewed since deployment. Several developers retain persistent administrative access to production environments. There is no formal process for access provisioning, modification, or revocation.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A.5.15 requires a documented access control policy defining rules for granting and restricting access based on business and security requirements. A.5.18 requires formal access provisioning and regular access rights review. A.8.2 requires that privileged access rights be restricted, managed, and reviewed. All three controls are non-conformant.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Persistent and unreviewed administrative access to production AWS environments significantly elevates the risk of accidental or malicious data modification, deletion, or exfiltration. Former employees or contractors who have not been offboarded may retain active access. The absence of a least-privilege model creates a broad attack surface.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and implement a formal Access Control Policy. Conduct an immediate review of all AWS IAM roles and permissions against the principle of least privilege. Remove persistent administrative access from developer accounts; implement time-bound privileged access using AWS IAM Identity Center or equivalent. Establish a quarterly access rights review process.</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F-005  —  No Supplier Security Management Framework</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A.5.19 (Information security in supplier relationships), A.5.20 (Addressing information security within supplier agreements), A.5.21 (Managing information security in the ICT supply chain)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engages multiple third-party vendors including cloud providers, software vendors, and subcontractors. No vendor security assessments have been conducted. Supplier contracts do not contain information security clauses or data protection requirements. There is no register of third-party access to Brightpath systems or data.</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A.5.19 requires that information security requirements be established and agreed with suppliers. A.5.20 requires that supplier agreements include security requirements relevant to the information accessed. A.5.21 requires that security risks associated with the ICT supply chain be managed. None of these controls are in place.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As a managed IT services provider to US-based clients, Brightpath's supply chain security posture directly impacts its clients' risk exposure. A security incident originating in an unvetted vendor could result in client data breach, contractual penalties, and reputational damage. This finding also has direct implications for SOC 2 compliance (CC9 series).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 Supplier Security Management Policy. Establish a supplier register identifying all vendors with access to Brightpath systems or data. Conduct security assessments for all critical and high-risk suppliers. Include mandatory information security clauses in all new and renewing supplier agreements. Implement a process for monitoring ongoing supplier compliance.</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F-006  —  No Incident Response Capability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A.5.24 (Incident management planning and preparation), A.5.25 (Assessment and decision on information security events), A.5.26 (Response to information security incidents)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documented incident response plan. Security incidents and IT issues are reported informally via email or telephone to the IT team. There are no defined roles or responsibilities for incident response, no defined severity classification criteria, no escalation procedures, and no post-incident review process.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A.5.24 requires documented responsibilities, procedures, and processes for responding to information security incidents. A.5.25 requires a process for assessing and categorising events. A.5.26 requires that incidents be responded to in accordance with documented procedures. All three controls are non-conformant.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In the event of a security incident — such as a ransomware attack, data breach, or unauthorised access to a client environment — Brightpath currently has no structured mechanism to detect, contain, eradicate, or recover from the incident. This significantly amplifies the potential business and reputational impact of any security event.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and implement a formal Incident Response Plan defining roles, severity classification criteria, containment procedures, escalation paths, and communication templates. Designate an Incident Response Lead. Conduct at least one tabletop exercise to validate the plan. Establish a post-incident review process to capture lessons learned.</w:t>
            </w:r>
          </w:p>
        </w:tc>
      </w:tr>
    </w:tbl>
    <w:p>
      <w:pPr>
        <w:spacing w:after="0" w:before="0" w:line="240"/>
      </w:pPr>
      <w:r>
        <w:t xml:space="preserve"/>
      </w:r>
    </w:p>
    <w:p>
      <w:pPr>
        <w:pStyle w:val="Heading2"/>
        <w:spacing w:after="80" w:before="240"/>
      </w:pPr>
      <w:r>
        <w:rPr>
          <w:rFonts w:ascii="Arial" w:cs="Arial" w:eastAsia="Arial" w:hAnsi="Arial"/>
          <w:b/>
          <w:bCs/>
          <w:color w:val="1B2A4A"/>
          <w:sz w:val="22"/>
          <w:szCs w:val="22"/>
        </w:rPr>
        <w:t xml:space="preserve">3.2   High Priority Findings</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F-007  —  No Security Awareness Training Programme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A.6.3 (Information security awareness, education and training)</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D35400" w:val="clear"/>
            <w:tcMar>
              <w:top w:type="dxa" w:w="80"/>
              <w:left w:type="dxa" w:w="120"/>
              <w:bottom w:type="dxa" w:w="80"/>
              <w:right w:type="dxa" w:w="80"/>
            </w:tcMar>
          </w:tcPr>
          <w:p>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No formal security awareness training programme exists. New employees receive a brief IT orientation covering system access but no security-specific content. There is no annual refresher training, no phishing simulation programme, and no tracking of staff completion rates.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A.6.3 requires that all personnel and relevant contractors receive appropriate information security awareness, education, and training relevant to their job function. The control also requires that training be updated on a regular basis. Neither condition is met.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Human error and social engineering remain primary attack vectors for IT services organisations. Without structured awareness training, staff are unprepared to identify phishing attempts, handle sensitive client data correctly, or report suspicious activity. This risk is elevated given that Brightpath processes data on behalf of US-based clients.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Implement a security awareness training programme covering phishing, password hygiene, data handling, clear desk/screen, and incident reporting. Conduct mandatory training for all staff at onboarding and annually thereafter. Deploy periodic phishing simulation exercises. Track and report completion rates to management quarterly.</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F-008  —  No Background Verification or Offboarding Process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A.6.1 (Screening), A.6.5 (Responsibilities after termination or change of employment)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D35400" w:val="clear"/>
            <w:tcMar>
              <w:top w:type="dxa" w:w="80"/>
              <w:left w:type="dxa" w:w="120"/>
              <w:bottom w:type="dxa" w:w="80"/>
              <w:right w:type="dxa" w:w="80"/>
            </w:tcMar>
          </w:tcPr>
          <w:p>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does not conduct formal pre-employment background checks on new hires. Reference checks are performed informally and inconsistently. Upon employee departure, access revocation is handled ad hoc by the IT team with no defined timeline or checklist. Review of HR records identified two former employees whose system access had not been revoked within 30 days of departure.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A.6.1 requires background verification to be carried out in accordance with applicable laws and proportionate to the information assets accessed. A.6.5 requires that responsibilities for information security following termination be defined, communicated, and enforced, including prompt revocation of access rights.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Unverified personnel in roles with access to sensitive client data represent a risk of insider threat and data mishandling. Retained access by former employees is a direct threat to system integrity and represents a commonly exploited attack vector. The two identified cases of delayed access revocation constitute live security risks at the time of this assessment.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Implement a formal pre-employment screening policy including identity verification, criminal record check (where legally permissible), and reference checks. Develop an offboarding checklist requiring access revocation within 24 hours of departure. Immediately review and revoke access for all former employees identified during this assessment.</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F-009  —  Vulnerability Management Process Absent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A.8.8 (Management of technical vulnerabilities)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D35400" w:val="clear"/>
            <w:tcMar>
              <w:top w:type="dxa" w:w="80"/>
              <w:left w:type="dxa" w:w="120"/>
              <w:bottom w:type="dxa" w:w="80"/>
              <w:right w:type="dxa" w:w="80"/>
            </w:tcMar>
          </w:tcPr>
          <w:p>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formal vulnerability management process. No scheduled vulnerability scanning is performed on endpoints, servers, or AWS infrastructure. Patches are applied reactively when issues are reported. The most recent OS-level security patches on several systems reviewed during the assessment were over 90 days overdue.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A.8.8 requires that technical vulnerabilities be identified, evaluated, and addressed in a timely manner. The control requires an inventory of assets (see F-002), regular vulnerability scanning, defined patching timelines, and a process for evaluating and remediating identified vulnerabilities.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Unpatched systems and unidentified vulnerabilities create exploitable attack surfaces. For an IT services organisation with privileged access to client environments, a successful exploit of Brightpath's own infrastructure could provide a pivot point for attacks against client systems, with significant contractual and reputational consequences.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Implement a vulnerability management programme including monthly automated scanning of all in-scope systems using a recognised tool (e.g. Nessus, Qualys, or AWS Inspector). Define patching timelines: critical patches within 72 hours, high within 14 days, medium within 30 days. Track remediation through a vulnerability register reviewed monthly by IT management.</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F-010  —  Secure Development Lifecycle Not Implemented</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ISO 27001:2022 Ref</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A.8.25 (Secure development life cycle), A.8.26 (Application security requirements), A.8.27 (Secure system architecture and engineering principles), A.8.29 (Security testing in development and acceptance)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 Rating</w:t>
            </w:r>
          </w:p>
        </w:tc>
        <w:tc>
          <w:tcPr>
            <w:tcW w:type="dxa" w:w="7638"/>
            <w:tcBorders>
              <w:top w:val="single" w:color="CCCCCC" w:sz="1"/>
              <w:left w:val="single" w:color="CCCCCC" w:sz="1"/>
              <w:bottom w:val="single" w:color="CCCCCC" w:sz="1"/>
              <w:right w:val="single" w:color="CCCCCC" w:sz="1"/>
            </w:tcBorders>
            <w:shd w:fill="D35400" w:val="clear"/>
            <w:tcMar>
              <w:top w:type="dxa" w:w="80"/>
              <w:left w:type="dxa" w:w="120"/>
              <w:bottom w:type="dxa" w:w="80"/>
              <w:right w:type="dxa" w:w="80"/>
            </w:tcMar>
          </w:tcPr>
          <w:p>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develops custom software for US clients. There is no formal secure development lifecycle (SDLC) in place. Security requirements are not formally defined at the design stage, code reviews do not include security considerations, and no security testing is performed prior to production deployment.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A.8.25 through A.8.29 collectively require that security be integrated throughout the software development process — from requirements definition through architecture, coding, testing, and acceptance. None of these controls are currently implemented in Brightpath's development practice.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Risk</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Software delivered to clients without security testing or security requirements validation may contain exploitable vulnerabilities. Any data breach or security incident attributable to a defect in Brightpath-developed software would expose the organisation to significant contractual liability and reputational damage with US-based clients.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Adopt a formal Secure SDLC policy incorporating security requirements at the design phase, mandatory security code review, and pre-deployment security testing (DAST/SAST). Train development staff on OWASP Top 10 and secure coding practices. Establish acceptance criteria that include security sign-off prior to production deployment.</w:t>
            </w:r>
          </w:p>
        </w:tc>
      </w:tr>
    </w:tbl>
    <w:p>
      <w:pPr>
        <w:spacing w:after="0" w:before="0" w:line="240"/>
      </w:pPr>
      <w:r>
        <w:t xml:space="preserve"/>
      </w:r>
    </w:p>
    <w:p>
      <w:r>
        <w:br w:type="page"/>
      </w:r>
    </w:p>
    <w:p>
      <w:pPr>
        <w:pStyle w:val="Heading1"/>
        <w:spacing w:after="120" w:before="320"/>
      </w:pPr>
      <w:r>
        <w:rPr>
          <w:rFonts w:ascii="Arial" w:cs="Arial" w:eastAsia="Arial" w:hAnsi="Arial"/>
          <w:b/>
          <w:bCs/>
          <w:color w:val="1B2A4A"/>
          <w:sz w:val="26"/>
          <w:szCs w:val="26"/>
        </w:rPr>
        <w:t xml:space="preserve">4.   Control Assessment Summary</w:t>
      </w:r>
    </w:p>
    <w:p>
      <w:pPr>
        <w:spacing w:after="140" w:before="0"/>
        <w:jc w:val="both"/>
      </w:pPr>
      <w:r>
        <w:rPr>
          <w:rFonts w:ascii="Arial" w:cs="Arial" w:eastAsia="Arial" w:hAnsi="Arial"/>
          <w:color w:val="1A1A1A"/>
          <w:sz w:val="20"/>
          <w:szCs w:val="20"/>
        </w:rPr>
        <w:t xml:space="preserve">The table below presents the assessment status for all 93 ISO 27001:2022 Annex A controls. Status codes: NC = Non-Conformant, P = Partial, C = Conformant.</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400"/>
        <w:gridCol w:w="2038"/>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Control</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Control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Status</w:t>
            </w:r>
          </w:p>
        </w:tc>
        <w:tc>
          <w:tcPr>
            <w:tcW w:type="dxa" w:w="20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Priority</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A.5  Organisational Controls (37 controls)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Policies for information security</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security roles and responsibilities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Segregation of duties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A.5.4</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Management responsibilities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Contact with authorities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A.5.6</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Contact with special interest groups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Threat intelligence</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A.5.8</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security in project management</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Inventory of information and other associated assets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A.5.10</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Acceptable use of information and other associated assets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Return of assets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A.5.12</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Classification of information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Labelling of information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A.5.14</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transfer</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Access control</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A.5.16</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Identity management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Authentication information</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A.5.18</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Access rights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A.5.19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Information security in supplier relationships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A.5.20</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Addressing information security within supplier agreements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A.5.21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Managing information security in the ICT supply chain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A.5.22</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Monitoring, review and change management of supplier services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A.5.23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Information security for use of cloud services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A.5.24</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security incident management planning and preparation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A.5.25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Assessment and decision on information security events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A.5.26</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Response to information security incidents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A.5.27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Learning from information security incidents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A.5.28</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Collection of evidence</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A.5.29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Information security during disruption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A.5.30</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ICT readiness for business continuity</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A.5.31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Legal, statutory, regulatory and contractual requirements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A.5.32</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Intellectual property rights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A.5.33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Protection of records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A.5.34</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Privacy and protection of personal identifiable information</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A.5.35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Independent review of information security</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A.5.36</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Compliance with policies, rules and standards for information security</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A.5.37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Documented operating procedures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A.6  People Controls (8 controls)</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A.6.1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Screening</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A.6.2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Terms and conditions of employment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A.6.3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security awareness, education and training</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A.6.4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Disciplinary process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A.6.5</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Responsibilities after termination or change of employment</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A.6.6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Confidentiality or non-disclosure agreements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A.6.7</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Remote working</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A.6.8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Information security event reporting</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A.7  Physical Controls (14 controls)</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Physical security perimeters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Physical entry</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Securing offices, rooms and facilities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Physical security monitoring</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A.7.5</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Protecting against physical and environmental threats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Working in secure areas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A.7.7</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Clear desk and clear screen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Equipment siting and protection</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A.7.9</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Security of assets off-premises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Storage media</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A.7.11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Supporting utilities</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A.7.12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Cabling security</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A.7.13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Equipment maintenance</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A.7.14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Secure disposal or re-use of equipment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A.8  Technological Controls (34 controls)</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User endpoint devices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Privileged access rights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access restriction</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Access to source code</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A.8.5</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Secure authentication</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Capacity management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A.8.7</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Protection against malware</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Management of technical vulnerabilities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A.8.9</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Configuration management</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A.8.10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Information deletion</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Data masking</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A.8.12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Data leakage prevention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Information backup</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A.8.14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Redundancy of information processing facilities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A.8.15</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Logging</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A.8.16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Monitoring activities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A.8.17</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Clock synchronisation</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A.8.18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Use of privileged utility programs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A.8.19</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Installation of software on operational systems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Networks security</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A.8.21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Security of network services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Segregation of networks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A.8.23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Web filtering</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Use of cryptography</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A.8.25</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Secure development life cycle</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Application security requirements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A.8.27</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Secure system architecture and engineering principles</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A.8.28</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Secure coding</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A.8.29</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Security testing in development and acceptance</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A.8.30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Outsourced development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A.8.31</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Separation of development, test and production environments</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D354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A.8.32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Change management</w:t>
            </w:r>
          </w:p>
        </w:tc>
        <w:tc>
          <w:tcPr>
            <w:tcW w:type="dxa" w:w="14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A.8.33</w:t>
            </w:r>
          </w:p>
        </w:tc>
        <w:tc>
          <w:tcPr>
            <w:tcW w:type="dxa" w:w="4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Test information</w:t>
            </w:r>
          </w:p>
        </w:tc>
        <w:tc>
          <w:tcPr>
            <w:tcW w:type="dxa" w:w="1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NC</w:t>
            </w:r>
          </w:p>
        </w:tc>
        <w:tc>
          <w:tcPr>
            <w:tcW w:type="dxa" w:w="20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pPr>
              <w:jc w:val="center"/>
            </w:pPr>
            <w:r>
              <w:rPr>
                <w:rFonts w:ascii="Arial" w:cs="Arial" w:eastAsia="Arial" w:hAnsi="Arial"/>
                <w:b/>
                <w:bCs/>
                <w:color w:val="C8A951"/>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A.8.34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Protection of information systems during audit testing</w:t>
            </w:r>
          </w:p>
        </w:tc>
        <w:tc>
          <w:tcPr>
            <w:tcW w:type="dxa" w:w="14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w:t>
            </w:r>
          </w:p>
        </w:tc>
        <w:tc>
          <w:tcPr>
            <w:tcW w:type="dxa" w:w="2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66666"/>
                <w:sz w:val="18"/>
                <w:szCs w:val="18"/>
              </w:rPr>
              <w:t xml:space="preserve">—</w:t>
            </w:r>
          </w:p>
        </w:tc>
      </w:tr>
    </w:tbl>
    <w:p>
      <w:r>
        <w:br w:type="page"/>
      </w:r>
    </w:p>
    <w:p>
      <w:pPr>
        <w:pStyle w:val="Heading1"/>
        <w:spacing w:after="120" w:before="320"/>
      </w:pPr>
      <w:r>
        <w:rPr>
          <w:rFonts w:ascii="Arial" w:cs="Arial" w:eastAsia="Arial" w:hAnsi="Arial"/>
          <w:b/>
          <w:bCs/>
          <w:color w:val="1B2A4A"/>
          <w:sz w:val="26"/>
          <w:szCs w:val="26"/>
        </w:rPr>
        <w:t xml:space="preserve">5.   Recommendations</w:t>
      </w:r>
    </w:p>
    <w:p>
      <w:pPr>
        <w:pStyle w:val="Heading2"/>
        <w:spacing w:after="80" w:before="240"/>
      </w:pPr>
      <w:r>
        <w:rPr>
          <w:rFonts w:ascii="Arial" w:cs="Arial" w:eastAsia="Arial" w:hAnsi="Arial"/>
          <w:b/>
          <w:bCs/>
          <w:color w:val="1B2A4A"/>
          <w:sz w:val="22"/>
          <w:szCs w:val="22"/>
        </w:rPr>
        <w:t xml:space="preserve">5.1   Immediate Actions (0 – 30 Days)</w:t>
      </w:r>
    </w:p>
    <w:p>
      <w:pPr>
        <w:spacing w:after="140" w:before="0"/>
        <w:jc w:val="both"/>
      </w:pPr>
      <w:r>
        <w:rPr>
          <w:rFonts w:ascii="Arial" w:cs="Arial" w:eastAsia="Arial" w:hAnsi="Arial"/>
          <w:color w:val="1A1A1A"/>
          <w:sz w:val="20"/>
          <w:szCs w:val="20"/>
        </w:rPr>
        <w:t xml:space="preserve">The following actions must be initiated immediately and are prerequisite to all other remediation activity:</w:t>
      </w:r>
    </w:p>
    <w:p>
      <w:pPr>
        <w:pStyle w:val="ListParagraph"/>
        <w:numPr>
          <w:ilvl w:val="0"/>
          <w:numId w:val="2"/>
        </w:numPr>
        <w:spacing w:after="40" w:before="40"/>
      </w:pPr>
      <w:r>
        <w:rPr>
          <w:rFonts w:ascii="Arial" w:cs="Arial" w:eastAsia="Arial" w:hAnsi="Arial"/>
          <w:color w:val="1A1A1A"/>
          <w:sz w:val="20"/>
          <w:szCs w:val="20"/>
        </w:rPr>
        <w:t xml:space="preserve">Appoint an Information Security Officer or designate an existing senior manager as accountable for information security. Without clear ownership, remediation will stall.</w:t>
      </w:r>
    </w:p>
    <w:p>
      <w:pPr>
        <w:pStyle w:val="ListParagraph"/>
        <w:numPr>
          <w:ilvl w:val="0"/>
          <w:numId w:val="2"/>
        </w:numPr>
        <w:spacing w:after="40" w:before="40"/>
      </w:pPr>
      <w:r>
        <w:rPr>
          <w:rFonts w:ascii="Arial" w:cs="Arial" w:eastAsia="Arial" w:hAnsi="Arial"/>
          <w:color w:val="1A1A1A"/>
          <w:sz w:val="20"/>
          <w:szCs w:val="20"/>
        </w:rPr>
        <w:t xml:space="preserve">Obtain top management sign-off on a formal Information Security Policy. This single action provides the authority to implement all other controls.</w:t>
      </w:r>
    </w:p>
    <w:p>
      <w:pPr>
        <w:pStyle w:val="ListParagraph"/>
        <w:numPr>
          <w:ilvl w:val="0"/>
          <w:numId w:val="2"/>
        </w:numPr>
        <w:spacing w:after="40" w:before="40"/>
      </w:pPr>
      <w:r>
        <w:rPr>
          <w:rFonts w:ascii="Arial" w:cs="Arial" w:eastAsia="Arial" w:hAnsi="Arial"/>
          <w:color w:val="1A1A1A"/>
          <w:sz w:val="20"/>
          <w:szCs w:val="20"/>
        </w:rPr>
        <w:t xml:space="preserve">Conduct an immediate review and revocation of AWS IAM access for all former employees. This is a live risk identified during the assessment.</w:t>
      </w:r>
    </w:p>
    <w:p>
      <w:pPr>
        <w:pStyle w:val="ListParagraph"/>
        <w:numPr>
          <w:ilvl w:val="0"/>
          <w:numId w:val="2"/>
        </w:numPr>
        <w:spacing w:after="40" w:before="40"/>
      </w:pPr>
      <w:r>
        <w:rPr>
          <w:rFonts w:ascii="Arial" w:cs="Arial" w:eastAsia="Arial" w:hAnsi="Arial"/>
          <w:color w:val="1A1A1A"/>
          <w:sz w:val="20"/>
          <w:szCs w:val="20"/>
        </w:rPr>
        <w:t xml:space="preserve">Define the ISMS scope and begin documenting the risk assessment methodology.</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5.2   Short-Term Actions (30 – 90 Days)</w:t>
      </w:r>
    </w:p>
    <w:p>
      <w:pPr>
        <w:pStyle w:val="ListParagraph"/>
        <w:numPr>
          <w:ilvl w:val="0"/>
          <w:numId w:val="2"/>
        </w:numPr>
        <w:spacing w:after="40" w:before="40"/>
      </w:pPr>
      <w:r>
        <w:rPr>
          <w:rFonts w:ascii="Arial" w:cs="Arial" w:eastAsia="Arial" w:hAnsi="Arial"/>
          <w:color w:val="1A1A1A"/>
          <w:sz w:val="20"/>
          <w:szCs w:val="20"/>
        </w:rPr>
        <w:t xml:space="preserve">Complete the information asset inventory covering all systems, data stores, cloud resources, and third-party connections.</w:t>
      </w:r>
    </w:p>
    <w:p>
      <w:pPr>
        <w:pStyle w:val="ListParagraph"/>
        <w:numPr>
          <w:ilvl w:val="0"/>
          <w:numId w:val="2"/>
        </w:numPr>
        <w:spacing w:after="40" w:before="40"/>
      </w:pPr>
      <w:r>
        <w:rPr>
          <w:rFonts w:ascii="Arial" w:cs="Arial" w:eastAsia="Arial" w:hAnsi="Arial"/>
          <w:color w:val="1A1A1A"/>
          <w:sz w:val="20"/>
          <w:szCs w:val="20"/>
        </w:rPr>
        <w:t xml:space="preserve">Conduct the initial enterprise risk assessment and produce the Risk Register (RCA-P1-005).</w:t>
      </w:r>
    </w:p>
    <w:p>
      <w:pPr>
        <w:pStyle w:val="ListParagraph"/>
        <w:numPr>
          <w:ilvl w:val="0"/>
          <w:numId w:val="2"/>
        </w:numPr>
        <w:spacing w:after="40" w:before="40"/>
      </w:pPr>
      <w:r>
        <w:rPr>
          <w:rFonts w:ascii="Arial" w:cs="Arial" w:eastAsia="Arial" w:hAnsi="Arial"/>
          <w:color w:val="1A1A1A"/>
          <w:sz w:val="20"/>
          <w:szCs w:val="20"/>
        </w:rPr>
        <w:t xml:space="preserve">Develop and implement the Access Control Policy with defined provisioning, review, and revocation procedures.</w:t>
      </w:r>
    </w:p>
    <w:p>
      <w:pPr>
        <w:pStyle w:val="ListParagraph"/>
        <w:numPr>
          <w:ilvl w:val="0"/>
          <w:numId w:val="2"/>
        </w:numPr>
        <w:spacing w:after="40" w:before="40"/>
      </w:pPr>
      <w:r>
        <w:rPr>
          <w:rFonts w:ascii="Arial" w:cs="Arial" w:eastAsia="Arial" w:hAnsi="Arial"/>
          <w:color w:val="1A1A1A"/>
          <w:sz w:val="20"/>
          <w:szCs w:val="20"/>
        </w:rPr>
        <w:t xml:space="preserve">Draft and execute information security addenda to all critical supplier contracts.</w:t>
      </w:r>
    </w:p>
    <w:p>
      <w:pPr>
        <w:pStyle w:val="ListParagraph"/>
        <w:numPr>
          <w:ilvl w:val="0"/>
          <w:numId w:val="2"/>
        </w:numPr>
        <w:spacing w:after="40" w:before="40"/>
      </w:pPr>
      <w:r>
        <w:rPr>
          <w:rFonts w:ascii="Arial" w:cs="Arial" w:eastAsia="Arial" w:hAnsi="Arial"/>
          <w:color w:val="1A1A1A"/>
          <w:sz w:val="20"/>
          <w:szCs w:val="20"/>
        </w:rPr>
        <w:t xml:space="preserve">Develop and test the Incident Response Plan.</w:t>
      </w:r>
    </w:p>
    <w:p>
      <w:pPr>
        <w:pStyle w:val="ListParagraph"/>
        <w:numPr>
          <w:ilvl w:val="0"/>
          <w:numId w:val="2"/>
        </w:numPr>
        <w:spacing w:after="40" w:before="40"/>
      </w:pPr>
      <w:r>
        <w:rPr>
          <w:rFonts w:ascii="Arial" w:cs="Arial" w:eastAsia="Arial" w:hAnsi="Arial"/>
          <w:color w:val="1A1A1A"/>
          <w:sz w:val="20"/>
          <w:szCs w:val="20"/>
        </w:rPr>
        <w:t xml:space="preserve">Launch a basic security awareness training programme for all staff.</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5.3   Medium-Term Actions (90 – 180 Days)</w:t>
      </w:r>
    </w:p>
    <w:p>
      <w:pPr>
        <w:pStyle w:val="ListParagraph"/>
        <w:numPr>
          <w:ilvl w:val="0"/>
          <w:numId w:val="2"/>
        </w:numPr>
        <w:spacing w:after="40" w:before="40"/>
      </w:pPr>
      <w:r>
        <w:rPr>
          <w:rFonts w:ascii="Arial" w:cs="Arial" w:eastAsia="Arial" w:hAnsi="Arial"/>
          <w:color w:val="1A1A1A"/>
          <w:sz w:val="20"/>
          <w:szCs w:val="20"/>
        </w:rPr>
        <w:t xml:space="preserve">Complete the Statement of Applicability (RCA-P1-004) based on the risk assessment outputs.</w:t>
      </w:r>
    </w:p>
    <w:p>
      <w:pPr>
        <w:pStyle w:val="ListParagraph"/>
        <w:numPr>
          <w:ilvl w:val="0"/>
          <w:numId w:val="2"/>
        </w:numPr>
        <w:spacing w:after="40" w:before="40"/>
      </w:pPr>
      <w:r>
        <w:rPr>
          <w:rFonts w:ascii="Arial" w:cs="Arial" w:eastAsia="Arial" w:hAnsi="Arial"/>
          <w:color w:val="1A1A1A"/>
          <w:sz w:val="20"/>
          <w:szCs w:val="20"/>
        </w:rPr>
        <w:t xml:space="preserve">Implement a vulnerability management programme with monthly scanning and defined patching SLAs.</w:t>
      </w:r>
    </w:p>
    <w:p>
      <w:pPr>
        <w:pStyle w:val="ListParagraph"/>
        <w:numPr>
          <w:ilvl w:val="0"/>
          <w:numId w:val="2"/>
        </w:numPr>
        <w:spacing w:after="40" w:before="40"/>
      </w:pPr>
      <w:r>
        <w:rPr>
          <w:rFonts w:ascii="Arial" w:cs="Arial" w:eastAsia="Arial" w:hAnsi="Arial"/>
          <w:color w:val="1A1A1A"/>
          <w:sz w:val="20"/>
          <w:szCs w:val="20"/>
        </w:rPr>
        <w:t xml:space="preserve">Adopt formal SDLC security controls across the development team.</w:t>
      </w:r>
    </w:p>
    <w:p>
      <w:pPr>
        <w:pStyle w:val="ListParagraph"/>
        <w:numPr>
          <w:ilvl w:val="0"/>
          <w:numId w:val="2"/>
        </w:numPr>
        <w:spacing w:after="40" w:before="40"/>
      </w:pPr>
      <w:r>
        <w:rPr>
          <w:rFonts w:ascii="Arial" w:cs="Arial" w:eastAsia="Arial" w:hAnsi="Arial"/>
          <w:color w:val="1A1A1A"/>
          <w:sz w:val="20"/>
          <w:szCs w:val="20"/>
        </w:rPr>
        <w:t xml:space="preserve">Establish a supplier security assessment process and onboard critical vendors.</w:t>
      </w:r>
    </w:p>
    <w:p>
      <w:pPr>
        <w:pStyle w:val="ListParagraph"/>
        <w:numPr>
          <w:ilvl w:val="0"/>
          <w:numId w:val="2"/>
        </w:numPr>
        <w:spacing w:after="40" w:before="40"/>
      </w:pPr>
      <w:r>
        <w:rPr>
          <w:rFonts w:ascii="Arial" w:cs="Arial" w:eastAsia="Arial" w:hAnsi="Arial"/>
          <w:color w:val="1A1A1A"/>
          <w:sz w:val="20"/>
          <w:szCs w:val="20"/>
        </w:rPr>
        <w:t xml:space="preserve">Implement logging and monitoring across all production AWS environments.</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5.4   Long-Term Actions (180 Days – Certification)</w:t>
      </w:r>
    </w:p>
    <w:p>
      <w:pPr>
        <w:pStyle w:val="ListParagraph"/>
        <w:numPr>
          <w:ilvl w:val="0"/>
          <w:numId w:val="2"/>
        </w:numPr>
        <w:spacing w:after="40" w:before="40"/>
      </w:pPr>
      <w:r>
        <w:rPr>
          <w:rFonts w:ascii="Arial" w:cs="Arial" w:eastAsia="Arial" w:hAnsi="Arial"/>
          <w:color w:val="1A1A1A"/>
          <w:sz w:val="20"/>
          <w:szCs w:val="20"/>
        </w:rPr>
        <w:t xml:space="preserve">Conduct an internal audit of the ISMS against ISO 27001:2022 requirements.</w:t>
      </w:r>
    </w:p>
    <w:p>
      <w:pPr>
        <w:pStyle w:val="ListParagraph"/>
        <w:numPr>
          <w:ilvl w:val="0"/>
          <w:numId w:val="2"/>
        </w:numPr>
        <w:spacing w:after="40" w:before="40"/>
      </w:pPr>
      <w:r>
        <w:rPr>
          <w:rFonts w:ascii="Arial" w:cs="Arial" w:eastAsia="Arial" w:hAnsi="Arial"/>
          <w:color w:val="1A1A1A"/>
          <w:sz w:val="20"/>
          <w:szCs w:val="20"/>
        </w:rPr>
        <w:t xml:space="preserve">Conduct a management review of the ISMS per Clause 9.3.</w:t>
      </w:r>
    </w:p>
    <w:p>
      <w:pPr>
        <w:pStyle w:val="ListParagraph"/>
        <w:numPr>
          <w:ilvl w:val="0"/>
          <w:numId w:val="2"/>
        </w:numPr>
        <w:spacing w:after="40" w:before="40"/>
      </w:pPr>
      <w:r>
        <w:rPr>
          <w:rFonts w:ascii="Arial" w:cs="Arial" w:eastAsia="Arial" w:hAnsi="Arial"/>
          <w:color w:val="1A1A1A"/>
          <w:sz w:val="20"/>
          <w:szCs w:val="20"/>
        </w:rPr>
        <w:t xml:space="preserve">Engage an accredited Certification Body for a Stage 1 (documentation) audit.</w:t>
      </w:r>
    </w:p>
    <w:p>
      <w:pPr>
        <w:pStyle w:val="ListParagraph"/>
        <w:numPr>
          <w:ilvl w:val="0"/>
          <w:numId w:val="2"/>
        </w:numPr>
        <w:spacing w:after="40" w:before="40"/>
      </w:pPr>
      <w:r>
        <w:rPr>
          <w:rFonts w:ascii="Arial" w:cs="Arial" w:eastAsia="Arial" w:hAnsi="Arial"/>
          <w:color w:val="1A1A1A"/>
          <w:sz w:val="20"/>
          <w:szCs w:val="20"/>
        </w:rPr>
        <w:t xml:space="preserve">Address Stage 1 findings and schedule Stage 2 (implementation) audit.</w:t>
      </w:r>
    </w:p>
    <w:p>
      <w:pPr>
        <w:spacing w:after="0" w:before="0" w:line="160"/>
      </w:pPr>
      <w:r>
        <w:t xml:space="preserve"/>
      </w:r>
    </w:p>
    <w:p>
      <w:pPr>
        <w:pStyle w:val="Heading1"/>
        <w:spacing w:after="120" w:before="320"/>
      </w:pPr>
      <w:r>
        <w:rPr>
          <w:rFonts w:ascii="Arial" w:cs="Arial" w:eastAsia="Arial" w:hAnsi="Arial"/>
          <w:b/>
          <w:bCs/>
          <w:color w:val="1B2A4A"/>
          <w:sz w:val="26"/>
          <w:szCs w:val="26"/>
        </w:rPr>
        <w:t xml:space="preserve">6.   Conclusion</w:t>
      </w:r>
    </w:p>
    <w:p>
      <w:pPr>
        <w:spacing w:after="140" w:before="0"/>
        <w:jc w:val="both"/>
      </w:pPr>
      <w:r>
        <w:rPr>
          <w:rFonts w:ascii="Arial" w:cs="Arial" w:eastAsia="Arial" w:hAnsi="Arial"/>
          <w:color w:val="1A1A1A"/>
          <w:sz w:val="20"/>
          <w:szCs w:val="20"/>
        </w:rPr>
        <w:t xml:space="preserve">This assessment has identified significant gaps between Brightpath Technologies' current information security practices and the requirements of ISO 27001:2022. The findings are consistent with an organisation at the beginning of its information security maturity journey — basic infrastructure is in place, but the governance, process, and documentation layer required by the standard is largely absent.</w:t>
      </w:r>
    </w:p>
    <w:p>
      <w:pPr>
        <w:spacing w:after="140" w:before="0"/>
        <w:jc w:val="both"/>
      </w:pPr>
      <w:r>
        <w:rPr>
          <w:rFonts w:ascii="Arial" w:cs="Arial" w:eastAsia="Arial" w:hAnsi="Arial"/>
          <w:color w:val="1A1A1A"/>
          <w:sz w:val="20"/>
          <w:szCs w:val="20"/>
        </w:rPr>
        <w:t xml:space="preserve">The path to certification is achievable within a 9 to 12 month horizon provided that senior management commits the necessary resources and treats information security as a strategic priority. The six Critical findings must be addressed as a matter of urgency; several represent live risks independent of the certification objective.</w:t>
      </w:r>
    </w:p>
    <w:p>
      <w:pPr>
        <w:spacing w:after="140" w:before="0"/>
        <w:jc w:val="both"/>
      </w:pPr>
      <w:r>
        <w:rPr>
          <w:rFonts w:ascii="Arial" w:cs="Arial" w:eastAsia="Arial" w:hAnsi="Arial"/>
          <w:color w:val="1A1A1A"/>
          <w:sz w:val="20"/>
          <w:szCs w:val="20"/>
        </w:rPr>
        <w:t xml:space="preserve">Resolute Compliance Advisory LLP remains available to support Brightpath through the remediation phase and to provide ongoing advisory services as the organisation progresses towards ISO 27001:2022 certification readiness.</w:t>
      </w:r>
    </w:p>
    <w:p>
      <w:pPr>
        <w:spacing w:after="0" w:before="0" w:line="160"/>
      </w:pPr>
      <w:r>
        <w:t xml:space="preserve"/>
      </w:r>
    </w:p>
    <w:p>
      <w:r>
        <w:br w:type="page"/>
      </w:r>
    </w:p>
    <w:p>
      <w:pPr>
        <w:pStyle w:val="Heading1"/>
        <w:spacing w:after="120" w:before="320"/>
      </w:pPr>
      <w:r>
        <w:rPr>
          <w:rFonts w:ascii="Arial" w:cs="Arial" w:eastAsia="Arial" w:hAnsi="Arial"/>
          <w:b/>
          <w:bCs/>
          <w:color w:val="1B2A4A"/>
          <w:sz w:val="26"/>
          <w:szCs w:val="26"/>
        </w:rPr>
        <w:t xml:space="preserve">Appendix A — Assessment Evidence Log</w:t>
      </w:r>
    </w:p>
    <w:p>
      <w:pPr>
        <w:spacing w:after="140" w:before="0"/>
        <w:jc w:val="both"/>
      </w:pPr>
      <w:r>
        <w:rPr>
          <w:rFonts w:ascii="Arial" w:cs="Arial" w:eastAsia="Arial" w:hAnsi="Arial"/>
          <w:color w:val="1A1A1A"/>
          <w:sz w:val="20"/>
          <w:szCs w:val="20"/>
        </w:rPr>
        <w:t xml:space="preserve">The following evidence was reviewed during the course of this assessment:</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400"/>
        <w:gridCol w:w="2338"/>
      </w:tblGrid>
      <w:tr>
        <w:tc>
          <w:tcPr>
            <w:tcW w:type="dxa" w:w="7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r>
              <w:rPr>
                <w:rFonts w:ascii="Arial" w:cs="Arial" w:eastAsia="Arial" w:hAnsi="Arial"/>
                <w:b/>
                <w:bCs/>
                <w:color w:val="FFFFFF"/>
                <w:sz w:val="18"/>
                <w:szCs w:val="18"/>
              </w:rPr>
              <w:t xml:space="preserve">Ref</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Evidence Item</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Area</w:t>
            </w:r>
          </w:p>
        </w:tc>
        <w:tc>
          <w:tcPr>
            <w:tcW w:type="dxa" w:w="23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r>
              <w:rPr>
                <w:rFonts w:ascii="Arial" w:cs="Arial" w:eastAsia="Arial" w:hAnsi="Arial"/>
                <w:b/>
                <w:bCs/>
                <w:color w:val="FFFFFF"/>
                <w:sz w:val="18"/>
                <w:szCs w:val="18"/>
              </w:rPr>
              <w:t xml:space="preserve">Related Finding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E-001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IT Usage Guidelines (email, undated)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Policy documentation</w:t>
            </w:r>
          </w:p>
        </w:tc>
        <w:tc>
          <w:tcPr>
            <w:tcW w:type="dxa" w:w="23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B2A4A"/>
                <w:sz w:val="18"/>
                <w:szCs w:val="18"/>
              </w:rPr>
              <w:t xml:space="preserve">F-001</w:t>
            </w:r>
          </w:p>
        </w:tc>
      </w:tr>
      <w:tr>
        <w:tc>
          <w:tcPr>
            <w:tcW w:type="dxa" w:w="7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E-002</w:t>
            </w:r>
          </w:p>
        </w:tc>
        <w:tc>
          <w:tcPr>
            <w:tcW w:type="dxa" w:w="3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Hardware/Software Asset List (spreadsheet)</w:t>
            </w:r>
          </w:p>
        </w:tc>
        <w:tc>
          <w:tcPr>
            <w:tcW w:type="dxa" w:w="3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Asset management</w:t>
            </w:r>
          </w:p>
        </w:tc>
        <w:tc>
          <w:tcPr>
            <w:tcW w:type="dxa" w:w="23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color w:val="1B2A4A"/>
                <w:sz w:val="18"/>
                <w:szCs w:val="18"/>
              </w:rPr>
              <w:t xml:space="preserve">F-002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E-003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AWS IAM Role Configuration Export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Access control</w:t>
            </w:r>
          </w:p>
        </w:tc>
        <w:tc>
          <w:tcPr>
            <w:tcW w:type="dxa" w:w="23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B2A4A"/>
                <w:sz w:val="18"/>
                <w:szCs w:val="18"/>
              </w:rPr>
              <w:t xml:space="preserve">F-004</w:t>
            </w:r>
          </w:p>
        </w:tc>
      </w:tr>
      <w:tr>
        <w:tc>
          <w:tcPr>
            <w:tcW w:type="dxa" w:w="7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E-004</w:t>
            </w:r>
          </w:p>
        </w:tc>
        <w:tc>
          <w:tcPr>
            <w:tcW w:type="dxa" w:w="3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HR Onboarding Records (sample, 10 records)</w:t>
            </w:r>
          </w:p>
        </w:tc>
        <w:tc>
          <w:tcPr>
            <w:tcW w:type="dxa" w:w="3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HR security</w:t>
            </w:r>
          </w:p>
        </w:tc>
        <w:tc>
          <w:tcPr>
            <w:tcW w:type="dxa" w:w="23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color w:val="1B2A4A"/>
                <w:sz w:val="18"/>
                <w:szCs w:val="18"/>
              </w:rPr>
              <w:t xml:space="preserve">F-008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E-005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HR Offboarding Records (sample, 5 records)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HR security</w:t>
            </w:r>
          </w:p>
        </w:tc>
        <w:tc>
          <w:tcPr>
            <w:tcW w:type="dxa" w:w="23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B2A4A"/>
                <w:sz w:val="18"/>
                <w:szCs w:val="18"/>
              </w:rPr>
              <w:t xml:space="preserve">F-008</w:t>
            </w:r>
          </w:p>
        </w:tc>
      </w:tr>
      <w:tr>
        <w:tc>
          <w:tcPr>
            <w:tcW w:type="dxa" w:w="7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E-006</w:t>
            </w:r>
          </w:p>
        </w:tc>
        <w:tc>
          <w:tcPr>
            <w:tcW w:type="dxa" w:w="3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Sample Supplier Contract (3 contracts reviewed)</w:t>
            </w:r>
          </w:p>
        </w:tc>
        <w:tc>
          <w:tcPr>
            <w:tcW w:type="dxa" w:w="3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Supplier management</w:t>
            </w:r>
          </w:p>
        </w:tc>
        <w:tc>
          <w:tcPr>
            <w:tcW w:type="dxa" w:w="23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color w:val="1B2A4A"/>
                <w:sz w:val="18"/>
                <w:szCs w:val="18"/>
              </w:rPr>
              <w:t xml:space="preserve">F-005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E-007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Interview: IT Manager (60 min)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Multiple controls</w:t>
            </w:r>
          </w:p>
        </w:tc>
        <w:tc>
          <w:tcPr>
            <w:tcW w:type="dxa" w:w="23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B2A4A"/>
                <w:sz w:val="18"/>
                <w:szCs w:val="18"/>
              </w:rPr>
              <w:t xml:space="preserve">F-001 to F-010</w:t>
            </w:r>
          </w:p>
        </w:tc>
      </w:tr>
      <w:tr>
        <w:tc>
          <w:tcPr>
            <w:tcW w:type="dxa" w:w="7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E-008</w:t>
            </w:r>
          </w:p>
        </w:tc>
        <w:tc>
          <w:tcPr>
            <w:tcW w:type="dxa" w:w="3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Interview: Head of Operations (45 min)</w:t>
            </w:r>
          </w:p>
        </w:tc>
        <w:tc>
          <w:tcPr>
            <w:tcW w:type="dxa" w:w="3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Governance, HR</w:t>
            </w:r>
          </w:p>
        </w:tc>
        <w:tc>
          <w:tcPr>
            <w:tcW w:type="dxa" w:w="23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color w:val="1B2A4A"/>
                <w:sz w:val="18"/>
                <w:szCs w:val="18"/>
              </w:rPr>
              <w:t xml:space="preserve">F-001, F-007, F-008</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E-009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Interview: HR Manager (30 min)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HR security</w:t>
            </w:r>
          </w:p>
        </w:tc>
        <w:tc>
          <w:tcPr>
            <w:tcW w:type="dxa" w:w="23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B2A4A"/>
                <w:sz w:val="18"/>
                <w:szCs w:val="18"/>
              </w:rPr>
              <w:t xml:space="preserve">F-008</w:t>
            </w:r>
          </w:p>
        </w:tc>
      </w:tr>
      <w:tr>
        <w:tc>
          <w:tcPr>
            <w:tcW w:type="dxa" w:w="7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E-010</w:t>
            </w:r>
          </w:p>
        </w:tc>
        <w:tc>
          <w:tcPr>
            <w:tcW w:type="dxa" w:w="3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AWS CloudTrail Log Sample (30 days)</w:t>
            </w:r>
          </w:p>
        </w:tc>
        <w:tc>
          <w:tcPr>
            <w:tcW w:type="dxa" w:w="34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Logging and monitoring</w:t>
            </w:r>
          </w:p>
        </w:tc>
        <w:tc>
          <w:tcPr>
            <w:tcW w:type="dxa" w:w="2338"/>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color w:val="1B2A4A"/>
                <w:sz w:val="18"/>
                <w:szCs w:val="18"/>
              </w:rPr>
              <w:t xml:space="preserve">A.8.15, A.8.16</w:t>
            </w:r>
          </w:p>
        </w:tc>
      </w:tr>
    </w:tbl>
    <w:sectPr>
      <w:headerReference w:type="default" r:id="rId7"/>
      <w:footerReference w:type="default" r:id="rId8"/>
      <w:pgSz w:w="11906" w:h="16838" w:orient="portrait"/>
      <w:pgMar w:top="1800" w:right="1134" w:bottom="16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8A951" w:sz="6" w:space="1"/>
      </w:pBdr>
      <w:spacing w:after="80" w:before="0"/>
    </w:pPr>
    <w:r>
      <w:t xml:space="preserve"/>
    </w:r>
  </w:p>
  <w:p>
    <w:pPr>
      <w:tabs>
        <w:tab w:val="center" w:pos="4819"/>
        <w:tab w:val="right" w:pos="9638"/>
      </w:tabs>
      <w:spacing w:after="0" w:before="40"/>
    </w:pPr>
    <w:r>
      <w:rPr>
        <w:rFonts w:ascii="Arial" w:cs="Arial" w:eastAsia="Arial" w:hAnsi="Arial"/>
        <w:color w:val="666666"/>
        <w:sz w:val="16"/>
        <w:szCs w:val="16"/>
      </w:rPr>
      <w:t xml:space="preserve">Resolute Compliance Advisory LLP  ·  RCA-P1-002  ·  v1.0</w:t>
    </w:r>
    <w:r>
      <w:rPr>
        <w:rFonts w:ascii="Arial" w:cs="Arial" w:eastAsia="Arial" w:hAnsi="Arial"/>
        <w:sz w:val="16"/>
        <w:szCs w:val="16"/>
      </w:rPr>
      <w:t xml:space="preserve">	</w:t>
    </w:r>
    <w:r>
      <w:rPr>
        <w:rFonts w:ascii="Arial" w:cs="Arial" w:eastAsia="Arial" w:hAnsi="Arial"/>
        <w:b/>
        <w:bCs/>
        <w:color w:val="1B2A4A"/>
        <w:sz w:val="16"/>
        <w:szCs w:val="16"/>
      </w:rPr>
      <w:t xml:space="preserve">CONFIDENTIAL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left w:val="none"/>
        <w:bottom w:val="none"/>
        <w:right w:val="none"/>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B2A4A" w:val="clear"/>
          <w:tcMar>
            <w:top w:type="dxa" w:w="100"/>
            <w:left w:type="dxa" w:w="160"/>
            <w:bottom w:type="dxa" w:w="100"/>
            <w:right w:type="dxa" w:w="80"/>
          </w:tcMar>
          <w:vAlign w:val="center"/>
        </w:tcPr>
        <w:p>
          <w:r>
            <w:rPr>
              <w:rFonts w:ascii="Arial" w:cs="Arial" w:eastAsia="Arial" w:hAnsi="Arial"/>
              <w:b/>
              <w:bCs/>
              <w:color w:val="C8A951"/>
              <w:sz w:val="26"/>
              <w:szCs w:val="26"/>
            </w:rPr>
            <w:t xml:space="preserve">RESOLUTE</w:t>
          </w:r>
        </w:p>
        <w:p>
          <w:r>
            <w:rPr>
              <w:rFonts w:ascii="Arial" w:cs="Arial" w:eastAsia="Arial" w:hAnsi="Arial"/>
              <w:b/>
              <w:bCs/>
              <w:color w:val="FFFFFF"/>
              <w:sz w:val="18"/>
              <w:szCs w:val="18"/>
            </w:rPr>
            <w:t xml:space="preserve">COMPLIANCE ADVISORY  LLP</w:t>
          </w:r>
        </w:p>
      </w:tc>
      <w:tc>
        <w:tcPr>
          <w:tcW w:type="dxa" w:w="2800"/>
          <w:tcBorders>
            <w:top w:val="none" w:color="FFFFFF" w:sz="0"/>
            <w:left w:val="none" w:color="FFFFFF" w:sz="0"/>
            <w:bottom w:val="none" w:color="FFFFFF" w:sz="0"/>
            <w:right w:val="none" w:color="FFFFFF" w:sz="0"/>
          </w:tcBorders>
          <w:shd w:fill="C8A951" w:val="clear"/>
          <w:tcMar>
            <w:top w:type="dxa" w:w="100"/>
            <w:left w:type="dxa" w:w="120"/>
            <w:bottom w:type="dxa" w:w="100"/>
            <w:right w:type="dxa" w:w="120"/>
          </w:tcMar>
          <w:vAlign w:val="center"/>
        </w:tcPr>
        <w:p>
          <w:pPr>
            <w:jc w:val="center"/>
          </w:pPr>
          <w:r>
            <w:rPr>
              <w:rFonts w:ascii="Arial" w:cs="Arial" w:eastAsia="Arial" w:hAnsi="Arial"/>
              <w:color w:val="1B2A4A"/>
              <w:sz w:val="16"/>
              <w:szCs w:val="16"/>
            </w:rPr>
            <w:t xml:space="preserve">Governance · Risk · Compliance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60" w:before="180"/>
      <w:outlineLvl w:val="2"/>
    </w:pPr>
    <w:rPr>
      <w:rFonts w:ascii="Arial" w:cs="Arial" w:eastAsia="Arial" w:hAnsi="Arial"/>
      <w:b/>
      <w:bCs/>
      <w:color w:val="C8A9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2026-06-20T07:27:50.948Z</dcterms:created>
  <dcterms:modified xsi:type="dcterms:W3CDTF">2026-06-20T07:27:50.961Z</dcterms:modified>
</cp:coreProperties>
</file>

<file path=docProps/custom.xml><?xml version="1.0" encoding="utf-8"?>
<Properties xmlns="http://schemas.openxmlformats.org/officeDocument/2006/custom-properties" xmlns:vt="http://schemas.openxmlformats.org/officeDocument/2006/docPropsVTypes"/>
</file>