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B2A4A" w:val="clear"/>
            <w:tcMar>
              <w:top w:type="dxa" w:w="320"/>
              <w:left w:type="dxa" w:w="300"/>
              <w:bottom w:type="dxa" w:w="320"/>
              <w:right w:type="dxa" w:w="300"/>
            </w:tcMar>
          </w:tcPr>
          <w:p>
            <w:pPr>
              <w:spacing w:after="60"/>
            </w:pPr>
            <w:r>
              <w:rPr>
                <w:rFonts w:ascii="Arial" w:cs="Arial" w:eastAsia="Arial" w:hAnsi="Arial"/>
                <w:b/>
                <w:bCs/>
                <w:color w:val="FFFFFF"/>
                <w:sz w:val="36"/>
                <w:szCs w:val="36"/>
              </w:rPr>
              <w:t xml:space="preserve">RESOLUTE COMPLIANCE ADVISORY LLP</w:t>
            </w:r>
          </w:p>
          <w:p>
            <w:pPr>
              <w:spacing w:after="0"/>
            </w:pPr>
            <w:r>
              <w:rPr>
                <w:rFonts w:ascii="Arial" w:cs="Arial" w:eastAsia="Arial" w:hAnsi="Arial"/>
                <w:i/>
                <w:iCs/>
                <w:color w:val="C8A951"/>
                <w:sz w:val="22"/>
                <w:szCs w:val="22"/>
              </w:rPr>
              <w:t xml:space="preserve">Governance · Risk · Compliance</w:t>
            </w:r>
          </w:p>
        </w:tc>
      </w:tr>
    </w:tbl>
    <w:p>
      <w:pPr>
        <w:spacing w:after="200"/>
      </w:pPr>
      <w:r>
        <w:rPr>
          <w:rFonts w:ascii="Arial" w:cs="Arial" w:eastAsia="Arial" w:hAnsi="Arial"/>
          <w:color w:val="1A1A1A"/>
          <w:sz w:val="22"/>
          <w:szCs w:val="22"/>
        </w:rPr>
        <w:t xml:space="preserve"/>
      </w:r>
    </w:p>
    <w:p>
      <w:pPr>
        <w:spacing w:after="40"/>
        <w:jc w:val="center"/>
      </w:pPr>
      <w:r>
        <w:rPr>
          <w:rFonts w:ascii="Arial" w:cs="Arial" w:eastAsia="Arial" w:hAnsi="Arial"/>
          <w:b/>
          <w:bCs/>
          <w:color w:val="1B2A4A"/>
          <w:sz w:val="32"/>
          <w:szCs w:val="32"/>
        </w:rPr>
        <w:t xml:space="preserve">SAUDI PERSONAL DATA PROTECTION LAW (PDPL)</w:t>
      </w:r>
    </w:p>
    <w:p>
      <w:pPr>
        <w:spacing w:after="40"/>
        <w:jc w:val="center"/>
      </w:pPr>
      <w:r>
        <w:rPr>
          <w:rFonts w:ascii="Arial" w:cs="Arial" w:eastAsia="Arial" w:hAnsi="Arial"/>
          <w:b/>
          <w:bCs/>
          <w:color w:val="C8A951"/>
          <w:sz w:val="28"/>
          <w:szCs w:val="28"/>
        </w:rPr>
        <w:t xml:space="preserve">COMPLIANCE AUDIT REPORT</w:t>
      </w:r>
    </w:p>
    <w:p>
      <w:pPr>
        <w:pBdr>
          <w:bottom w:val="single" w:color="C8A951" w:sz="8"/>
        </w:pBdr>
        <w:spacing w:after="280"/>
        <w:jc w:val="center"/>
      </w:pPr>
    </w:p>
    <w:p>
      <w:pPr>
        <w:spacing w:after="200"/>
      </w:pPr>
      <w:r>
        <w:rPr>
          <w:rFonts w:ascii="Arial" w:cs="Arial" w:eastAsia="Arial" w:hAnsi="Arial"/>
          <w:color w:val="1A1A1A"/>
          <w:sz w:val="22"/>
          <w:szCs w:val="22"/>
        </w:rPr>
        <w:t xml:space="preserve"/>
      </w:r>
    </w:p>
    <w:tbl>
      <w:tblPr>
        <w:tblW w:type="dxa" w:w="9746"/>
        <w:tblBorders>
          <w:top w:val="none" w:color="FFFFFF" w:sz="0"/>
          <w:left w:val="single" w:color="C8A951" w:sz="2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C8A951" w:sz="20"/>
              <w:bottom w:val="none" w:color="FFFFFF" w:sz="0"/>
              <w:right w:val="none" w:color="FFFFFF" w:sz="0"/>
            </w:tcBorders>
            <w:shd w:fill="EEF1F7" w:val="clear"/>
            <w:tcMar>
              <w:top w:type="dxa" w:w="200"/>
              <w:left w:type="dxa" w:w="300"/>
              <w:bottom w:type="dxa" w:w="200"/>
              <w:right w:type="dxa" w:w="300"/>
            </w:tcMar>
          </w:tcPr>
          <w:p>
            <w:pPr>
              <w:spacing w:after="60"/>
            </w:pPr>
            <w:r>
              <w:rPr>
                <w:rFonts w:ascii="Arial" w:cs="Arial" w:eastAsia="Arial" w:hAnsi="Arial"/>
                <w:i/>
                <w:iCs/>
                <w:color w:val="666666"/>
                <w:sz w:val="18"/>
                <w:szCs w:val="18"/>
              </w:rPr>
              <w:t xml:space="preserve">Prepared for</w:t>
            </w:r>
          </w:p>
          <w:p>
            <w:pPr>
              <w:spacing w:after="40"/>
            </w:pPr>
            <w:r>
              <w:rPr>
                <w:rFonts w:ascii="Arial" w:cs="Arial" w:eastAsia="Arial" w:hAnsi="Arial"/>
                <w:b/>
                <w:bCs/>
                <w:color w:val="1B2A4A"/>
                <w:sz w:val="30"/>
                <w:szCs w:val="30"/>
              </w:rPr>
              <w:t xml:space="preserve">Rawabi Health Services Co.</w:t>
            </w:r>
          </w:p>
          <w:p>
            <w:pPr>
              <w:spacing w:after="40"/>
            </w:pPr>
            <w:r>
              <w:rPr>
                <w:rFonts w:ascii="Arial" w:hAnsi="Arial"/>
                <w:sz w:val="24"/>
                <w:szCs w:val="24"/>
                <w:color w:val="666666"/>
              </w:rPr>
              <w:t xml:space="preserve">شركة روابي للخدمات الصحية</w:t>
            </w:r>
          </w:p>
          <w:p>
            <w:pPr>
              <w:spacing w:after="40"/>
            </w:pPr>
            <w:r>
              <w:rPr>
                <w:rFonts w:ascii="Arial" w:cs="Arial" w:eastAsia="Arial" w:hAnsi="Arial"/>
                <w:color w:val="666666"/>
                <w:sz w:val="22"/>
                <w:szCs w:val="22"/>
              </w:rPr>
              <w:t xml:space="preserve">Healthcare Services  ·  Jeddah, Saudi Arabia</w:t>
            </w:r>
          </w:p>
          <w:p>
            <w:pPr>
              <w:spacing w:after="0"/>
            </w:pPr>
            <w:r>
              <w:rPr>
                <w:rFonts w:ascii="Arial" w:cs="Arial" w:eastAsia="Arial" w:hAnsi="Arial"/>
                <w:color w:val="666666"/>
                <w:sz w:val="22"/>
                <w:szCs w:val="22"/>
              </w:rPr>
              <w:t xml:space="preserve">Audit Period:  10 November 2024 – 31 January 2025</w:t>
            </w:r>
          </w:p>
        </w:tc>
      </w:tr>
    </w:tbl>
    <w:p>
      <w:pPr>
        <w:spacing w:after="300"/>
      </w:pPr>
      <w:r>
        <w:rPr>
          <w:rFonts w:ascii="Arial" w:cs="Arial" w:eastAsia="Arial" w:hAnsi="Arial"/>
          <w:color w:val="1A1A1A"/>
          <w:sz w:val="22"/>
          <w:szCs w:val="22"/>
        </w:rPr>
        <w:t xml:space="preserv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48"/>
        <w:gridCol w:w="3249"/>
        <w:gridCol w:w="3249"/>
      </w:tblGrid>
      <w:tr>
        <w:tc>
          <w:tcPr>
            <w:tcW w:type="dxa" w:w="3248"/>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40"/>
            </w:pPr>
            <w:r>
              <w:rPr>
                <w:rFonts w:ascii="Arial" w:cs="Arial" w:eastAsia="Arial" w:hAnsi="Arial"/>
                <w:i/>
                <w:iCs/>
                <w:color w:val="666666"/>
                <w:sz w:val="18"/>
                <w:szCs w:val="18"/>
              </w:rPr>
              <w:t xml:space="preserve">Prepared by</w:t>
            </w:r>
          </w:p>
          <w:p>
            <w:pPr>
              <w:spacing w:after="20"/>
            </w:pPr>
            <w:r>
              <w:rPr>
                <w:rFonts w:ascii="Arial" w:cs="Arial" w:eastAsia="Arial" w:hAnsi="Arial"/>
                <w:b/>
                <w:bCs/>
                <w:color w:val="1B2A4A"/>
                <w:sz w:val="22"/>
                <w:szCs w:val="22"/>
              </w:rPr>
              <w:t xml:space="preserve">kay Shahbaaz</w:t>
            </w:r>
          </w:p>
          <w:p>
            <w:pPr>
              <w:spacing w:after="0"/>
            </w:pPr>
            <w:r>
              <w:rPr>
                <w:rFonts w:ascii="Arial" w:cs="Arial" w:eastAsia="Arial" w:hAnsi="Arial"/>
                <w:color w:val="666666"/>
                <w:sz w:val="20"/>
                <w:szCs w:val="20"/>
              </w:rPr>
              <w:t xml:space="preserve">GRC Auditor</w:t>
            </w:r>
          </w:p>
        </w:tc>
        <w:tc>
          <w:tcPr>
            <w:tcW w:type="dxa" w:w="3249"/>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40"/>
            </w:pPr>
            <w:r>
              <w:rPr>
                <w:rFonts w:ascii="Arial" w:cs="Arial" w:eastAsia="Arial" w:hAnsi="Arial"/>
                <w:i/>
                <w:iCs/>
                <w:color w:val="666666"/>
                <w:sz w:val="18"/>
                <w:szCs w:val="18"/>
              </w:rPr>
              <w:t xml:space="preserve">Date</w:t>
            </w:r>
          </w:p>
          <w:p>
            <w:pPr>
              <w:spacing w:after="0"/>
            </w:pPr>
            <w:r>
              <w:rPr>
                <w:rFonts w:ascii="Arial" w:cs="Arial" w:eastAsia="Arial" w:hAnsi="Arial"/>
                <w:b/>
                <w:bCs/>
                <w:color w:val="1B2A4A"/>
                <w:sz w:val="22"/>
                <w:szCs w:val="22"/>
              </w:rPr>
              <w:t xml:space="preserve">31 January 2025</w:t>
            </w:r>
          </w:p>
        </w:tc>
        <w:tc>
          <w:tcPr>
            <w:tcW w:type="dxa" w:w="3249"/>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40"/>
            </w:pPr>
            <w:r>
              <w:rPr>
                <w:rFonts w:ascii="Arial" w:cs="Arial" w:eastAsia="Arial" w:hAnsi="Arial"/>
                <w:i/>
                <w:iCs/>
                <w:color w:val="666666"/>
                <w:sz w:val="18"/>
                <w:szCs w:val="18"/>
              </w:rPr>
              <w:t xml:space="preserve">Document Ref</w:t>
            </w:r>
          </w:p>
          <w:p>
            <w:pPr>
              <w:spacing w:after="0"/>
            </w:pPr>
            <w:r>
              <w:rPr>
                <w:rFonts w:ascii="Arial" w:cs="Arial" w:eastAsia="Arial" w:hAnsi="Arial"/>
                <w:b/>
                <w:bCs/>
                <w:color w:val="1B2A4A"/>
                <w:sz w:val="22"/>
                <w:szCs w:val="22"/>
              </w:rPr>
              <w:t xml:space="preserve">RCA-P4-004</w:t>
            </w:r>
          </w:p>
        </w:tc>
      </w:tr>
    </w:tbl>
    <w:p>
      <w:pPr>
        <w:spacing w:after="30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B2A4A" w:val="clear"/>
            <w:tcMar>
              <w:top w:type="dxa" w:w="160"/>
              <w:left w:type="dxa" w:w="200"/>
              <w:bottom w:type="dxa" w:w="160"/>
              <w:right w:type="dxa" w:w="200"/>
            </w:tcMar>
          </w:tcPr>
          <w:p>
            <w:pPr>
              <w:spacing w:after="80"/>
              <w:jc w:val="center"/>
            </w:pPr>
            <w:r>
              <w:rPr>
                <w:rFonts w:ascii="Arial" w:cs="Arial" w:eastAsia="Arial" w:hAnsi="Arial"/>
                <w:b/>
                <w:bCs/>
                <w:color w:val="C8A951"/>
                <w:sz w:val="18"/>
                <w:szCs w:val="18"/>
              </w:rPr>
              <w:t xml:space="preserve">CONFIDENTIALITY NOTICE</w:t>
            </w:r>
          </w:p>
          <w:p>
            <w:pPr>
              <w:spacing w:after="0"/>
              <w:jc w:val="center"/>
            </w:pPr>
            <w:r>
              <w:rPr>
                <w:rFonts w:ascii="Arial" w:cs="Arial" w:eastAsia="Arial" w:hAnsi="Arial"/>
                <w:i/>
                <w:iCs/>
                <w:color w:val="EEF1F7"/>
                <w:sz w:val="16"/>
                <w:szCs w:val="16"/>
              </w:rPr>
              <w:t xml:space="preserve">This document is prepared exclusively for the named client and contains confidential and proprietary information belonging to Resolute Compliance Advisory LLP. It may not be disclosed, reproduced, or distributed to any third party without the prior written consent of Resolute Compliance Advisory LLP. Unauthorised use or disclosure is strictly prohibited.</w:t>
            </w:r>
          </w:p>
        </w:tc>
      </w:tr>
    </w:tbl>
    <w:p>
      <w:pPr>
        <w:spacing w:after="0"/>
      </w:pPr>
      <w:r>
        <w:br w:type="page"/>
      </w:r>
    </w:p>
    <w:p>
      <w:pPr>
        <w:shd w:fill="1B2A4A" w:val="clear"/>
        <w:spacing w:after="0" w:before="240"/>
        <w:ind w:left="120" w:right="120"/>
      </w:pPr>
      <w:r>
        <w:rPr>
          <w:rFonts w:ascii="Arial" w:cs="Arial" w:eastAsia="Arial" w:hAnsi="Arial"/>
          <w:b/>
          <w:bCs/>
          <w:color w:val="FFFFFF"/>
          <w:sz w:val="26"/>
          <w:szCs w:val="26"/>
        </w:rPr>
        <w:t xml:space="preserve">Document Control</w:t>
      </w:r>
    </w:p>
    <w:p>
      <w:pPr>
        <w:spacing w:after="8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Document Title</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Saudi PDPL Compliance Audit Report</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Document Ref</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RCA-P4-004</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Client</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Rawabi Health Services Co.</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Framework</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Saudi Personal Data Protection Law (PDPL) — Royal Decree M/19, 1443H</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Enforcement</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Full enforcement since September 2023  |  Oversight: SDAIA</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Prepared by</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kay Shahbaaz  |  GRC Auditor</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Reviewed by</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Resolute Compliance Advisory LLP</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Audit Period</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10 November 2024 – 31 January 2025</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Report Date</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31 January 2025</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Version</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v1.0</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Classification</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CONFIDENTIAL</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Status</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Final</w:t>
            </w:r>
          </w:p>
        </w:tc>
      </w:tr>
    </w:tbl>
    <w:p>
      <w:pPr>
        <w:spacing w:after="160"/>
      </w:pPr>
      <w:r>
        <w:rPr>
          <w:rFonts w:ascii="Arial" w:cs="Arial" w:eastAsia="Arial" w:hAnsi="Arial"/>
          <w:color w:val="1A1A1A"/>
          <w:sz w:val="22"/>
          <w:szCs w:val="22"/>
        </w:rPr>
        <w:t xml:space="preserve"/>
      </w:r>
    </w:p>
    <w:p>
      <w:pPr>
        <w:shd w:fill="1B2A4A" w:val="clear"/>
        <w:spacing w:after="0" w:before="240"/>
        <w:ind w:left="120" w:right="120"/>
      </w:pPr>
      <w:r>
        <w:rPr>
          <w:rFonts w:ascii="Arial" w:cs="Arial" w:eastAsia="Arial" w:hAnsi="Arial"/>
          <w:b/>
          <w:bCs/>
          <w:color w:val="FFFFFF"/>
          <w:sz w:val="26"/>
          <w:szCs w:val="26"/>
        </w:rPr>
        <w:t xml:space="preserve">1.   Executive Summary</w:t>
      </w:r>
    </w:p>
    <w:p>
      <w:pPr>
        <w:spacing w:after="8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This report presents the findings of a Saudi Personal Data Protection Law (PDPL) compliance audit of Rawabi Health Services Co., conducted by Resolute Compliance Advisory LLP during the period 10 November 2024 to 31 January 2025. The PDPL, issued under Royal Decree M/19 dated 09/02/1443H, has been in full enforcement since September 2023 under the oversight of the Saudi Data and Artificial Intelligence Authority (SDAIA).</w:t>
      </w:r>
    </w:p>
    <w:p>
      <w:pPr>
        <w:spacing w:after="6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Rawabi Health Services is a private healthcare provider operating outpatient clinics and diagnostic centres in Jeddah and Medina. The organisation processes sensitive personal health data at scale — including patient clinical records, diagnostic imaging, and laboratory results — across approximately 1,800 patient visits per month. Health data is explicitly classified as sensitive personal data under PDPL Article 23, placing Rawabi in the highest-risk processing category under the law and subjecting the organisation to heightened consent, security, and notification obligations.</w:t>
      </w:r>
    </w:p>
    <w:p>
      <w:pPr>
        <w:spacing w:after="80"/>
      </w:pPr>
      <w:r>
        <w:rPr>
          <w:rFonts w:ascii="Arial" w:cs="Arial" w:eastAsia="Arial" w:hAnsi="Arial"/>
          <w:color w:val="1A1A1A"/>
          <w:sz w:val="22"/>
          <w:szCs w:val="22"/>
        </w:rPr>
        <w:t xml:space="preserve"/>
      </w:r>
    </w:p>
    <w:p>
      <w:pPr>
        <w:pBdr>
          <w:bottom w:val="single" w:color="C8A951" w:sz="4"/>
        </w:pBdr>
        <w:spacing w:after="80" w:before="200"/>
      </w:pPr>
      <w:r>
        <w:rPr>
          <w:rFonts w:ascii="Arial" w:cs="Arial" w:eastAsia="Arial" w:hAnsi="Arial"/>
          <w:b/>
          <w:bCs/>
          <w:color w:val="1B2A4A"/>
          <w:sz w:val="24"/>
          <w:szCs w:val="24"/>
        </w:rPr>
        <w:t xml:space="preserve">1.1   Compliance Status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Total PDPL Obligations Reviewed</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10</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Fully Met</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2  (20%)</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Partially Met</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3  (30%)</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Gap — Not Met</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5  (50%)</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Overall Compliance Posture</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Materially non-compliant. Critical data protection obligations unmet. Immediate remediation required.</w:t>
            </w:r>
          </w:p>
        </w:tc>
      </w:tr>
    </w:tbl>
    <w:p>
      <w:pPr>
        <w:spacing w:after="12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The audit identified five formal findings: two Critical, two High, and one Medium. The most significant findings are the absence of lawful basis documentation and consent mechanisms for health data processing (P-001), and the complete absence of Data Processing Agreements with Bupa Arabia and Nphies (P-002) — two third parties to whom patient health data is actively transferred. These gaps expose Rawabi to regulatory enforcement action by SDAIA and, in the event of a data breach, to reputational and legal consequences that would be difficult to mitigate in the absence of a documented compliance programme.</w:t>
      </w:r>
    </w:p>
    <w:p>
      <w:pPr>
        <w:spacing w:after="80"/>
      </w:pPr>
      <w:r>
        <w:rPr>
          <w:rFonts w:ascii="Arial" w:cs="Arial" w:eastAsia="Arial" w:hAnsi="Arial"/>
          <w:color w:val="1A1A1A"/>
          <w:sz w:val="22"/>
          <w:szCs w:val="22"/>
        </w:rPr>
        <w:t xml:space="preserve"/>
      </w:r>
    </w:p>
    <w:p>
      <w:pPr>
        <w:pBdr>
          <w:bottom w:val="single" w:color="C8A951" w:sz="4"/>
        </w:pBdr>
        <w:spacing w:after="80" w:before="200"/>
      </w:pPr>
      <w:r>
        <w:rPr>
          <w:rFonts w:ascii="Arial" w:cs="Arial" w:eastAsia="Arial" w:hAnsi="Arial"/>
          <w:b/>
          <w:bCs/>
          <w:color w:val="1B2A4A"/>
          <w:sz w:val="24"/>
          <w:szCs w:val="24"/>
        </w:rPr>
        <w:t xml:space="preserve">1.2   Findings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4946"/>
        <w:gridCol w:w="2000"/>
        <w:gridCol w:w="140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Finding ID</w:t>
            </w:r>
          </w:p>
        </w:tc>
        <w:tc>
          <w:tcPr>
            <w:tcW w:type="dxa" w:w="494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Finding Title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PDPL Articles</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Severity</w:t>
            </w:r>
          </w:p>
        </w:tc>
      </w:tr>
      <w:tr>
        <w:tc>
          <w:tcPr>
            <w:tcW w:type="dxa" w:w="1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P-001</w:t>
            </w:r>
          </w:p>
        </w:tc>
        <w:tc>
          <w:tcPr>
            <w:tcW w:type="dxa" w:w="49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No lawful basis documented; consent mechanism absent for health data</w:t>
            </w:r>
          </w:p>
        </w:tc>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Art. 5, 6, 23</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0"/>
              <w:jc w:val="center"/>
            </w:pPr>
            <w:r>
              <w:rPr>
                <w:rFonts w:ascii="Arial" w:cs="Arial" w:eastAsia="Arial" w:hAnsi="Arial"/>
                <w:b/>
                <w:bCs/>
                <w:color w:val="C0392B"/>
                <w:sz w:val="22"/>
                <w:szCs w:val="22"/>
              </w:rPr>
              <w:t xml:space="preserve">CRITICAL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P-002</w:t>
            </w:r>
          </w:p>
        </w:tc>
        <w:tc>
          <w:tcPr>
            <w:tcW w:type="dxa" w:w="4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No Data Processing Agreements — Bupa Arabia and Nphies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Processor Oblig.</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0"/>
              <w:jc w:val="center"/>
            </w:pPr>
            <w:r>
              <w:rPr>
                <w:rFonts w:ascii="Arial" w:cs="Arial" w:eastAsia="Arial" w:hAnsi="Arial"/>
                <w:b/>
                <w:bCs/>
                <w:color w:val="C0392B"/>
                <w:sz w:val="22"/>
                <w:szCs w:val="22"/>
              </w:rPr>
              <w:t xml:space="preserve">CRITICAL</w:t>
            </w:r>
          </w:p>
        </w:tc>
      </w:tr>
      <w:tr>
        <w:tc>
          <w:tcPr>
            <w:tcW w:type="dxa" w:w="1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P-003</w:t>
            </w:r>
          </w:p>
        </w:tc>
        <w:tc>
          <w:tcPr>
            <w:tcW w:type="dxa" w:w="49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No breach notification procedure — 72-hour SDAIA obligation unmet</w:t>
            </w:r>
          </w:p>
        </w:tc>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Art. 20</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0"/>
              <w:jc w:val="center"/>
            </w:pPr>
            <w:r>
              <w:rPr>
                <w:rFonts w:ascii="Arial" w:cs="Arial" w:eastAsia="Arial" w:hAnsi="Arial"/>
                <w:b/>
                <w:bCs/>
                <w:color w:val="E67E22"/>
                <w:sz w:val="22"/>
                <w:szCs w:val="22"/>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P-004</w:t>
            </w:r>
          </w:p>
        </w:tc>
        <w:tc>
          <w:tcPr>
            <w:tcW w:type="dxa" w:w="4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No data subject rights mechanism — access, correction, deletion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Art. 4, 9</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0"/>
              <w:jc w:val="center"/>
            </w:pPr>
            <w:r>
              <w:rPr>
                <w:rFonts w:ascii="Arial" w:cs="Arial" w:eastAsia="Arial" w:hAnsi="Arial"/>
                <w:b/>
                <w:bCs/>
                <w:color w:val="E67E22"/>
                <w:sz w:val="22"/>
                <w:szCs w:val="22"/>
              </w:rPr>
              <w:t xml:space="preserve">HIGH</w:t>
            </w:r>
          </w:p>
        </w:tc>
      </w:tr>
      <w:tr>
        <w:tc>
          <w:tcPr>
            <w:tcW w:type="dxa" w:w="1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P-005</w:t>
            </w:r>
          </w:p>
        </w:tc>
        <w:tc>
          <w:tcPr>
            <w:tcW w:type="dxa" w:w="49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Privacy notice non-compliant — incomplete mandatory disclosures</w:t>
            </w:r>
          </w:p>
        </w:tc>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Art. 11</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0"/>
              <w:jc w:val="center"/>
            </w:pPr>
            <w:r>
              <w:rPr>
                <w:rFonts w:ascii="Arial" w:cs="Arial" w:eastAsia="Arial" w:hAnsi="Arial"/>
                <w:b/>
                <w:bCs/>
                <w:color w:val="2980B9"/>
                <w:sz w:val="22"/>
                <w:szCs w:val="22"/>
              </w:rPr>
              <w:t xml:space="preserve">MEDIUM</w:t>
            </w:r>
          </w:p>
        </w:tc>
      </w:tr>
    </w:tbl>
    <w:p>
      <w:pPr>
        <w:spacing w:after="160"/>
      </w:pPr>
      <w:r>
        <w:rPr>
          <w:rFonts w:ascii="Arial" w:cs="Arial" w:eastAsia="Arial" w:hAnsi="Arial"/>
          <w:color w:val="1A1A1A"/>
          <w:sz w:val="22"/>
          <w:szCs w:val="22"/>
        </w:rPr>
        <w:t xml:space="preserve"/>
      </w:r>
    </w:p>
    <w:p>
      <w:pPr>
        <w:shd w:fill="1B2A4A" w:val="clear"/>
        <w:spacing w:after="0" w:before="240"/>
        <w:ind w:left="120" w:right="120"/>
      </w:pPr>
      <w:r>
        <w:rPr>
          <w:rFonts w:ascii="Arial" w:cs="Arial" w:eastAsia="Arial" w:hAnsi="Arial"/>
          <w:b/>
          <w:bCs/>
          <w:color w:val="FFFFFF"/>
          <w:sz w:val="26"/>
          <w:szCs w:val="26"/>
        </w:rPr>
        <w:t xml:space="preserve">2.   Regulatory Framework</w:t>
      </w:r>
    </w:p>
    <w:p>
      <w:pPr>
        <w:spacing w:after="80"/>
      </w:pPr>
      <w:r>
        <w:rPr>
          <w:rFonts w:ascii="Arial" w:cs="Arial" w:eastAsia="Arial" w:hAnsi="Arial"/>
          <w:color w:val="1A1A1A"/>
          <w:sz w:val="22"/>
          <w:szCs w:val="22"/>
        </w:rPr>
        <w:t xml:space="preserve"/>
      </w:r>
    </w:p>
    <w:p>
      <w:pPr>
        <w:pBdr>
          <w:bottom w:val="single" w:color="C8A951" w:sz="4"/>
        </w:pBdr>
        <w:spacing w:after="80" w:before="200"/>
      </w:pPr>
      <w:r>
        <w:rPr>
          <w:rFonts w:ascii="Arial" w:cs="Arial" w:eastAsia="Arial" w:hAnsi="Arial"/>
          <w:b/>
          <w:bCs/>
          <w:color w:val="1B2A4A"/>
          <w:sz w:val="24"/>
          <w:szCs w:val="24"/>
        </w:rPr>
        <w:t xml:space="preserve">2.1   Saudi Personal Data Protection Law (PDPL)</w:t>
      </w:r>
    </w:p>
    <w:p>
      <w:pPr>
        <w:spacing w:after="120"/>
      </w:pPr>
      <w:r>
        <w:rPr>
          <w:rFonts w:ascii="Arial" w:cs="Arial" w:eastAsia="Arial" w:hAnsi="Arial"/>
          <w:color w:val="1A1A1A"/>
          <w:sz w:val="22"/>
          <w:szCs w:val="22"/>
        </w:rPr>
        <w:t xml:space="preserve">The Personal Data Protection Law (PDPL) was issued by Royal Decree M/19 on 09/02/1443H and came into full enforcement on 14 September 2023. The PDPL establishes a comprehensive framework governing the collection, processing, storage, disclosure, and transfer of personal data for all entities operating within the Kingdom of Saudi Arabia or processing personal data of individuals residing in the Kingdom. Regulatory oversight and enforcement authority is vested in the Saudi Data and Artificial Intelligence Authority (SDAIA).</w:t>
      </w:r>
    </w:p>
    <w:p>
      <w:pPr>
        <w:spacing w:after="80"/>
      </w:pPr>
      <w:r>
        <w:rPr>
          <w:rFonts w:ascii="Arial" w:cs="Arial" w:eastAsia="Arial" w:hAnsi="Arial"/>
          <w:color w:val="1A1A1A"/>
          <w:sz w:val="22"/>
          <w:szCs w:val="22"/>
        </w:rPr>
        <w:t xml:space="preserve"/>
      </w:r>
    </w:p>
    <w:p>
      <w:pPr>
        <w:pBdr>
          <w:bottom w:val="single" w:color="C8A951" w:sz="4"/>
        </w:pBdr>
        <w:spacing w:after="80" w:before="200"/>
      </w:pPr>
      <w:r>
        <w:rPr>
          <w:rFonts w:ascii="Arial" w:cs="Arial" w:eastAsia="Arial" w:hAnsi="Arial"/>
          <w:b/>
          <w:bCs/>
          <w:color w:val="1B2A4A"/>
          <w:sz w:val="24"/>
          <w:szCs w:val="24"/>
        </w:rPr>
        <w:t xml:space="preserve">2.2   Key PDPL Provisions Applicable to Rawabi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346"/>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Article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Provision</w:t>
            </w:r>
          </w:p>
        </w:tc>
        <w:tc>
          <w:tcPr>
            <w:tcW w:type="dxa" w:w="534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Relevance to Rawabi</w:t>
            </w:r>
          </w:p>
        </w:tc>
      </w:tr>
      <w:tr>
        <w:tc>
          <w:tcPr>
            <w:tcW w:type="dxa" w:w="1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Article 5 &amp; 6</w:t>
            </w:r>
          </w:p>
        </w:tc>
        <w:tc>
          <w:tcPr>
            <w:tcW w:type="dxa" w:w="2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A1A1A"/>
                <w:sz w:val="22"/>
                <w:szCs w:val="22"/>
              </w:rPr>
              <w:t xml:space="preserve">Lawful Basis for Processing</w:t>
            </w:r>
          </w:p>
        </w:tc>
        <w:tc>
          <w:tcPr>
            <w:tcW w:type="dxa" w:w="53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Rawabi must establish and document a lawful basis for every processing activity. For sensitive health data (Art. 23), explicit informed consent is 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Article 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1A1A1A"/>
                <w:sz w:val="22"/>
                <w:szCs w:val="22"/>
              </w:rPr>
              <w:t xml:space="preserve">Data Subject Rights</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Patients have rights of access, correction, deletion, and data portability. Rawabi must have mechanisms to receive and respond to such requests.</w:t>
            </w:r>
          </w:p>
        </w:tc>
      </w:tr>
      <w:tr>
        <w:tc>
          <w:tcPr>
            <w:tcW w:type="dxa" w:w="1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Article 11</w:t>
            </w:r>
          </w:p>
        </w:tc>
        <w:tc>
          <w:tcPr>
            <w:tcW w:type="dxa" w:w="2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A1A1A"/>
                <w:sz w:val="22"/>
                <w:szCs w:val="22"/>
              </w:rPr>
              <w:t xml:space="preserve">Transparency &amp; Privacy Notice</w:t>
            </w:r>
          </w:p>
        </w:tc>
        <w:tc>
          <w:tcPr>
            <w:tcW w:type="dxa" w:w="53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Rawabi must provide patients with a complete privacy notice disclosing processing purposes, data categories, third-party sharing, retention periods, and patient rights.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Article 20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1A1A1A"/>
                <w:sz w:val="22"/>
                <w:szCs w:val="22"/>
              </w:rPr>
              <w:t xml:space="preserve">Data Breach Notification</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Rawabi must notify SDAIA within 72 hours of becoming aware of a personal data breach. Affected patients must be notified where risk to their rights is high.</w:t>
            </w:r>
          </w:p>
        </w:tc>
      </w:tr>
      <w:tr>
        <w:tc>
          <w:tcPr>
            <w:tcW w:type="dxa" w:w="1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Article 23</w:t>
            </w:r>
          </w:p>
        </w:tc>
        <w:tc>
          <w:tcPr>
            <w:tcW w:type="dxa" w:w="2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A1A1A"/>
                <w:sz w:val="22"/>
                <w:szCs w:val="22"/>
              </w:rPr>
              <w:t xml:space="preserve">Sensitive Personal Data</w:t>
            </w:r>
          </w:p>
        </w:tc>
        <w:tc>
          <w:tcPr>
            <w:tcW w:type="dxa" w:w="53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Health data — clinical records, diagnostic results, and imaging — is sensitive personal data requiring explicit consent and heightened safeguards.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Article 29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1A1A1A"/>
                <w:sz w:val="22"/>
                <w:szCs w:val="22"/>
              </w:rPr>
              <w:t xml:space="preserve">Cross-Border Data Transfers</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Transfer of patient data outside KSA requires SDAIA authorisation or must meet prescribed adequacy conditions. All patient data must remain within KSA.</w:t>
            </w:r>
          </w:p>
        </w:tc>
      </w:tr>
      <w:tr>
        <w:tc>
          <w:tcPr>
            <w:tcW w:type="dxa" w:w="1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Processor Obligations</w:t>
            </w:r>
          </w:p>
        </w:tc>
        <w:tc>
          <w:tcPr>
            <w:tcW w:type="dxa" w:w="2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A1A1A"/>
                <w:sz w:val="22"/>
                <w:szCs w:val="22"/>
              </w:rPr>
              <w:t xml:space="preserve">Third-Party Data Processing</w:t>
            </w:r>
          </w:p>
        </w:tc>
        <w:tc>
          <w:tcPr>
            <w:tcW w:type="dxa" w:w="53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Where patient data is shared with or processed by a third party (Bupa Arabia, Nphies, Al Bilad Lab), a binding data processing or sharing agreement must be in place.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Article 18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1A1A1A"/>
                <w:sz w:val="22"/>
                <w:szCs w:val="22"/>
              </w:rPr>
              <w:t xml:space="preserve">Data Retention &amp; Disposal</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Patient data must not be retained beyond the period necessary for its stated purpose. Retention periods must be defined and disposal procedures implemented.</w:t>
            </w:r>
          </w:p>
        </w:tc>
      </w:tr>
    </w:tbl>
    <w:p>
      <w:pPr>
        <w:spacing w:after="120"/>
      </w:pPr>
      <w:r>
        <w:rPr>
          <w:rFonts w:ascii="Arial" w:cs="Arial" w:eastAsia="Arial" w:hAnsi="Arial"/>
          <w:color w:val="1A1A1A"/>
          <w:sz w:val="22"/>
          <w:szCs w:val="22"/>
        </w:rPr>
        <w:t xml:space="preserve"/>
      </w:r>
    </w:p>
    <w:p>
      <w:pPr>
        <w:pBdr>
          <w:bottom w:val="single" w:color="C8A951" w:sz="4"/>
        </w:pBdr>
        <w:spacing w:after="80" w:before="200"/>
      </w:pPr>
      <w:r>
        <w:rPr>
          <w:rFonts w:ascii="Arial" w:cs="Arial" w:eastAsia="Arial" w:hAnsi="Arial"/>
          <w:b/>
          <w:bCs/>
          <w:color w:val="1B2A4A"/>
          <w:sz w:val="24"/>
          <w:szCs w:val="24"/>
        </w:rPr>
        <w:t xml:space="preserve">2.3   Health Data as Sensitive Personal Data</w:t>
      </w:r>
    </w:p>
    <w:p>
      <w:pPr>
        <w:spacing w:after="120"/>
      </w:pPr>
      <w:r>
        <w:rPr>
          <w:rFonts w:ascii="Arial" w:cs="Arial" w:eastAsia="Arial" w:hAnsi="Arial"/>
          <w:color w:val="1A1A1A"/>
          <w:sz w:val="22"/>
          <w:szCs w:val="22"/>
        </w:rPr>
        <w:t xml:space="preserve">Article 23 of the PDPL classifies health data as sensitive personal data and imposes heightened obligations on organisations that process it. For Rawabi, this classification applies to all patient clinical records in Napas HIS, diagnostic imaging in Agfa PACS, laboratory results transmitted to and from Al Bilad Lab, diagnosis codes shared with Bupa Arabia for insurance eligibility verification, and clinical records submitted to the Nphies national health platform. Every patient interaction generates sensitive personal data within the meaning of the PDPL, and every data processing activity — including storage, sharing, and transfer — is subject to the heightened consent and safeguarding requirements of Article 23.</w:t>
      </w:r>
    </w:p>
    <w:p>
      <w:pPr>
        <w:spacing w:after="160"/>
      </w:pPr>
      <w:r>
        <w:rPr>
          <w:rFonts w:ascii="Arial" w:cs="Arial" w:eastAsia="Arial" w:hAnsi="Arial"/>
          <w:color w:val="1A1A1A"/>
          <w:sz w:val="22"/>
          <w:szCs w:val="22"/>
        </w:rPr>
        <w:t xml:space="preserve"/>
      </w:r>
    </w:p>
    <w:p>
      <w:pPr>
        <w:shd w:fill="1B2A4A" w:val="clear"/>
        <w:spacing w:after="0" w:before="240"/>
        <w:ind w:left="120" w:right="120"/>
      </w:pPr>
      <w:r>
        <w:rPr>
          <w:rFonts w:ascii="Arial" w:cs="Arial" w:eastAsia="Arial" w:hAnsi="Arial"/>
          <w:b/>
          <w:bCs/>
          <w:color w:val="FFFFFF"/>
          <w:sz w:val="26"/>
          <w:szCs w:val="26"/>
        </w:rPr>
        <w:t xml:space="preserve">3.   Data Processing Overview</w:t>
      </w:r>
    </w:p>
    <w:p>
      <w:pPr>
        <w:spacing w:after="8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The following table summarises the key personal data processing activities identified at Rawabi Health Services during the audit, constituting a high-level Records of Processing Activities (RoPA) view.</w:t>
      </w:r>
    </w:p>
    <w:p>
      <w:pPr>
        <w:spacing w:after="8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1600"/>
        <w:gridCol w:w="2146"/>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Processing Activity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Data Categories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System / Location</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Third Parties</w:t>
            </w:r>
          </w:p>
        </w:tc>
        <w:tc>
          <w:tcPr>
            <w:tcW w:type="dxa" w:w="214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PDPL Classification</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Patient registration &amp; clinical record management</w:t>
            </w:r>
          </w:p>
        </w:tc>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Name, DOB, ID number, contact details, medical history, diagnoses</w:t>
            </w:r>
          </w:p>
        </w:tc>
        <w:tc>
          <w:tcPr>
            <w:tcW w:type="dxa" w:w="1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Napas HIS — on-premise Jeddah DC</w:t>
            </w:r>
          </w:p>
        </w:tc>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Napas vendor (remote access)</w:t>
            </w:r>
          </w:p>
        </w:tc>
        <w:tc>
          <w:tcPr>
            <w:tcW w:type="dxa" w:w="214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after="0"/>
              <w:jc w:val="left"/>
            </w:pPr>
            <w:r>
              <w:rPr>
                <w:rFonts w:ascii="Arial" w:cs="Arial" w:eastAsia="Arial" w:hAnsi="Arial"/>
                <w:b/>
                <w:bCs/>
                <w:color w:val="C0392B"/>
                <w:sz w:val="22"/>
                <w:szCs w:val="22"/>
              </w:rPr>
              <w:t xml:space="preserve">Sensitive — Art. 23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Diagnostic imaging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Patient identifiers, radiology images, radiologist reports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Agfa PACS — on-premise Jeddah DC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None (internal)</w:t>
            </w:r>
          </w:p>
        </w:tc>
        <w:tc>
          <w:tcPr>
            <w:tcW w:type="dxa" w:w="214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spacing w:after="0"/>
              <w:jc w:val="left"/>
            </w:pPr>
            <w:r>
              <w:rPr>
                <w:rFonts w:ascii="Arial" w:cs="Arial" w:eastAsia="Arial" w:hAnsi="Arial"/>
                <w:b/>
                <w:bCs/>
                <w:color w:val="E67E22"/>
                <w:sz w:val="22"/>
                <w:szCs w:val="22"/>
              </w:rPr>
              <w:t xml:space="preserve">Sensitive — Art. 23</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Laboratory testing</w:t>
            </w:r>
          </w:p>
        </w:tc>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Patient identifiers, specimen data, lab results</w:t>
            </w:r>
          </w:p>
        </w:tc>
        <w:tc>
          <w:tcPr>
            <w:tcW w:type="dxa" w:w="1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Meditech LIS; Al Bilad Lab (external)</w:t>
            </w:r>
          </w:p>
        </w:tc>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Al Bilad Lab</w:t>
            </w:r>
          </w:p>
        </w:tc>
        <w:tc>
          <w:tcPr>
            <w:tcW w:type="dxa" w:w="214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after="0"/>
              <w:jc w:val="left"/>
            </w:pPr>
            <w:r>
              <w:rPr>
                <w:rFonts w:ascii="Arial" w:cs="Arial" w:eastAsia="Arial" w:hAnsi="Arial"/>
                <w:b/>
                <w:bCs/>
                <w:color w:val="C0392B"/>
                <w:sz w:val="22"/>
                <w:szCs w:val="22"/>
              </w:rPr>
              <w:t xml:space="preserve">Sensitive — Art. 23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Insurance eligibility verification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Patient name, ID number, diagnosis codes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Manual / Bupa Arabia portal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Bupa Arabia</w:t>
            </w:r>
          </w:p>
        </w:tc>
        <w:tc>
          <w:tcPr>
            <w:tcW w:type="dxa" w:w="214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spacing w:after="0"/>
              <w:jc w:val="left"/>
            </w:pPr>
            <w:r>
              <w:rPr>
                <w:rFonts w:ascii="Arial" w:cs="Arial" w:eastAsia="Arial" w:hAnsi="Arial"/>
                <w:b/>
                <w:bCs/>
                <w:color w:val="E67E22"/>
                <w:sz w:val="22"/>
                <w:szCs w:val="22"/>
              </w:rPr>
              <w:t xml:space="preserve">Sensitive — Art. 23</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National health claims submission</w:t>
            </w:r>
          </w:p>
        </w:tc>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Patient data, clinical records, procedure codes</w:t>
            </w:r>
          </w:p>
        </w:tc>
        <w:tc>
          <w:tcPr>
            <w:tcW w:type="dxa" w:w="1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Nphies platform (MoH)</w:t>
            </w:r>
          </w:p>
        </w:tc>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Nphies / MoH</w:t>
            </w:r>
          </w:p>
        </w:tc>
        <w:tc>
          <w:tcPr>
            <w:tcW w:type="dxa" w:w="214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after="0"/>
              <w:jc w:val="left"/>
            </w:pPr>
            <w:r>
              <w:rPr>
                <w:rFonts w:ascii="Arial" w:cs="Arial" w:eastAsia="Arial" w:hAnsi="Arial"/>
                <w:b/>
                <w:bCs/>
                <w:color w:val="C0392B"/>
                <w:sz w:val="22"/>
                <w:szCs w:val="22"/>
              </w:rPr>
              <w:t xml:space="preserve">Sensitive — Art. 23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Home healthcare coordination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Patient name, address, medical care plan, clinical notes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Microsoft Teams / SharePoint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None confirmed</w:t>
            </w:r>
          </w:p>
        </w:tc>
        <w:tc>
          <w:tcPr>
            <w:tcW w:type="dxa" w:w="214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spacing w:after="0"/>
              <w:jc w:val="left"/>
            </w:pPr>
            <w:r>
              <w:rPr>
                <w:rFonts w:ascii="Arial" w:cs="Arial" w:eastAsia="Arial" w:hAnsi="Arial"/>
                <w:b/>
                <w:bCs/>
                <w:color w:val="E67E22"/>
                <w:sz w:val="22"/>
                <w:szCs w:val="22"/>
              </w:rPr>
              <w:t xml:space="preserve">Sensitive — Art. 23</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Staff HR and payroll</w:t>
            </w:r>
          </w:p>
        </w:tc>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Employee name, ID, salary, contract details</w:t>
            </w:r>
          </w:p>
        </w:tc>
        <w:tc>
          <w:tcPr>
            <w:tcW w:type="dxa" w:w="1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SAP Business One</w:t>
            </w:r>
          </w:p>
        </w:tc>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None confirmed</w:t>
            </w:r>
          </w:p>
        </w:tc>
        <w:tc>
          <w:tcPr>
            <w:tcW w:type="dxa" w:w="214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after="0"/>
              <w:jc w:val="left"/>
            </w:pPr>
            <w:r>
              <w:rPr>
                <w:rFonts w:ascii="Arial" w:cs="Arial" w:eastAsia="Arial" w:hAnsi="Arial"/>
                <w:b/>
                <w:bCs/>
                <w:color w:val="C0392B"/>
                <w:sz w:val="22"/>
                <w:szCs w:val="22"/>
              </w:rPr>
              <w:t xml:space="preserve">Personal — Art.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Email and collaboration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All categories via Microsoft 365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Microsoft 365 (cloud)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Microsoft (processor)</w:t>
            </w:r>
          </w:p>
        </w:tc>
        <w:tc>
          <w:tcPr>
            <w:tcW w:type="dxa" w:w="214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spacing w:after="0"/>
              <w:jc w:val="left"/>
            </w:pPr>
            <w:r>
              <w:rPr>
                <w:rFonts w:ascii="Arial" w:cs="Arial" w:eastAsia="Arial" w:hAnsi="Arial"/>
                <w:b/>
                <w:bCs/>
                <w:color w:val="E67E22"/>
                <w:sz w:val="22"/>
                <w:szCs w:val="22"/>
              </w:rPr>
              <w:t xml:space="preserve">Mixed — Personal &amp; Sensitive</w:t>
            </w:r>
          </w:p>
        </w:tc>
      </w:tr>
    </w:tbl>
    <w:p>
      <w:pPr>
        <w:spacing w:after="160"/>
      </w:pPr>
      <w:r>
        <w:rPr>
          <w:rFonts w:ascii="Arial" w:cs="Arial" w:eastAsia="Arial" w:hAnsi="Arial"/>
          <w:color w:val="1A1A1A"/>
          <w:sz w:val="22"/>
          <w:szCs w:val="22"/>
        </w:rPr>
        <w:t xml:space="preserve"/>
      </w:r>
    </w:p>
    <w:p>
      <w:pPr>
        <w:shd w:fill="1B2A4A" w:val="clear"/>
        <w:spacing w:after="0" w:before="240"/>
        <w:ind w:left="120" w:right="120"/>
      </w:pPr>
      <w:r>
        <w:rPr>
          <w:rFonts w:ascii="Arial" w:cs="Arial" w:eastAsia="Arial" w:hAnsi="Arial"/>
          <w:b/>
          <w:bCs/>
          <w:color w:val="FFFFFF"/>
          <w:sz w:val="26"/>
          <w:szCs w:val="26"/>
        </w:rPr>
        <w:t xml:space="preserve">4.   Detailed Findings</w:t>
      </w:r>
    </w:p>
    <w:p>
      <w:pPr>
        <w:spacing w:after="8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Five findings were identified across the PDPL compliance review. Each finding is presented with the relevant PDPL article references, the specific observation made during fieldwork, the regulatory exposure arising from non-compliance, and the recommended corrective action.</w:t>
      </w:r>
    </w:p>
    <w:p>
      <w:pPr>
        <w:spacing w:after="12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746"/>
        <w:gridCol w:w="2000"/>
      </w:tblGrid>
      <w:tr>
        <w:tc>
          <w:tcPr>
            <w:tcW w:type="dxa" w:w="7746"/>
            <w:tcBorders>
              <w:top w:val="none" w:color="FFFFFF" w:sz="0"/>
              <w:left w:val="none" w:color="FFFFFF" w:sz="0"/>
              <w:bottom w:val="none" w:color="FFFFFF" w:sz="0"/>
              <w:right w:val="none" w:color="FFFFFF" w:sz="0"/>
            </w:tcBorders>
            <w:shd w:fill="1B2A4A" w:val="clear"/>
            <w:tcMar>
              <w:top w:type="dxa" w:w="120"/>
              <w:left w:type="dxa" w:w="180"/>
              <w:bottom w:type="dxa" w:w="120"/>
              <w:right w:type="dxa" w:w="120"/>
            </w:tcMar>
          </w:tcPr>
          <w:p>
            <w:pPr>
              <w:spacing w:after="0"/>
            </w:pPr>
            <w:r>
              <w:rPr>
                <w:rFonts w:ascii="Arial" w:cs="Arial" w:eastAsia="Arial" w:hAnsi="Arial"/>
                <w:b/>
                <w:bCs/>
                <w:color w:val="C8A951"/>
                <w:sz w:val="22"/>
                <w:szCs w:val="22"/>
              </w:rPr>
              <w:t xml:space="preserve">P-001  </w:t>
            </w:r>
            <w:r>
              <w:rPr>
                <w:rFonts w:ascii="Arial" w:cs="Arial" w:eastAsia="Arial" w:hAnsi="Arial"/>
                <w:b/>
                <w:bCs/>
                <w:color w:val="FFFFFF"/>
                <w:sz w:val="22"/>
                <w:szCs w:val="22"/>
              </w:rPr>
              <w:t xml:space="preserve">No Lawful Basis Documented — Consent Mechanism Absent for Health Data</w:t>
            </w:r>
          </w:p>
        </w:tc>
        <w:tc>
          <w:tcPr>
            <w:tcW w:type="dxa" w:w="2000"/>
            <w:tcBorders>
              <w:top w:val="none" w:color="FFFFFF" w:sz="0"/>
              <w:left w:val="none" w:color="FFFFFF" w:sz="0"/>
              <w:bottom w:val="none" w:color="FFFFFF" w:sz="0"/>
              <w:right w:val="none" w:color="FFFFFF" w:sz="0"/>
            </w:tcBorders>
            <w:shd w:fill="C0392B"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2"/>
                <w:szCs w:val="22"/>
              </w:rPr>
              <w:t xml:space="preserve">CRITICAL</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PDPL Articles</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Article 5 (Lawful Basis), Article 6 (Conditions for Processing), Article 23 (Sensitive Personal Data)</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Finding ID</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P-001</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Background</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Article 5 of the PDPL requires that personal data be processed only on a recognised lawful basis. For sensitive personal data — including health data under Article 23 — explicit informed consent of the data subject is required unless a specific exemption applies. Rawabi processes sensitive health data across all patient interactions and must demonstrate a documented lawful basis for each processing activity.</w:t>
            </w:r>
          </w:p>
        </w:tc>
      </w:tr>
      <w:tr>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Observation</w:t>
            </w:r>
          </w:p>
        </w:tc>
        <w:tc>
          <w:tcPr>
            <w:tcW w:type="dxa" w:w="774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No lawful basis has been identified or documented for any of Rawabi's health data processing activities. The Operations Manager confirmed that no formal assessment of processing bases has been conducted and that the organisation was not aware of the specific requirement to document lawful basis prior to this engagement. The patient registration forms reviewed at both the Jeddah and Medina sites collect patient name, date of birth, national ID number, contact details, and medical history without including any consent statement, privacy notice, or lawful basis disclosure. Patients are not informed of the purposes for which their data will be used, the identity of third parties to whom it will be transferred (including Bupa Arabia and Nphies), or their rights under the PDPL. No consent records are retained. The home healthcare division uses Microsoft Teams to communicate patient care plans between clinical staff with no data handling governance in place for this channel.</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Regulatory Exposure</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Processing sensitive personal health data without a documented lawful basis is a primary violation of the PDPL. SDAIA has enforcement powers including the ability to issue administrative penalties and order the cessation of data processing activities. In the context of a healthcare provider, a processing prohibition would constitute a direct threat to clinical operations. The absence of consent records means the organisation cannot demonstrate compliance to SDAIA in the event of an inspection or complaint.</w:t>
            </w:r>
          </w:p>
        </w:tc>
      </w:tr>
      <w:tr>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Recommendation</w:t>
            </w:r>
          </w:p>
        </w:tc>
        <w:tc>
          <w:tcPr>
            <w:tcW w:type="dxa" w:w="774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Map all processing activities against PDPL lawful bases (consent, contractual necessity, legal obligation, vital interests). For sensitive health data, design and implement a PDPL-compliant patient consent form covering: identity of the controller, all processing purposes, categories of data collected, third parties to whom data will be disclosed (Bupa Arabia, Nphies, Al Bilad Lab), retention periods, and patient rights. Implement a consent record management process within Napas HIS. Seek legal advice on whether any processing activities can rely on lawful bases other than consent. Target: Phase 1 (December 2024 – January 2025) for consent form design; Phase 2 (April 2025) for full implementation.</w:t>
            </w:r>
          </w:p>
        </w:tc>
      </w:tr>
    </w:tbl>
    <w:p>
      <w:pPr>
        <w:spacing w:after="16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746"/>
        <w:gridCol w:w="2000"/>
      </w:tblGrid>
      <w:tr>
        <w:tc>
          <w:tcPr>
            <w:tcW w:type="dxa" w:w="7746"/>
            <w:tcBorders>
              <w:top w:val="none" w:color="FFFFFF" w:sz="0"/>
              <w:left w:val="none" w:color="FFFFFF" w:sz="0"/>
              <w:bottom w:val="none" w:color="FFFFFF" w:sz="0"/>
              <w:right w:val="none" w:color="FFFFFF" w:sz="0"/>
            </w:tcBorders>
            <w:shd w:fill="1B2A4A" w:val="clear"/>
            <w:tcMar>
              <w:top w:type="dxa" w:w="120"/>
              <w:left w:type="dxa" w:w="180"/>
              <w:bottom w:type="dxa" w:w="120"/>
              <w:right w:type="dxa" w:w="120"/>
            </w:tcMar>
          </w:tcPr>
          <w:p>
            <w:pPr>
              <w:spacing w:after="0"/>
            </w:pPr>
            <w:r>
              <w:rPr>
                <w:rFonts w:ascii="Arial" w:cs="Arial" w:eastAsia="Arial" w:hAnsi="Arial"/>
                <w:b/>
                <w:bCs/>
                <w:color w:val="C8A951"/>
                <w:sz w:val="22"/>
                <w:szCs w:val="22"/>
              </w:rPr>
              <w:t xml:space="preserve">P-002  </w:t>
            </w:r>
            <w:r>
              <w:rPr>
                <w:rFonts w:ascii="Arial" w:cs="Arial" w:eastAsia="Arial" w:hAnsi="Arial"/>
                <w:b/>
                <w:bCs/>
                <w:color w:val="FFFFFF"/>
                <w:sz w:val="22"/>
                <w:szCs w:val="22"/>
              </w:rPr>
              <w:t xml:space="preserve">No Data Processing Agreements — Bupa Arabia (Commercial) and Nphies (Regulatory)</w:t>
            </w:r>
          </w:p>
        </w:tc>
        <w:tc>
          <w:tcPr>
            <w:tcW w:type="dxa" w:w="2000"/>
            <w:tcBorders>
              <w:top w:val="none" w:color="FFFFFF" w:sz="0"/>
              <w:left w:val="none" w:color="FFFFFF" w:sz="0"/>
              <w:bottom w:val="none" w:color="FFFFFF" w:sz="0"/>
              <w:right w:val="none" w:color="FFFFFF" w:sz="0"/>
            </w:tcBorders>
            <w:shd w:fill="C0392B"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2"/>
                <w:szCs w:val="22"/>
              </w:rPr>
              <w:t xml:space="preserve">CRITICAL</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PDPL Articles</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Processor Obligations (PDPL), Article 5 (Lawful Basis for Transfer), Article 29 (Cross-Border Restrictions)</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Finding ID</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P-002</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Background</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Where an organisation shares personal data with or engages a third party to process personal data on its behalf, the PDPL requires a binding data processing agreement or data sharing agreement to be in place. This agreement must define the purpose and scope of processing, security obligations of the processor, breach notification obligations, data retention and deletion requirements, and the right of the controller to audit the processor. Rawabi shares sensitive patient health data with Bupa Arabia (commercial insurance partner) and Nphies (MoH national health platform) — two distinct arrangements with different legal bases and risk profiles.</w:t>
            </w:r>
          </w:p>
        </w:tc>
      </w:tr>
      <w:tr>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Observation</w:t>
            </w:r>
          </w:p>
        </w:tc>
        <w:tc>
          <w:tcPr>
            <w:tcW w:type="dxa" w:w="774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No Data Processing Agreement (DPA) or data sharing agreement exists between Rawabi and Bupa Arabia. Patient identifiers and diagnosis codes are submitted to Bupa Arabia's portal for insurance eligibility verification as part of the standard patient admission process. No contract clause governing the purpose, scope, or security of this data transfer was identified in the Bupa Arabia commercial agreement reviewed during the audit. Similarly, no DPA or data governance agreement covers the submission of patient clinical records to Nphies. While Nphies operates under MoH mandate — which may provide a legal obligation basis for submission — the specific data elements submitted, security obligations on Nphies as a processor, and retention and deletion arrangements are not documented by Rawabi. The Napas vendor contract, which grants remote access to the live HIS containing all patient records, also contains no data protection clause (see RCA-P4-003 F-003). Al Bilad Lab, which receives patient specimens and returns results, operates under a laboratory referral arrangement with no data protection agreement.</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Regulatory Exposure</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The absence of DPAs with Bupa Arabia and Nphies means Rawabi is transferring sensitive personal health data to third parties without any contractual framework governing the security, use, or disposal of that data. If either party suffers a data breach involving Rawabi patient data, Rawabi has no contractual right to demand notification, no agreed breach response protocol, and no contractual basis for limiting liability. SDAIA may treat the absence of DPAs as evidence of systemic non-compliance rather than an isolated gap, given the scale of ongoing patient data transfers.</w:t>
            </w:r>
          </w:p>
        </w:tc>
      </w:tr>
      <w:tr>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Recommendation</w:t>
            </w:r>
          </w:p>
        </w:tc>
        <w:tc>
          <w:tcPr>
            <w:tcW w:type="dxa" w:w="774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Bupa Arabia (immediate): Execute a PDPL-compliant data sharing agreement specifying: categories of patient data shared; purposes limited to insurance eligibility verification; security obligations; prohibition on secondary use; breach notification obligation to Rawabi within 24 hours; data retention and deletion schedule. Nphies (immediate): Engage MoH / Nphies to obtain or execute a formal data sharing framework document confirming legal basis, data elements submitted, retention policy, and security responsibilities. Al Bilad Lab: Execute a data processing addendum to the laboratory referral agreement. Napas vendor: Execute a data protection addendum to the HIS support contract as addressed in RCA-P4-003. Target: Phase 1 for drafts; Phase 2 (April 2025) for execution.</w:t>
            </w:r>
          </w:p>
        </w:tc>
      </w:tr>
    </w:tbl>
    <w:p>
      <w:pPr>
        <w:spacing w:after="16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746"/>
        <w:gridCol w:w="2000"/>
      </w:tblGrid>
      <w:tr>
        <w:tc>
          <w:tcPr>
            <w:tcW w:type="dxa" w:w="7746"/>
            <w:tcBorders>
              <w:top w:val="none" w:color="FFFFFF" w:sz="0"/>
              <w:left w:val="none" w:color="FFFFFF" w:sz="0"/>
              <w:bottom w:val="none" w:color="FFFFFF" w:sz="0"/>
              <w:right w:val="none" w:color="FFFFFF" w:sz="0"/>
            </w:tcBorders>
            <w:shd w:fill="1B2A4A" w:val="clear"/>
            <w:tcMar>
              <w:top w:type="dxa" w:w="120"/>
              <w:left w:type="dxa" w:w="180"/>
              <w:bottom w:type="dxa" w:w="120"/>
              <w:right w:type="dxa" w:w="120"/>
            </w:tcMar>
          </w:tcPr>
          <w:p>
            <w:pPr>
              <w:spacing w:after="0"/>
            </w:pPr>
            <w:r>
              <w:rPr>
                <w:rFonts w:ascii="Arial" w:cs="Arial" w:eastAsia="Arial" w:hAnsi="Arial"/>
                <w:b/>
                <w:bCs/>
                <w:color w:val="C8A951"/>
                <w:sz w:val="22"/>
                <w:szCs w:val="22"/>
              </w:rPr>
              <w:t xml:space="preserve">P-003  </w:t>
            </w:r>
            <w:r>
              <w:rPr>
                <w:rFonts w:ascii="Arial" w:cs="Arial" w:eastAsia="Arial" w:hAnsi="Arial"/>
                <w:b/>
                <w:bCs/>
                <w:color w:val="FFFFFF"/>
                <w:sz w:val="22"/>
                <w:szCs w:val="22"/>
              </w:rPr>
              <w:t xml:space="preserve">No Breach Notification Procedure — 72-Hour SDAIA Reporting Obligation Unmet</w:t>
            </w:r>
          </w:p>
        </w:tc>
        <w:tc>
          <w:tcPr>
            <w:tcW w:type="dxa" w:w="2000"/>
            <w:tcBorders>
              <w:top w:val="none" w:color="FFFFFF" w:sz="0"/>
              <w:left w:val="none" w:color="FFFFFF" w:sz="0"/>
              <w:bottom w:val="none" w:color="FFFFFF" w:sz="0"/>
              <w:right w:val="none" w:color="FFFFFF" w:sz="0"/>
            </w:tcBorders>
            <w:shd w:fill="E67E22"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2"/>
                <w:szCs w:val="22"/>
              </w:rPr>
              <w:t xml:space="preserve">HIGH</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PDPL Articles</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Article 20 (Personal Data Breach Notification)</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Finding ID</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P-003</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Background</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Article 20 of the PDPL requires organisations to notify SDAIA within 72 hours of becoming aware of a personal data breach that could result in harm to data subjects. Where the breach poses a high risk to the rights and freedoms of individuals, affected data subjects must also be individually notified without undue delay. Given that Rawabi processes sensitive health data, virtually any breach of patient records would be treated as high-risk, triggering both the SDAIA and patient notification obligations.</w:t>
            </w:r>
          </w:p>
        </w:tc>
      </w:tr>
      <w:tr>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Observation</w:t>
            </w:r>
          </w:p>
        </w:tc>
        <w:tc>
          <w:tcPr>
            <w:tcW w:type="dxa" w:w="774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No breach notification procedure exists at Rawabi Health Services. The IT Manager confirmed that neither he nor the Operations Manager was aware of the 72-hour SDAIA notification requirement prior to this engagement. No contact information for SDAIA's breach reporting channel is documented. No breach response playbook, breach assessment template, or internal escalation path for suspected breaches has been defined. The organisation has no mechanism to identify, assess, and classify a potential breach within the 72-hour window required by Article 20. As noted in the ECC Findings Report (F-005), the organisation experienced two undocumented IT incidents in the prior 12 months — neither of which was assessed for potential data breach implications under the PDPL.</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Regulatory Exposure</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Failure to notify SDAIA within 72 hours of a personal data breach is a direct violation of Article 20 and a standalone enforcement trigger. SDAIA can impose administrative penalties for late or absent notification independently of the underlying breach. The two prior incidents that were not assessed for PDPL breach implications may have already created unaddressed notification obligations if patient data was involved.</w:t>
            </w:r>
          </w:p>
        </w:tc>
      </w:tr>
      <w:tr>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Recommendation</w:t>
            </w:r>
          </w:p>
        </w:tc>
        <w:tc>
          <w:tcPr>
            <w:tcW w:type="dxa" w:w="774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Develop a Personal Data Breach Notification Procedure as part of the broader Incident Response Plan (see ECC finding F-005). The procedure must include: definition of a personal data breach under the PDPL; internal breach detection and escalation path; breach severity assessment template; SDAIA notification template and submission channel details; patient notification template for high-risk breaches; documentation and record-keeping for all breach assessments. Retrospectively assess the two 2024 IT incidents for PDPL breach implications and document the assessment outcome. Target: Phase 2 (February – April 2025).</w:t>
            </w:r>
          </w:p>
        </w:tc>
      </w:tr>
    </w:tbl>
    <w:p>
      <w:pPr>
        <w:spacing w:after="16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746"/>
        <w:gridCol w:w="2000"/>
      </w:tblGrid>
      <w:tr>
        <w:tc>
          <w:tcPr>
            <w:tcW w:type="dxa" w:w="7746"/>
            <w:tcBorders>
              <w:top w:val="none" w:color="FFFFFF" w:sz="0"/>
              <w:left w:val="none" w:color="FFFFFF" w:sz="0"/>
              <w:bottom w:val="none" w:color="FFFFFF" w:sz="0"/>
              <w:right w:val="none" w:color="FFFFFF" w:sz="0"/>
            </w:tcBorders>
            <w:shd w:fill="1B2A4A" w:val="clear"/>
            <w:tcMar>
              <w:top w:type="dxa" w:w="120"/>
              <w:left w:type="dxa" w:w="180"/>
              <w:bottom w:type="dxa" w:w="120"/>
              <w:right w:type="dxa" w:w="120"/>
            </w:tcMar>
          </w:tcPr>
          <w:p>
            <w:pPr>
              <w:spacing w:after="0"/>
            </w:pPr>
            <w:r>
              <w:rPr>
                <w:rFonts w:ascii="Arial" w:cs="Arial" w:eastAsia="Arial" w:hAnsi="Arial"/>
                <w:b/>
                <w:bCs/>
                <w:color w:val="C8A951"/>
                <w:sz w:val="22"/>
                <w:szCs w:val="22"/>
              </w:rPr>
              <w:t xml:space="preserve">P-004  </w:t>
            </w:r>
            <w:r>
              <w:rPr>
                <w:rFonts w:ascii="Arial" w:cs="Arial" w:eastAsia="Arial" w:hAnsi="Arial"/>
                <w:b/>
                <w:bCs/>
                <w:color w:val="FFFFFF"/>
                <w:sz w:val="22"/>
                <w:szCs w:val="22"/>
              </w:rPr>
              <w:t xml:space="preserve">No Data Subject Rights Mechanism — Access, Correction, Deletion Unaddressed</w:t>
            </w:r>
          </w:p>
        </w:tc>
        <w:tc>
          <w:tcPr>
            <w:tcW w:type="dxa" w:w="2000"/>
            <w:tcBorders>
              <w:top w:val="none" w:color="FFFFFF" w:sz="0"/>
              <w:left w:val="none" w:color="FFFFFF" w:sz="0"/>
              <w:bottom w:val="none" w:color="FFFFFF" w:sz="0"/>
              <w:right w:val="none" w:color="FFFFFF" w:sz="0"/>
            </w:tcBorders>
            <w:shd w:fill="E67E22"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2"/>
                <w:szCs w:val="22"/>
              </w:rPr>
              <w:t xml:space="preserve">HIGH</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PDPL Articles</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Article 4 (Definition of Data Subject Rights), Article 9 (Right to Access, Correction, Deletion, Portability)</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Finding ID</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P-004</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Background</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Article 9 of the PDPL grants data subjects — in Rawabi's context, patients — the rights to access their personal data, request correction of inaccurate data, request deletion of data no longer required for its stated purpose, and request data portability. Organisations must establish a mechanism for receiving, processing, and responding to rights requests within defined timeframes.</w:t>
            </w:r>
          </w:p>
        </w:tc>
      </w:tr>
      <w:tr>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Observation</w:t>
            </w:r>
          </w:p>
        </w:tc>
        <w:tc>
          <w:tcPr>
            <w:tcW w:type="dxa" w:w="774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No data subject rights procedure exists at Rawabi Health Services. The IT Manager and clinic administrators at both the Jeddah and Medina sites confirmed that no formal mechanism has been established for patients to exercise their PDPL rights. Neither site has a designated point of contact for rights requests, a request intake process, or a defined response timeframe. The patient registration form does not inform patients of their PDPL rights. The IT Manager confirmed that no rights requests have ever been received or processed — which, given the absence of any notification to patients of their rights, is an expected outcome rather than an indication of low demand. Napas HIS does not have a configured workflow for generating data access extracts or deletion records in response to patient requests.</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Regulatory Exposure</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The absence of any data subject rights mechanism is a direct compliance gap under Article 9. Patients who become aware of their rights and attempt to exercise them will encounter no functional pathway for doing so. Unaddressed rights requests can be escalated to SDAIA as complaints, triggering a formal investigation. Given that Rawabi processes sensitive health data, complaints related to deletion or correction rights could be particularly sensitive — for example, patients seeking correction of clinically incorrect diagnoses.</w:t>
            </w:r>
          </w:p>
        </w:tc>
      </w:tr>
      <w:tr>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Recommendation</w:t>
            </w:r>
          </w:p>
        </w:tc>
        <w:tc>
          <w:tcPr>
            <w:tcW w:type="dxa" w:w="774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Implement a Data Subject Rights procedure covering: intake mechanism (written form, email, or in-person at reception); identity verification for requesters; defined response timeframe (recommend 30 days); Napas HIS workflow for generating patient data access extracts; process for assessing deletion requests against retention requirements (clinical records may have mandatory MoH retention periods); escalation path for complex requests. Update patient registration form and privacy notice to inform patients of their rights. Target: Phase 3 (May – July 2025).</w:t>
            </w:r>
          </w:p>
        </w:tc>
      </w:tr>
    </w:tbl>
    <w:p>
      <w:pPr>
        <w:spacing w:after="16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746"/>
        <w:gridCol w:w="2000"/>
      </w:tblGrid>
      <w:tr>
        <w:tc>
          <w:tcPr>
            <w:tcW w:type="dxa" w:w="7746"/>
            <w:tcBorders>
              <w:top w:val="none" w:color="FFFFFF" w:sz="0"/>
              <w:left w:val="none" w:color="FFFFFF" w:sz="0"/>
              <w:bottom w:val="none" w:color="FFFFFF" w:sz="0"/>
              <w:right w:val="none" w:color="FFFFFF" w:sz="0"/>
            </w:tcBorders>
            <w:shd w:fill="1B2A4A" w:val="clear"/>
            <w:tcMar>
              <w:top w:type="dxa" w:w="120"/>
              <w:left w:type="dxa" w:w="180"/>
              <w:bottom w:type="dxa" w:w="120"/>
              <w:right w:type="dxa" w:w="120"/>
            </w:tcMar>
          </w:tcPr>
          <w:p>
            <w:pPr>
              <w:spacing w:after="0"/>
            </w:pPr>
            <w:r>
              <w:rPr>
                <w:rFonts w:ascii="Arial" w:cs="Arial" w:eastAsia="Arial" w:hAnsi="Arial"/>
                <w:b/>
                <w:bCs/>
                <w:color w:val="C8A951"/>
                <w:sz w:val="22"/>
                <w:szCs w:val="22"/>
              </w:rPr>
              <w:t xml:space="preserve">P-005  </w:t>
            </w:r>
            <w:r>
              <w:rPr>
                <w:rFonts w:ascii="Arial" w:cs="Arial" w:eastAsia="Arial" w:hAnsi="Arial"/>
                <w:b/>
                <w:bCs/>
                <w:color w:val="FFFFFF"/>
                <w:sz w:val="22"/>
                <w:szCs w:val="22"/>
              </w:rPr>
              <w:t xml:space="preserve">Privacy Notice Non-Compliant — Incomplete Mandatory Disclosures</w:t>
            </w:r>
          </w:p>
        </w:tc>
        <w:tc>
          <w:tcPr>
            <w:tcW w:type="dxa" w:w="2000"/>
            <w:tcBorders>
              <w:top w:val="none" w:color="FFFFFF" w:sz="0"/>
              <w:left w:val="none" w:color="FFFFFF" w:sz="0"/>
              <w:bottom w:val="none" w:color="FFFFFF" w:sz="0"/>
              <w:right w:val="none" w:color="FFFFFF" w:sz="0"/>
            </w:tcBorders>
            <w:shd w:fill="2980B9"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2"/>
                <w:szCs w:val="22"/>
              </w:rPr>
              <w:t xml:space="preserve">MEDIUM</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PDPL Articles</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Article 11 (Transparency and Privacy Notice Requirements)</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Finding ID</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P-005</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Background</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Article 11 of the PDPL requires organisations to provide data subjects with a clear, accessible, and complete privacy notice prior to or at the point of data collection. The notice must disclose: identity and contact details of the data controller; purposes of processing; categories of personal data collected; legal basis for processing; identities or categories of third parties to whom data will be disclosed; data retention periods; and the data subject's rights and how to exercise them.</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Observation</w:t>
            </w:r>
          </w:p>
        </w:tc>
        <w:tc>
          <w:tcPr>
            <w:tcW w:type="dxa" w:w="774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The patient-facing documentation reviewed at Rawabi — the registration form used at both Jeddah and Medina sites and the organisation's website — does not contain a compliant privacy notice. The registration form collects patient name, date of birth, national ID number, address, contact details, and medical history but contains no privacy notice, consent statement, or data handling disclosure of any kind. The organisation website does not include a privacy policy or data protection notice. The IT Manager confirmed that no privacy notice has been drafted or published. The absence of a privacy notice is a direct consequence of the broader absence of PDPL programme infrastructure identified across this report.</w:t>
            </w:r>
          </w:p>
        </w:tc>
      </w:tr>
      <w:tr>
        <w:tc>
          <w:tcPr>
            <w:tcW w:type="dxa" w:w="2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Regulatory Exposure</w:t>
            </w:r>
          </w:p>
        </w:tc>
        <w:tc>
          <w:tcPr>
            <w:tcW w:type="dxa" w:w="7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Article 11 non-compliance is a straightforward regulatory gap that SDAIA may identify through routine audit, complaint investigation, or self-reporting. While classified as Medium severity in isolation, the absence of a privacy notice is materially connected to the Critical findings P-001 (lawful basis and consent) and P-002 (third-party data sharing): a compliant privacy notice is a prerequisite for valid consent and a mechanism for disclosing third-party data transfers. Remediation of P-001 will necessarily produce a privacy notice, making this finding tractable to address as part of a single workstream.</w:t>
            </w:r>
          </w:p>
        </w:tc>
      </w:tr>
      <w:tr>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Recommendation</w:t>
            </w:r>
          </w:p>
        </w:tc>
        <w:tc>
          <w:tcPr>
            <w:tcW w:type="dxa" w:w="774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Draft a PDPL-compliant patient privacy notice incorporating: controller identity and contact details; processing purposes for each data category; legal basis (explicit consent for sensitive health data); full list of third parties (Bupa Arabia, Nphies, Al Bilad Lab, Napas vendor); data retention periods for clinical records; data subject rights and how to exercise them; SDAIA as supervisory authority and how to lodge a complaint. Deploy at all patient touchpoints: printed on registration forms, displayed at reception at both sites, and published on the organisation website. Coordinate with P-001 remediation workstream. Target: Phase 2 (February – April 2025).</w:t>
            </w:r>
          </w:p>
        </w:tc>
      </w:tr>
    </w:tbl>
    <w:p>
      <w:pPr>
        <w:spacing w:after="160"/>
      </w:pPr>
      <w:r>
        <w:rPr>
          <w:rFonts w:ascii="Arial" w:cs="Arial" w:eastAsia="Arial" w:hAnsi="Arial"/>
          <w:color w:val="1A1A1A"/>
          <w:sz w:val="22"/>
          <w:szCs w:val="22"/>
        </w:rPr>
        <w:t xml:space="preserve"/>
      </w:r>
    </w:p>
    <w:p>
      <w:pPr>
        <w:shd w:fill="1B2A4A" w:val="clear"/>
        <w:spacing w:after="0" w:before="240"/>
        <w:ind w:left="120" w:right="120"/>
      </w:pPr>
      <w:r>
        <w:rPr>
          <w:rFonts w:ascii="Arial" w:cs="Arial" w:eastAsia="Arial" w:hAnsi="Arial"/>
          <w:b/>
          <w:bCs/>
          <w:color w:val="FFFFFF"/>
          <w:sz w:val="26"/>
          <w:szCs w:val="26"/>
        </w:rPr>
        <w:t xml:space="preserve">5.   PDPL Compliance Scorecard</w:t>
      </w:r>
    </w:p>
    <w:p>
      <w:pPr>
        <w:spacing w:after="8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600"/>
        <w:gridCol w:w="1600"/>
        <w:gridCol w:w="2146"/>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Obligation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PDPL Requirement</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Status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Finding Ref</w:t>
            </w:r>
          </w:p>
        </w:tc>
        <w:tc>
          <w:tcPr>
            <w:tcW w:type="dxa" w:w="214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Priority</w:t>
            </w:r>
          </w:p>
        </w:tc>
      </w:tr>
      <w:tr>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Lawful Basis</w:t>
            </w:r>
          </w:p>
        </w:tc>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Document lawful basis for all processing; explicit consent for sensitive health data</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0"/>
              <w:jc w:val="center"/>
            </w:pPr>
            <w:r>
              <w:rPr>
                <w:rFonts w:ascii="Arial" w:cs="Arial" w:eastAsia="Arial" w:hAnsi="Arial"/>
                <w:b/>
                <w:bCs/>
                <w:color w:val="C0392B"/>
                <w:sz w:val="22"/>
                <w:szCs w:val="22"/>
              </w:rPr>
              <w:t xml:space="preserve">GAP</w:t>
            </w:r>
          </w:p>
        </w:tc>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P-001</w:t>
            </w:r>
          </w:p>
        </w:tc>
        <w:tc>
          <w:tcPr>
            <w:tcW w:type="dxa" w:w="21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CRITICAL — Phase 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Consent Mechanism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Compliant consent collection at point of patient registration</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0"/>
              <w:jc w:val="center"/>
            </w:pPr>
            <w:r>
              <w:rPr>
                <w:rFonts w:ascii="Arial" w:cs="Arial" w:eastAsia="Arial" w:hAnsi="Arial"/>
                <w:b/>
                <w:bCs/>
                <w:color w:val="C0392B"/>
                <w:sz w:val="22"/>
                <w:szCs w:val="22"/>
              </w:rPr>
              <w:t xml:space="preserve">GAP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P-001</w:t>
            </w:r>
          </w:p>
        </w:tc>
        <w:tc>
          <w:tcPr>
            <w:tcW w:type="dxa" w:w="2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CRITICAL — Phase 1</w:t>
            </w:r>
          </w:p>
        </w:tc>
      </w:tr>
      <w:tr>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Privacy Notice</w:t>
            </w:r>
          </w:p>
        </w:tc>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Complete Article 11 disclosure at all patient touchpoints</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0"/>
              <w:jc w:val="center"/>
            </w:pPr>
            <w:r>
              <w:rPr>
                <w:rFonts w:ascii="Arial" w:cs="Arial" w:eastAsia="Arial" w:hAnsi="Arial"/>
                <w:b/>
                <w:bCs/>
                <w:color w:val="C0392B"/>
                <w:sz w:val="22"/>
                <w:szCs w:val="22"/>
              </w:rPr>
              <w:t xml:space="preserve">GAP</w:t>
            </w:r>
          </w:p>
        </w:tc>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P-005</w:t>
            </w:r>
          </w:p>
        </w:tc>
        <w:tc>
          <w:tcPr>
            <w:tcW w:type="dxa" w:w="21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MEDIUM — Phase 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Data Subject Rights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Mechanism for access, correction, deletion, portability requests</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0"/>
              <w:jc w:val="center"/>
            </w:pPr>
            <w:r>
              <w:rPr>
                <w:rFonts w:ascii="Arial" w:cs="Arial" w:eastAsia="Arial" w:hAnsi="Arial"/>
                <w:b/>
                <w:bCs/>
                <w:color w:val="C0392B"/>
                <w:sz w:val="22"/>
                <w:szCs w:val="22"/>
              </w:rPr>
              <w:t xml:space="preserve">GAP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P-004</w:t>
            </w:r>
          </w:p>
        </w:tc>
        <w:tc>
          <w:tcPr>
            <w:tcW w:type="dxa" w:w="2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HIGH — Phase 3</w:t>
            </w:r>
          </w:p>
        </w:tc>
      </w:tr>
      <w:tr>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Breach Notification</w:t>
            </w:r>
          </w:p>
        </w:tc>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72-hour SDAIA notification procedure; patient notification for high-risk breaches</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0"/>
              <w:jc w:val="center"/>
            </w:pPr>
            <w:r>
              <w:rPr>
                <w:rFonts w:ascii="Arial" w:cs="Arial" w:eastAsia="Arial" w:hAnsi="Arial"/>
                <w:b/>
                <w:bCs/>
                <w:color w:val="C0392B"/>
                <w:sz w:val="22"/>
                <w:szCs w:val="22"/>
              </w:rPr>
              <w:t xml:space="preserve">GAP</w:t>
            </w:r>
          </w:p>
        </w:tc>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P-003</w:t>
            </w:r>
          </w:p>
        </w:tc>
        <w:tc>
          <w:tcPr>
            <w:tcW w:type="dxa" w:w="21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HIGH — Phase 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Third-Party DPAs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Binding DPAs with Bupa Arabia, Nphies, Al Bilad Lab, Napas vendor</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0"/>
              <w:jc w:val="center"/>
            </w:pPr>
            <w:r>
              <w:rPr>
                <w:rFonts w:ascii="Arial" w:cs="Arial" w:eastAsia="Arial" w:hAnsi="Arial"/>
                <w:b/>
                <w:bCs/>
                <w:color w:val="C0392B"/>
                <w:sz w:val="22"/>
                <w:szCs w:val="22"/>
              </w:rPr>
              <w:t xml:space="preserve">GAP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P-002</w:t>
            </w:r>
          </w:p>
        </w:tc>
        <w:tc>
          <w:tcPr>
            <w:tcW w:type="dxa" w:w="2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CRITICAL — Phase 1/2</w:t>
            </w:r>
          </w:p>
        </w:tc>
      </w:tr>
      <w:tr>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Cross-Border Transfers</w:t>
            </w:r>
          </w:p>
        </w:tc>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Confirmation of KSA data residency; no unauthorised international transfers</w:t>
            </w:r>
          </w:p>
        </w:tc>
        <w:tc>
          <w:tcPr>
            <w:tcW w:type="dxa" w:w="1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0"/>
              <w:jc w:val="center"/>
            </w:pPr>
            <w:r>
              <w:rPr>
                <w:rFonts w:ascii="Arial" w:cs="Arial" w:eastAsia="Arial" w:hAnsi="Arial"/>
                <w:b/>
                <w:bCs/>
                <w:color w:val="E67E22"/>
                <w:sz w:val="22"/>
                <w:szCs w:val="22"/>
              </w:rPr>
              <w:t xml:space="preserve">PARTIAL</w:t>
            </w:r>
          </w:p>
        </w:tc>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B2A4A"/>
                <w:sz w:val="22"/>
                <w:szCs w:val="22"/>
              </w:rPr>
              <w:t xml:space="preserve">—</w:t>
            </w:r>
          </w:p>
        </w:tc>
        <w:tc>
          <w:tcPr>
            <w:tcW w:type="dxa" w:w="21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MEDIUM — Phase 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Data Retention Policy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Defined retention periods; secure disposal procedure</w:t>
            </w:r>
          </w:p>
        </w:tc>
        <w:tc>
          <w:tcPr>
            <w:tcW w:type="dxa" w:w="1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0"/>
              <w:jc w:val="center"/>
            </w:pPr>
            <w:r>
              <w:rPr>
                <w:rFonts w:ascii="Arial" w:cs="Arial" w:eastAsia="Arial" w:hAnsi="Arial"/>
                <w:b/>
                <w:bCs/>
                <w:color w:val="E67E22"/>
                <w:sz w:val="22"/>
                <w:szCs w:val="22"/>
              </w:rPr>
              <w:t xml:space="preserve">PARTIAL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B2A4A"/>
                <w:sz w:val="22"/>
                <w:szCs w:val="22"/>
              </w:rPr>
              <w:t xml:space="preserve">—</w:t>
            </w:r>
          </w:p>
        </w:tc>
        <w:tc>
          <w:tcPr>
            <w:tcW w:type="dxa" w:w="2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MEDIUM — Phase 3</w:t>
            </w:r>
          </w:p>
        </w:tc>
      </w:tr>
      <w:tr>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Data Accuracy</w:t>
            </w:r>
          </w:p>
        </w:tc>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Correction workflow in Napas HIS; audit trail of changes</w:t>
            </w:r>
          </w:p>
        </w:tc>
        <w:tc>
          <w:tcPr>
            <w:tcW w:type="dxa" w:w="1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0"/>
              <w:jc w:val="center"/>
            </w:pPr>
            <w:r>
              <w:rPr>
                <w:rFonts w:ascii="Arial" w:cs="Arial" w:eastAsia="Arial" w:hAnsi="Arial"/>
                <w:b/>
                <w:bCs/>
                <w:color w:val="E67E22"/>
                <w:sz w:val="22"/>
                <w:szCs w:val="22"/>
              </w:rPr>
              <w:t xml:space="preserve">PARTIAL</w:t>
            </w:r>
          </w:p>
        </w:tc>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B2A4A"/>
                <w:sz w:val="22"/>
                <w:szCs w:val="22"/>
              </w:rPr>
              <w:t xml:space="preserve">—</w:t>
            </w:r>
          </w:p>
        </w:tc>
        <w:tc>
          <w:tcPr>
            <w:tcW w:type="dxa" w:w="21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LOW — Phase 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Purpose Limitation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Processing limited to stated purposes; no secondary use without consent</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jc w:val="center"/>
            </w:pPr>
            <w:r>
              <w:rPr>
                <w:rFonts w:ascii="Arial" w:cs="Arial" w:eastAsia="Arial" w:hAnsi="Arial"/>
                <w:b/>
                <w:bCs/>
                <w:color w:val="1E8449"/>
                <w:sz w:val="22"/>
                <w:szCs w:val="22"/>
              </w:rPr>
              <w:t xml:space="preserve">MET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B2A4A"/>
                <w:sz w:val="22"/>
                <w:szCs w:val="22"/>
              </w:rPr>
              <w:t xml:space="preserve">—</w:t>
            </w:r>
          </w:p>
        </w:tc>
        <w:tc>
          <w:tcPr>
            <w:tcW w:type="dxa" w:w="2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Monitor</w:t>
            </w:r>
          </w:p>
        </w:tc>
      </w:tr>
      <w:tr>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Data Security</w:t>
            </w:r>
          </w:p>
        </w:tc>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Technical and organisational measures (see RCA-P4-003 for full security findings)</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jc w:val="center"/>
            </w:pPr>
            <w:r>
              <w:rPr>
                <w:rFonts w:ascii="Arial" w:cs="Arial" w:eastAsia="Arial" w:hAnsi="Arial"/>
                <w:b/>
                <w:bCs/>
                <w:color w:val="1E8449"/>
                <w:sz w:val="22"/>
                <w:szCs w:val="22"/>
              </w:rPr>
              <w:t xml:space="preserve">MET*</w:t>
            </w:r>
          </w:p>
        </w:tc>
        <w:tc>
          <w:tcPr>
            <w:tcW w:type="dxa" w:w="1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B2A4A"/>
                <w:sz w:val="22"/>
                <w:szCs w:val="22"/>
              </w:rPr>
              <w:t xml:space="preserve">—</w:t>
            </w:r>
          </w:p>
        </w:tc>
        <w:tc>
          <w:tcPr>
            <w:tcW w:type="dxa" w:w="21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See RCA-P4-003</w:t>
            </w:r>
          </w:p>
        </w:tc>
      </w:tr>
    </w:tbl>
    <w:p>
      <w:pPr>
        <w:spacing w:after="12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 </w:t>
      </w:r>
      <w:r>
        <w:rPr>
          <w:rFonts w:ascii="Arial" w:cs="Arial" w:eastAsia="Arial" w:hAnsi="Arial"/>
          <w:i/>
          <w:iCs/>
          <w:color w:val="666666"/>
          <w:sz w:val="22"/>
          <w:szCs w:val="22"/>
        </w:rPr>
        <w:t xml:space="preserve">Data security (Art. 6) requires technical and organisational measures proportionate to the sensitivity of data processed. The ECC Audit Findings Report (RCA-P4-003) documents significant security gaps including uncontrolled vendor access, flat network architecture, absent vulnerability management, and no incident response capability. These gaps affect the completeness of the data security obligation under the PDPL and should be remediated in conjunction with the PDPL programme.</w:t>
      </w:r>
    </w:p>
    <w:p>
      <w:pPr>
        <w:spacing w:after="160"/>
      </w:pPr>
      <w:r>
        <w:rPr>
          <w:rFonts w:ascii="Arial" w:cs="Arial" w:eastAsia="Arial" w:hAnsi="Arial"/>
          <w:color w:val="1A1A1A"/>
          <w:sz w:val="22"/>
          <w:szCs w:val="22"/>
        </w:rPr>
        <w:t xml:space="preserve"/>
      </w:r>
    </w:p>
    <w:p>
      <w:pPr>
        <w:shd w:fill="1B2A4A" w:val="clear"/>
        <w:spacing w:after="0" w:before="240"/>
        <w:ind w:left="120" w:right="120"/>
      </w:pPr>
      <w:r>
        <w:rPr>
          <w:rFonts w:ascii="Arial" w:cs="Arial" w:eastAsia="Arial" w:hAnsi="Arial"/>
          <w:b/>
          <w:bCs/>
          <w:color w:val="FFFFFF"/>
          <w:sz w:val="26"/>
          <w:szCs w:val="26"/>
        </w:rPr>
        <w:t xml:space="preserve">6.   Recommended Remediation Roadmap</w:t>
      </w:r>
    </w:p>
    <w:p>
      <w:pPr>
        <w:spacing w:after="8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746"/>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Phase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Period</w:t>
            </w:r>
          </w:p>
        </w:tc>
        <w:tc>
          <w:tcPr>
            <w:tcW w:type="dxa" w:w="574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after="0"/>
              <w:jc w:val="left"/>
            </w:pPr>
            <w:r>
              <w:rPr>
                <w:rFonts w:ascii="Arial" w:cs="Arial" w:eastAsia="Arial" w:hAnsi="Arial"/>
                <w:b/>
                <w:bCs/>
                <w:color w:val="FFFFFF"/>
                <w:sz w:val="22"/>
                <w:szCs w:val="22"/>
              </w:rPr>
              <w:t xml:space="preserve">PDPL Actions</w:t>
            </w:r>
          </w:p>
        </w:tc>
      </w:tr>
      <w:tr>
        <w:tc>
          <w:tcPr>
            <w:tcW w:type="dxa" w:w="1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Phase 1 — Critical</w:t>
            </w:r>
          </w:p>
        </w:tc>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Dec 2024 – Jan 2025</w:t>
            </w:r>
          </w:p>
        </w:tc>
        <w:tc>
          <w:tcPr>
            <w:tcW w:type="dxa" w:w="57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Draft PDPL-compliant patient consent form; identify lawful basis for each processing activity; draft DPA for Bupa Arabia and initiate negotiation; obtain Nphies data governance framework from MoH; execute data protection addendum with Napas vendor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Phase 2 — 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Feb – Apr 2025</w:t>
            </w:r>
          </w:p>
        </w:tc>
        <w:tc>
          <w:tcPr>
            <w:tcW w:type="dxa" w:w="5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Execute Bupa Arabia DPA; publish patient-facing privacy notice across all sites and website; implement breach notification procedure linked to Incident Response Plan; train staff on PDPL obligations and breach identification; execute Al Bilad Lab data processing addendum</w:t>
            </w:r>
          </w:p>
        </w:tc>
      </w:tr>
      <w:tr>
        <w:tc>
          <w:tcPr>
            <w:tcW w:type="dxa" w:w="1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Phase 3 — Medium</w:t>
            </w:r>
          </w:p>
        </w:tc>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May – Jul 2025</w:t>
            </w:r>
          </w:p>
        </w:tc>
        <w:tc>
          <w:tcPr>
            <w:tcW w:type="dxa" w:w="5746"/>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Implement data subject rights request mechanism; configure Napas HIS for data access extract and deletion workflow; define data retention schedule aligned with MoH clinical record requirements; implement secure disposal procedure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Phase 4 — Sustain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Aug – Oct 2025</w:t>
            </w:r>
          </w:p>
        </w:tc>
        <w:tc>
          <w:tcPr>
            <w:tcW w:type="dxa" w:w="5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Annual PDPL compliance review; update consent forms and privacy notice for any new processing activities or third-party relationships; conduct staff refresher training; assess SDAIA regulatory guidance updates</w:t>
            </w:r>
          </w:p>
        </w:tc>
      </w:tr>
    </w:tbl>
    <w:p>
      <w:pPr>
        <w:spacing w:after="160"/>
      </w:pPr>
      <w:r>
        <w:rPr>
          <w:rFonts w:ascii="Arial" w:cs="Arial" w:eastAsia="Arial" w:hAnsi="Arial"/>
          <w:color w:val="1A1A1A"/>
          <w:sz w:val="22"/>
          <w:szCs w:val="22"/>
        </w:rPr>
        <w:t xml:space="preserve"/>
      </w:r>
    </w:p>
    <w:p>
      <w:pPr>
        <w:shd w:fill="1B2A4A" w:val="clear"/>
        <w:spacing w:after="0" w:before="240"/>
        <w:ind w:left="120" w:right="120"/>
      </w:pPr>
      <w:r>
        <w:rPr>
          <w:rFonts w:ascii="Arial" w:cs="Arial" w:eastAsia="Arial" w:hAnsi="Arial"/>
          <w:b/>
          <w:bCs/>
          <w:color w:val="FFFFFF"/>
          <w:sz w:val="26"/>
          <w:szCs w:val="26"/>
        </w:rPr>
        <w:t xml:space="preserve">7.   Audit Conclusion</w:t>
      </w:r>
    </w:p>
    <w:p>
      <w:pPr>
        <w:spacing w:after="8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Rawabi Health Services Co. is materially non-compliant with the Saudi Personal Data Protection Law at the time of this audit. Fifty percent of assessed PDPL obligations have not been met, including the most fundamental requirements of the law: establishing a lawful basis for processing sensitive health data and implementing consent mechanisms for patients. The organisation processes patient health data at scale — across two sites, five third-party relationships, and approximately 1,800 patient visits per month — without a single PDPL compliance control in place.</w:t>
      </w:r>
    </w:p>
    <w:p>
      <w:pPr>
        <w:spacing w:after="8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The two Critical findings — P-001 (no lawful basis or consent) and P-002 (no DPAs with Bupa Arabia and Nphies) — are not minor procedural gaps. They represent ongoing, daily violations of the PDPL across every patient interaction. SDAIA has enforcement authority to impose administrative penalties and, in serious cases, to order the suspension of data processing activities. For a healthcare provider, a processing suspension would directly affect patient care delivery.</w:t>
      </w:r>
    </w:p>
    <w:p>
      <w:pPr>
        <w:spacing w:after="80"/>
      </w:pPr>
      <w:r>
        <w:rPr>
          <w:rFonts w:ascii="Arial" w:cs="Arial" w:eastAsia="Arial" w:hAnsi="Arial"/>
          <w:color w:val="1A1A1A"/>
          <w:sz w:val="22"/>
          <w:szCs w:val="22"/>
        </w:rPr>
        <w:t xml:space="preserve"/>
      </w:r>
    </w:p>
    <w:p>
      <w:pPr>
        <w:spacing w:after="120"/>
      </w:pPr>
      <w:r>
        <w:rPr>
          <w:rFonts w:ascii="Arial" w:cs="Arial" w:eastAsia="Arial" w:hAnsi="Arial"/>
          <w:color w:val="1A1A1A"/>
          <w:sz w:val="22"/>
          <w:szCs w:val="22"/>
        </w:rPr>
        <w:t xml:space="preserve">Resolute Compliance Advisory LLP recommends that Rawabi's leadership treat PDPL remediation as a board-level priority, coordinated alongside the cybersecurity remediation programme detailed in the ECC Audit Findings Report (RCA-P4-003). The Phase 1 actions — consent form design, DPA initiation with Bupa Arabia, and the Nphies data governance framework — should be initiated immediately, with external legal counsel engaged to support contract negotiation and regulatory correspondence with SDAIA.</w:t>
      </w:r>
    </w:p>
    <w:p>
      <w:pPr>
        <w:spacing w:after="200"/>
      </w:pPr>
      <w:r>
        <w:rPr>
          <w:rFonts w:ascii="Arial" w:cs="Arial" w:eastAsia="Arial" w:hAnsi="Arial"/>
          <w:color w:val="1A1A1A"/>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Prepared by</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kay Shahbaaz  |  GRC Auditor  |  Resolute Compliance Advisory LLP</w:t>
            </w:r>
          </w:p>
        </w:tc>
      </w:tr>
      <w:tr>
        <w:tc>
          <w:tcPr>
            <w:tcW w:type="dxa" w:w="3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Report Date</w:t>
            </w:r>
          </w:p>
        </w:tc>
        <w:tc>
          <w:tcPr>
            <w:tcW w:type="dxa" w:w="674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31 January 2025</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vAlign w:val="top"/>
          </w:tcPr>
          <w:p>
            <w:pPr>
              <w:spacing w:after="0"/>
              <w:jc w:val="left"/>
            </w:pPr>
            <w:r>
              <w:rPr>
                <w:rFonts w:ascii="Arial" w:cs="Arial" w:eastAsia="Arial" w:hAnsi="Arial"/>
                <w:b/>
                <w:bCs/>
                <w:color w:val="1B2A4A"/>
                <w:sz w:val="22"/>
                <w:szCs w:val="22"/>
              </w:rPr>
              <w:t xml:space="preserve">Document Ref</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Arial" w:cs="Arial" w:eastAsia="Arial" w:hAnsi="Arial"/>
                <w:b w:val="false"/>
                <w:bCs w:val="false"/>
                <w:color w:val="1A1A1A"/>
                <w:sz w:val="22"/>
                <w:szCs w:val="22"/>
              </w:rPr>
              <w:t xml:space="preserve">RCA-P4-004  |  v1.0  |  CONFIDENTIAL</w:t>
            </w:r>
          </w:p>
        </w:tc>
      </w:tr>
    </w:tbl>
    <w:p>
      <w:pPr>
        <w:spacing w:after="160"/>
      </w:pPr>
      <w:r>
        <w:rPr>
          <w:rFonts w:ascii="Arial" w:cs="Arial" w:eastAsia="Arial" w:hAnsi="Arial"/>
          <w:color w:val="1A1A1A"/>
          <w:sz w:val="22"/>
          <w:szCs w:val="22"/>
        </w:rP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951" w:sz="4"/>
      </w:pBdr>
      <w:tabs>
        <w:tab w:val="center" w:pos="4873"/>
        <w:tab w:val="right" w:pos="9746"/>
      </w:tabs>
      <w:spacing w:after="0" w:before="80"/>
    </w:pPr>
    <w:r>
      <w:rPr>
        <w:rFonts w:ascii="Arial" w:cs="Arial" w:eastAsia="Arial" w:hAnsi="Arial"/>
        <w:color w:val="666666"/>
        <w:sz w:val="16"/>
        <w:szCs w:val="16"/>
      </w:rPr>
      <w:t xml:space="preserve">Resolute Compliance Advisory LLP</w:t>
    </w:r>
    <w:r>
      <w:rPr>
        <w:rFonts w:ascii="Arial" w:cs="Arial" w:eastAsia="Arial" w:hAnsi="Arial"/>
        <w:color w:val="1A1A1A"/>
        <w:sz w:val="16"/>
        <w:szCs w:val="16"/>
      </w:rPr>
      <w:t xml:space="preserve">	</w:t>
    </w:r>
    <w:r>
      <w:rPr>
        <w:rFonts w:ascii="Arial" w:cs="Arial" w:eastAsia="Arial" w:hAnsi="Arial"/>
        <w:color w:val="666666"/>
        <w:sz w:val="16"/>
        <w:szCs w:val="16"/>
      </w:rPr>
      <w:t xml:space="preserve">PDPL Compliance Audit Report — Rawabi Health Services Co.</w:t>
    </w:r>
    <w:r>
      <w:rPr>
        <w:rFonts w:ascii="Arial" w:cs="Arial" w:eastAsia="Arial" w:hAnsi="Arial"/>
        <w:color w:val="1A1A1A"/>
        <w:sz w:val="16"/>
        <w:szCs w:val="16"/>
      </w:rPr>
      <w:t xml:space="preserve">	</w:t>
    </w:r>
    <w:r>
      <w:rPr>
        <w:rFonts w:ascii="Arial" w:cs="Arial" w:eastAsia="Arial" w:hAnsi="Arial"/>
        <w:color w:val="666666"/>
        <w:sz w:val="16"/>
        <w:szCs w:val="16"/>
      </w:rPr>
      <w:t xml:space="preserve">Page </w:t>
    </w:r>
    <w:fldSimple w:instr="PAGE">
      <w:r>
        <w:rPr>
          <w:rFonts w:ascii="Arial" w:cs="Arial" w:eastAsia="Arial" w:hAnsi="Arial"/>
          <w:color w:val="666666"/>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6200"/>
      <w:gridCol w:w="3546"/>
    </w:tblGrid>
    <w:tr>
      <w:tc>
        <w:tcPr>
          <w:tcW w:type="dxa" w:w="6200"/>
          <w:tcBorders>
            <w:top w:val="none" w:color="FFFFFF" w:sz="0"/>
            <w:left w:val="none" w:color="FFFFFF" w:sz="0"/>
            <w:bottom w:val="none" w:color="FFFFFF" w:sz="0"/>
            <w:right w:val="none" w:color="FFFFFF" w:sz="0"/>
          </w:tcBorders>
          <w:tcMar>
            <w:top w:type="dxa" w:w="40"/>
            <w:left w:type="dxa" w:w="0"/>
            <w:bottom w:type="dxa" w:w="40"/>
            <w:right w:type="dxa" w:w="120"/>
          </w:tcMar>
          <w:vAlign w:val="center"/>
        </w:tcPr>
        <w:p>
          <w:pPr>
            <w:spacing w:after="0"/>
          </w:pPr>
          <w:r>
            <w:rPr>
              <w:rFonts w:ascii="Arial" w:cs="Arial" w:eastAsia="Arial" w:hAnsi="Arial"/>
              <w:b/>
              <w:bCs/>
              <w:color w:val="1B2A4A"/>
              <w:sz w:val="28"/>
              <w:szCs w:val="28"/>
            </w:rPr>
            <w:t xml:space="preserve">RESOLUTE</w:t>
          </w:r>
        </w:p>
        <w:p>
          <w:pPr>
            <w:spacing w:after="0"/>
          </w:pPr>
          <w:r>
            <w:rPr>
              <w:rFonts w:ascii="Arial" w:cs="Arial" w:eastAsia="Arial" w:hAnsi="Arial"/>
              <w:b/>
              <w:bCs/>
              <w:color w:val="C8A951"/>
              <w:sz w:val="18"/>
              <w:szCs w:val="18"/>
            </w:rPr>
            <w:t xml:space="preserve">COMPLIANCE ADVISORY  LLP</w:t>
          </w:r>
        </w:p>
        <w:p>
          <w:pPr>
            <w:spacing w:after="0"/>
          </w:pPr>
          <w:r>
            <w:rPr>
              <w:rFonts w:ascii="Arial" w:cs="Arial" w:eastAsia="Arial" w:hAnsi="Arial"/>
              <w:i/>
              <w:iCs/>
              <w:color w:val="666666"/>
              <w:sz w:val="16"/>
              <w:szCs w:val="16"/>
            </w:rPr>
            <w:t xml:space="preserve">Governance · Risk · Compliance</w:t>
          </w:r>
        </w:p>
      </w:tc>
      <w:tc>
        <w:tcPr>
          <w:tcW w:type="dxa" w:w="3546"/>
          <w:tcBorders>
            <w:top w:val="none" w:color="FFFFFF" w:sz="0"/>
            <w:left w:val="none" w:color="FFFFFF" w:sz="0"/>
            <w:bottom w:val="none" w:color="FFFFFF" w:sz="0"/>
            <w:right w:val="none" w:color="FFFFFF" w:sz="0"/>
          </w:tcBorders>
          <w:tcMar>
            <w:top w:type="dxa" w:w="40"/>
            <w:left w:type="dxa" w:w="120"/>
            <w:bottom w:type="dxa" w:w="40"/>
            <w:right w:type="dxa" w:w="0"/>
          </w:tcMar>
          <w:vAlign w:val="center"/>
        </w:tcPr>
        <w:p>
          <w:pPr>
            <w:spacing w:after="0"/>
            <w:jc w:val="right"/>
          </w:pPr>
          <w:r>
            <w:rPr>
              <w:rFonts w:ascii="Arial" w:cs="Arial" w:eastAsia="Arial" w:hAnsi="Arial"/>
              <w:b/>
              <w:bCs/>
              <w:color w:val="C8A951"/>
              <w:sz w:val="18"/>
              <w:szCs w:val="18"/>
            </w:rPr>
            <w:t xml:space="preserve">CONFIDENTIAL</w:t>
          </w:r>
        </w:p>
        <w:p>
          <w:pPr>
            <w:spacing w:after="0"/>
            <w:jc w:val="right"/>
          </w:pPr>
          <w:r>
            <w:rPr>
              <w:rFonts w:ascii="Arial" w:cs="Arial" w:eastAsia="Arial" w:hAnsi="Arial"/>
              <w:color w:val="666666"/>
              <w:sz w:val="16"/>
              <w:szCs w:val="16"/>
            </w:rPr>
            <w:t xml:space="preserve">RCA-P4-004  ·  v1.0</w:t>
          </w:r>
        </w:p>
      </w:tc>
    </w:tr>
  </w:tbl>
  <w:p>
    <w:pPr>
      <w:pBdr>
        <w:bottom w:val="single" w:color="1B2A4A" w:sz="8"/>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2026-06-25T20:43:08.889Z</dcterms:created>
  <dcterms:modified xsi:type="dcterms:W3CDTF">2026-06-25T20:43:08.902Z</dcterms:modified>
</cp:coreProperties>
</file>

<file path=docProps/custom.xml><?xml version="1.0" encoding="utf-8"?>
<Properties xmlns="http://schemas.openxmlformats.org/officeDocument/2006/custom-properties" xmlns:vt="http://schemas.openxmlformats.org/officeDocument/2006/docPropsVTypes"/>
</file>