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pPr>
              <w:spacing w:after="20" w:before="80"/>
              <w:jc w:val="left"/>
            </w:pPr>
            <w:r>
              <w:rPr>
                <w:rFonts w:ascii="Arial" w:cs="Arial" w:eastAsia="Arial" w:hAnsi="Arial"/>
                <w:b/>
                <w:bCs/>
                <w:i w:val="false"/>
                <w:iCs w:val="false"/>
                <w:color w:val="FFFFFF"/>
                <w:sz w:val="32"/>
                <w:szCs w:val="32"/>
              </w:rPr>
              <w:t xml:space="preserve">RESOLUTE</w:t>
            </w:r>
            <w:r>
              <w:rPr>
                <w:rFonts w:ascii="Arial" w:cs="Arial" w:eastAsia="Arial" w:hAnsi="Arial"/>
                <w:b w:val="false"/>
                <w:bCs w:val="false"/>
                <w:i w:val="false"/>
                <w:iCs w:val="false"/>
                <w:color w:val="C8A951"/>
                <w:sz w:val="20"/>
                <w:szCs w:val="20"/>
              </w:rPr>
              <w:t xml:space="preserve">  COMPLIANCE ADVISORY  LLP</w:t>
            </w:r>
          </w:p>
          <w:p>
            <w:pPr>
              <w:spacing w:after="80" w:before="0"/>
              <w:jc w:val="left"/>
            </w:pPr>
            <w:r>
              <w:rPr>
                <w:rFonts w:ascii="Arial" w:cs="Arial" w:eastAsia="Arial" w:hAnsi="Arial"/>
                <w:b w:val="false"/>
                <w:bCs w:val="false"/>
                <w:i/>
                <w:iCs/>
                <w:color w:val="EEF1F7"/>
                <w:sz w:val="16"/>
                <w:szCs w:val="16"/>
              </w:rPr>
              <w:t xml:space="preserve">Governance  ·  Risk  ·  Compliance</w:t>
            </w:r>
          </w:p>
        </w:tc>
      </w:tr>
    </w:tbl>
    <w:p>
      <w:pPr>
        <w:spacing w:after="60" w:before="60"/>
      </w:pPr>
      <w:r>
        <w:rPr>
          <w:rFonts w:ascii="Arial" w:cs="Arial" w:eastAsia="Arial" w:hAnsi="Arial"/>
          <w:b w:val="false"/>
          <w:bCs w:val="false"/>
          <w:i w:val="false"/>
          <w:iCs w:val="false"/>
          <w:color w:val="1A1A1A"/>
          <w:sz w:val="20"/>
          <w:szCs w:val="20"/>
        </w:rPr>
        <w:t xml:space="preserve"/>
      </w:r>
    </w:p>
    <w:p>
      <w:pPr>
        <w:spacing w:after="10" w:before="40"/>
        <w:jc w:val="center"/>
      </w:pPr>
      <w:r>
        <w:rPr>
          <w:rFonts w:ascii="Arial" w:cs="Arial" w:eastAsia="Arial" w:hAnsi="Arial"/>
          <w:b/>
          <w:bCs/>
          <w:i w:val="false"/>
          <w:iCs w:val="false"/>
          <w:color w:val="1B2A4A"/>
          <w:sz w:val="36"/>
          <w:szCs w:val="36"/>
        </w:rPr>
        <w:t xml:space="preserve">ISO 27001:2022</w:t>
      </w:r>
    </w:p>
    <w:p>
      <w:pPr>
        <w:spacing w:after="10" w:before="0"/>
        <w:jc w:val="center"/>
      </w:pPr>
      <w:r>
        <w:rPr>
          <w:rFonts w:ascii="Arial" w:cs="Arial" w:eastAsia="Arial" w:hAnsi="Arial"/>
          <w:b/>
          <w:bCs/>
          <w:i w:val="false"/>
          <w:iCs w:val="false"/>
          <w:color w:val="C8A951"/>
          <w:sz w:val="30"/>
          <w:szCs w:val="30"/>
        </w:rPr>
        <w:t xml:space="preserve">GAP ASSESSMENT REPORT</w:t>
      </w:r>
    </w:p>
    <w:p>
      <w:pPr>
        <w:spacing w:after="80" w:before="0"/>
        <w:jc w:val="center"/>
      </w:pPr>
      <w:r>
        <w:rPr>
          <w:rFonts w:ascii="Arial" w:cs="Arial" w:eastAsia="Arial" w:hAnsi="Arial"/>
          <w:b w:val="false"/>
          <w:bCs w:val="false"/>
          <w:i/>
          <w:iCs/>
          <w:color w:val="666666"/>
          <w:sz w:val="20"/>
          <w:szCs w:val="20"/>
        </w:rPr>
        <w:t xml:space="preserve">Information Security Gap Assessment &amp; ISMS Readiness Review</w:t>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8A951" w:sz="6"/>
              <w:left w:val="single" w:color="C8A951" w:sz="6"/>
              <w:bottom w:val="single" w:color="C8A951" w:sz="6"/>
              <w:right w:val="single" w:color="C8A951" w:sz="6"/>
            </w:tcBorders>
            <w:shd w:fill="EEF1F7" w:val="clear"/>
            <w:tcMar>
              <w:top w:type="dxa" w:w="80"/>
              <w:left w:type="dxa" w:w="120"/>
              <w:bottom w:type="dxa" w:w="80"/>
              <w:right w:type="dxa" w:w="120"/>
            </w:tcMar>
            <w:vAlign w:val="top"/>
          </w:tcPr>
          <w:p>
            <w:pPr>
              <w:spacing w:after="20" w:before="80"/>
              <w:jc w:val="left"/>
            </w:pPr>
            <w:r>
              <w:rPr>
                <w:rFonts w:ascii="Arial" w:cs="Arial" w:eastAsia="Arial" w:hAnsi="Arial"/>
                <w:b w:val="false"/>
                <w:bCs w:val="false"/>
                <w:i/>
                <w:iCs/>
                <w:color w:val="666666"/>
                <w:sz w:val="16"/>
                <w:szCs w:val="16"/>
              </w:rPr>
              <w:t xml:space="preserve">Prepared for</w:t>
            </w:r>
          </w:p>
          <w:p>
            <w:pPr>
              <w:spacing w:after="20" w:before="0"/>
              <w:jc w:val="left"/>
            </w:pPr>
            <w:r>
              <w:rPr>
                <w:rFonts w:ascii="Arial" w:cs="Arial" w:eastAsia="Arial" w:hAnsi="Arial"/>
                <w:b/>
                <w:bCs/>
                <w:i w:val="false"/>
                <w:iCs w:val="false"/>
                <w:color w:val="1B2A4A"/>
                <w:sz w:val="24"/>
                <w:szCs w:val="24"/>
              </w:rPr>
              <w:t xml:space="preserve">Medlink India Pvt. Ltd.</w:t>
            </w:r>
          </w:p>
          <w:p>
            <w:pPr>
              <w:spacing w:after="20" w:before="0"/>
              <w:jc w:val="left"/>
            </w:pPr>
            <w:r>
              <w:rPr>
                <w:rFonts w:ascii="Arial" w:cs="Arial" w:eastAsia="Arial" w:hAnsi="Arial"/>
                <w:b w:val="false"/>
                <w:bCs w:val="false"/>
                <w:i w:val="false"/>
                <w:iCs w:val="false"/>
                <w:color w:val="666666"/>
                <w:sz w:val="18"/>
                <w:szCs w:val="18"/>
              </w:rPr>
              <w:t xml:space="preserve">Healthtech  ·  Mumbai, India</w:t>
            </w:r>
          </w:p>
          <w:p>
            <w:pPr>
              <w:spacing w:after="80" w:before="0"/>
              <w:jc w:val="left"/>
            </w:pPr>
            <w:r>
              <w:rPr>
                <w:rFonts w:ascii="Arial" w:cs="Arial" w:eastAsia="Arial" w:hAnsi="Arial"/>
                <w:b w:val="false"/>
                <w:bCs w:val="false"/>
                <w:i w:val="false"/>
                <w:iCs w:val="false"/>
                <w:color w:val="666666"/>
                <w:sz w:val="18"/>
                <w:szCs w:val="18"/>
              </w:rPr>
              <w:t xml:space="preserve">Assessment Period: 25 March 2024 – 12 April 2024</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85"/>
        <w:gridCol w:w="5361"/>
      </w:tblGrid>
      <w:tr>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Prepared by</w:t>
            </w:r>
          </w:p>
          <w:p>
            <w:pPr>
              <w:spacing w:after="10" w:before="0"/>
              <w:jc w:val="left"/>
            </w:pPr>
            <w:r>
              <w:rPr>
                <w:rFonts w:ascii="Arial" w:cs="Arial" w:eastAsia="Arial" w:hAnsi="Arial"/>
                <w:b/>
                <w:bCs/>
                <w:i w:val="false"/>
                <w:iCs w:val="false"/>
                <w:color w:val="1B2A4A"/>
                <w:sz w:val="18"/>
                <w:szCs w:val="18"/>
              </w:rPr>
              <w:t xml:space="preserve">kay Shahbaaz</w:t>
            </w:r>
          </w:p>
          <w:p>
            <w:pPr>
              <w:spacing w:after="60" w:before="0"/>
              <w:jc w:val="left"/>
            </w:pPr>
            <w:r>
              <w:rPr>
                <w:rFonts w:ascii="Arial" w:cs="Arial" w:eastAsia="Arial" w:hAnsi="Arial"/>
                <w:b w:val="false"/>
                <w:bCs w:val="false"/>
                <w:i w:val="false"/>
                <w:iCs w:val="false"/>
                <w:color w:val="666666"/>
                <w:sz w:val="16"/>
                <w:szCs w:val="16"/>
              </w:rPr>
              <w:t xml:space="preserve">GRC Analyst</w:t>
            </w:r>
          </w:p>
        </w:tc>
        <w:tc>
          <w:tcPr>
            <w:tcW w:type="dxa" w:w="536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Document Ref</w:t>
            </w:r>
          </w:p>
          <w:p>
            <w:pPr>
              <w:spacing w:after="10" w:before="0"/>
              <w:jc w:val="left"/>
            </w:pPr>
            <w:r>
              <w:rPr>
                <w:rFonts w:ascii="Arial" w:cs="Arial" w:eastAsia="Arial" w:hAnsi="Arial"/>
                <w:b/>
                <w:bCs/>
                <w:i w:val="false"/>
                <w:iCs w:val="false"/>
                <w:color w:val="1B2A4A"/>
                <w:sz w:val="18"/>
                <w:szCs w:val="18"/>
              </w:rPr>
              <w:t xml:space="preserve">RCA-P2-002</w:t>
            </w:r>
          </w:p>
          <w:p>
            <w:pPr>
              <w:spacing w:after="60" w:before="0"/>
              <w:jc w:val="left"/>
            </w:pPr>
            <w:r>
              <w:rPr>
                <w:rFonts w:ascii="Arial" w:cs="Arial" w:eastAsia="Arial" w:hAnsi="Arial"/>
                <w:b w:val="false"/>
                <w:bCs w:val="false"/>
                <w:i w:val="false"/>
                <w:iCs w:val="false"/>
                <w:color w:val="666666"/>
                <w:sz w:val="16"/>
                <w:szCs w:val="16"/>
              </w:rPr>
              <w:t xml:space="preserve">28 April 2024  ·  v1.0  ·  CONFIDENTIAL</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8"/>
              <w:left w:val="single" w:color="1B2A4A" w:sz="8"/>
              <w:bottom w:val="single" w:color="1B2A4A" w:sz="8"/>
              <w:right w:val="single" w:color="1B2A4A" w:sz="8"/>
            </w:tcBorders>
            <w:shd w:fill="EEF1F7" w:val="clear"/>
            <w:tcMar>
              <w:top w:type="dxa" w:w="80"/>
              <w:left w:type="dxa" w:w="120"/>
              <w:bottom w:type="dxa" w:w="80"/>
              <w:right w:type="dxa" w:w="120"/>
            </w:tcMar>
            <w:vAlign w:val="top"/>
          </w:tcPr>
          <w:p>
            <w:pPr>
              <w:spacing w:after="20" w:before="60"/>
              <w:jc w:val="center"/>
            </w:pPr>
            <w:r>
              <w:rPr>
                <w:rFonts w:ascii="Arial" w:cs="Arial" w:eastAsia="Arial" w:hAnsi="Arial"/>
                <w:b/>
                <w:bCs/>
                <w:i w:val="false"/>
                <w:iCs w:val="false"/>
                <w:color w:val="1B2A4A"/>
                <w:sz w:val="17"/>
                <w:szCs w:val="17"/>
              </w:rPr>
              <w:t xml:space="preserve">CONFIDENTIALITY NOTICE</w:t>
            </w:r>
          </w:p>
          <w:p>
            <w:pPr>
              <w:spacing w:after="60" w:before="0"/>
              <w:jc w:val="left"/>
            </w:pPr>
            <w:r>
              <w:rPr>
                <w:rFonts w:ascii="Arial" w:cs="Arial" w:eastAsia="Arial" w:hAnsi="Arial"/>
                <w:b w:val="false"/>
                <w:bCs w:val="false"/>
                <w:i/>
                <w:iCs/>
                <w:color w:val="666666"/>
                <w:sz w:val="17"/>
                <w:szCs w:val="17"/>
              </w:rPr>
              <w:t xml:space="preserve">This document is prepared exclusively for Medlink India Pvt. Ltd. and contains confidential and proprietary information belonging to Resolute Compliance Advisory LLP. It may not be disclosed, reproduced, or distributed to any third party without the prior written consent of Resolute Compliance Advisory LLP.</w:t>
            </w:r>
          </w:p>
        </w:tc>
      </w:tr>
    </w:tbl>
    <w:p>
      <w:pPr>
        <w:sectPr>
          <w:pgSz w:w="11906" w:h="16838" w:orient="portrait"/>
          <w:pgMar w:top="1080" w:right="1080" w:bottom="1080" w:left="1080" w:header="708" w:footer="708" w:gutter="0"/>
          <w:pgNumType/>
          <w:docGrid w:linePitch="360"/>
        </w:sectPr>
      </w:pPr>
    </w:p>
    <w:p>
      <w:pPr>
        <w:pStyle w:val="Heading1"/>
        <w:spacing w:after="120" w:before="280"/>
      </w:pPr>
      <w:r>
        <w:rPr>
          <w:rFonts w:ascii="Arial" w:cs="Arial" w:eastAsia="Arial" w:hAnsi="Arial"/>
          <w:b/>
          <w:bCs/>
          <w:i w:val="false"/>
          <w:iCs w:val="false"/>
          <w:color w:val="1B2A4A"/>
          <w:sz w:val="26"/>
          <w:szCs w:val="26"/>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Field</w:t>
            </w:r>
          </w:p>
        </w:tc>
        <w:tc>
          <w:tcPr>
            <w:tcW w:type="dxa" w:w="6335"/>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Details</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Title</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ISO 27001:2022 Gap Assessment Report</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Ref</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RCA-P2-002</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Client</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Medlink India Pvt. Ltd.</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Project</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ISO 27001:2022 + GDPR + DPDP Act 2023 Compliance Assessment</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Prepared by</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kay Shahbaaz, GRC Analyst</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Reviewed by</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Resolute Compliance Advisory LLP</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Assessment Period</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25 March 2024 – 12 April 2024</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Report Date</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28 April 2024</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Version</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v1.0</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Classification</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CONFIDENTIAL</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Status</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Final</w:t>
            </w:r>
          </w:p>
        </w:tc>
      </w:tr>
    </w:tbl>
    <w:p>
      <w:pPr>
        <w:pStyle w:val="Heading1"/>
        <w:pageBreakBefore/>
        <w:spacing w:after="120" w:before="280"/>
      </w:pPr>
      <w:r>
        <w:rPr>
          <w:rFonts w:ascii="Arial" w:cs="Arial" w:eastAsia="Arial" w:hAnsi="Arial"/>
          <w:b/>
          <w:bCs/>
          <w:i w:val="false"/>
          <w:iCs w:val="false"/>
          <w:color w:val="1B2A4A"/>
          <w:sz w:val="26"/>
          <w:szCs w:val="26"/>
        </w:rPr>
        <w:t xml:space="preserve">1.  Executive Summary</w:t>
      </w:r>
    </w:p>
    <w:p>
      <w:pPr>
        <w:spacing w:after="80" w:before="80"/>
        <w:jc w:val="left"/>
      </w:pPr>
      <w:r>
        <w:rPr>
          <w:rFonts w:ascii="Arial" w:cs="Arial" w:eastAsia="Arial" w:hAnsi="Arial"/>
          <w:b w:val="false"/>
          <w:bCs w:val="false"/>
          <w:i w:val="false"/>
          <w:iCs w:val="false"/>
          <w:color w:val="1A1A1A"/>
          <w:sz w:val="20"/>
          <w:szCs w:val="20"/>
        </w:rPr>
        <w:t xml:space="preserve">Resolute Compliance Advisory LLP conducted an information security gap assessment of Medlink India Pvt. Ltd. against the requirements of ISO 27001:2022, covering all 93 Annex A controls and Clauses 4 through 10 of the standard. The assessment was conducted between 25 March 2024 and 12 April 2024 using document review, management and technical interviews, AWS infrastructure configuration review, GitHub repository audit, and Azure Active Directory configuration review.</w:t>
      </w:r>
    </w:p>
    <w:p>
      <w:pPr>
        <w:pStyle w:val="Heading2"/>
        <w:spacing w:after="80" w:before="200"/>
      </w:pPr>
      <w:r>
        <w:rPr>
          <w:rFonts w:ascii="Arial" w:cs="Arial" w:eastAsia="Arial" w:hAnsi="Arial"/>
          <w:b/>
          <w:bCs/>
          <w:i w:val="false"/>
          <w:iCs w:val="false"/>
          <w:color w:val="1B2A4A"/>
          <w:sz w:val="22"/>
          <w:szCs w:val="22"/>
        </w:rPr>
        <w:t xml:space="preserve">1.1  Overall Conformance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c>
          <w:tcPr>
            <w:tcW w:type="dxa" w:w="389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Overall Conformance</w:t>
            </w:r>
          </w:p>
        </w:tc>
        <w:tc>
          <w:tcPr>
            <w:tcW w:type="dxa" w:w="5848"/>
            <w:tcBorders>
              <w:top w:val="single" w:color="1B2A4A" w:sz="4"/>
              <w:left w:val="single" w:color="1B2A4A" w:sz="4"/>
              <w:bottom w:val="single" w:color="1B2A4A" w:sz="4"/>
              <w:right w:val="single" w:color="1B2A4A"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2"/>
                <w:szCs w:val="22"/>
              </w:rPr>
              <w:t xml:space="preserve">49.5%  (46 of 93 controls Conformant)</w:t>
            </w:r>
          </w:p>
        </w:tc>
      </w:tr>
      <w:tr>
        <w:tc>
          <w:tcPr>
            <w:tcW w:type="dxa" w:w="3898"/>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E8449"/>
                <w:sz w:val="20"/>
                <w:szCs w:val="20"/>
              </w:rPr>
              <w:t xml:space="preserve">Conformant</w:t>
            </w:r>
          </w:p>
        </w:tc>
        <w:tc>
          <w:tcPr>
            <w:tcW w:type="dxa" w:w="5848"/>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46 controls  (49.5%)</w:t>
            </w:r>
          </w:p>
        </w:tc>
      </w:tr>
      <w:tr>
        <w:tc>
          <w:tcPr>
            <w:tcW w:type="dxa" w:w="389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20"/>
                <w:szCs w:val="20"/>
              </w:rPr>
              <w:t xml:space="preserve">Partial</w:t>
            </w:r>
          </w:p>
        </w:tc>
        <w:tc>
          <w:tcPr>
            <w:tcW w:type="dxa" w:w="584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34 controls  (36.5%)</w:t>
            </w:r>
          </w:p>
        </w:tc>
      </w:tr>
      <w:tr>
        <w:tc>
          <w:tcPr>
            <w:tcW w:type="dxa" w:w="389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Non-Conformant</w:t>
            </w:r>
          </w:p>
        </w:tc>
        <w:tc>
          <w:tcPr>
            <w:tcW w:type="dxa" w:w="584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13 controls  (14.0%)</w:t>
            </w:r>
          </w:p>
        </w:tc>
      </w:tr>
    </w:tbl>
    <w:p>
      <w:pPr>
        <w:spacing w:after="80" w:before="80"/>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Medlink's overall information security posture reflects a compliance-aware but not yet compliance-mature organisation. The Client has established a meaningful security baseline — multi-factor authentication is enforced enterprise-wide via Azure Active Directory, AWS WAF and CloudTrail are operational, and a third-party VAPT was conducted in January 2024. A four-tier data classification scheme exists in policy. These controls contribute to the 49.5% conformance level, materially above organisations with no prior security programme.</w:t>
      </w:r>
    </w:p>
    <w:p>
      <w:pPr>
        <w:spacing w:after="80" w:before="60"/>
        <w:jc w:val="left"/>
      </w:pPr>
      <w:r>
        <w:rPr>
          <w:rFonts w:ascii="Arial" w:cs="Arial" w:eastAsia="Arial" w:hAnsi="Arial"/>
          <w:b w:val="false"/>
          <w:bCs w:val="false"/>
          <w:i w:val="false"/>
          <w:iCs w:val="false"/>
          <w:color w:val="1A1A1A"/>
          <w:sz w:val="20"/>
          <w:szCs w:val="20"/>
        </w:rPr>
        <w:t xml:space="preserve">However, the gaps that remain are concentrated in areas of highest sensitivity for a healthtech processor of patient health information. Critical deficiencies were identified in: ISMS governance (no approved Information Security Policy); secrets management (production credentials hardcoded in legacy GitHub repositories); formal risk assessment capability; and consistency of cryptographic controls over AWS S3 storage containing patient diagnostic data. These gaps carry compounding privacy risk given Medlink's obligations under UK GDPR and the DPDP Act 2023.</w:t>
      </w:r>
    </w:p>
    <w:p>
      <w:pPr>
        <w:pStyle w:val="Heading2"/>
        <w:spacing w:after="80" w:before="200"/>
      </w:pPr>
      <w:r>
        <w:rPr>
          <w:rFonts w:ascii="Arial" w:cs="Arial" w:eastAsia="Arial" w:hAnsi="Arial"/>
          <w:b/>
          <w:bCs/>
          <w:i w:val="false"/>
          <w:iCs w:val="false"/>
          <w:color w:val="1B2A4A"/>
          <w:sz w:val="22"/>
          <w:szCs w:val="22"/>
        </w:rPr>
        <w:t xml:space="preserve">1.2  Finding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Critical</w:t>
            </w:r>
          </w:p>
        </w:tc>
        <w:tc>
          <w:tcPr>
            <w:tcW w:type="dxa" w:w="243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High</w:t>
            </w:r>
          </w:p>
        </w:tc>
        <w:tc>
          <w:tcPr>
            <w:tcW w:type="dxa" w:w="243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Medium</w:t>
            </w:r>
          </w:p>
        </w:tc>
        <w:tc>
          <w:tcPr>
            <w:tcW w:type="dxa" w:w="243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Low</w:t>
            </w:r>
          </w:p>
        </w:tc>
      </w:tr>
      <w:tr>
        <w:tc>
          <w:tcPr>
            <w:tcW w:type="dxa" w:w="243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922B21"/>
                <w:sz w:val="28"/>
                <w:szCs w:val="28"/>
              </w:rPr>
              <w:t xml:space="preserve">4</w:t>
            </w:r>
          </w:p>
        </w:tc>
        <w:tc>
          <w:tcPr>
            <w:tcW w:type="dxa" w:w="243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C0392B"/>
                <w:sz w:val="28"/>
                <w:szCs w:val="28"/>
              </w:rPr>
              <w:t xml:space="preserve">5</w:t>
            </w:r>
          </w:p>
        </w:tc>
        <w:tc>
          <w:tcPr>
            <w:tcW w:type="dxa" w:w="243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D68910"/>
                <w:sz w:val="28"/>
                <w:szCs w:val="28"/>
              </w:rPr>
              <w:t xml:space="preserve">4</w:t>
            </w:r>
          </w:p>
        </w:tc>
        <w:tc>
          <w:tcPr>
            <w:tcW w:type="dxa" w:w="2436"/>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1E8449"/>
                <w:sz w:val="28"/>
                <w:szCs w:val="28"/>
              </w:rPr>
              <w:t xml:space="preserve">0</w:t>
            </w:r>
          </w:p>
        </w:tc>
      </w:tr>
    </w:tbl>
    <w:p>
      <w:pPr>
        <w:spacing w:after="80" w:before="80"/>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Thirteen (13) findings were identified. Four (4) are rated Critical — they represent fundamental control failures with direct regulatory and reputational exposure. Five (5) are rated High — significant gaps requiring structured remediation within 90 days. Four (4) are rated Medium — control deficiencies to be addressed in the second remediation phase. No Low findings were raised; the assessment focused on material gaps only.</w:t>
      </w:r>
    </w:p>
    <w:p>
      <w:pPr>
        <w:spacing w:after="80" w:before="60"/>
        <w:jc w:val="left"/>
      </w:pPr>
      <w:r>
        <w:rPr>
          <w:rFonts w:ascii="Arial" w:cs="Arial" w:eastAsia="Arial" w:hAnsi="Arial"/>
          <w:b w:val="false"/>
          <w:bCs w:val="false"/>
          <w:i w:val="false"/>
          <w:iCs w:val="false"/>
          <w:color w:val="1A1A1A"/>
          <w:sz w:val="20"/>
          <w:szCs w:val="20"/>
        </w:rPr>
        <w:t xml:space="preserve">One finding — F-002 (hardcoded production credentials in GitHub repositories) — is flagged as a live risk requiring immediate remediation action independent of the broader programme timeline. The exposed credentials include an AWS access key pair and a Twilio API token, both confirmed active at the time of assessment.</w:t>
      </w:r>
    </w:p>
    <w:p>
      <w:pPr>
        <w:pStyle w:val="Heading2"/>
        <w:spacing w:after="80" w:before="200"/>
      </w:pPr>
      <w:r>
        <w:rPr>
          <w:rFonts w:ascii="Arial" w:cs="Arial" w:eastAsia="Arial" w:hAnsi="Arial"/>
          <w:b/>
          <w:bCs/>
          <w:i w:val="false"/>
          <w:iCs w:val="false"/>
          <w:color w:val="1B2A4A"/>
          <w:sz w:val="22"/>
          <w:szCs w:val="22"/>
        </w:rPr>
        <w:t xml:space="preserve">1.3  Certification Readiness</w:t>
      </w:r>
    </w:p>
    <w:p>
      <w:pPr>
        <w:spacing w:after="80" w:before="60"/>
        <w:jc w:val="left"/>
      </w:pPr>
      <w:r>
        <w:rPr>
          <w:rFonts w:ascii="Arial" w:cs="Arial" w:eastAsia="Arial" w:hAnsi="Arial"/>
          <w:b w:val="false"/>
          <w:bCs w:val="false"/>
          <w:i w:val="false"/>
          <w:iCs w:val="false"/>
          <w:color w:val="1A1A1A"/>
          <w:sz w:val="20"/>
          <w:szCs w:val="20"/>
        </w:rPr>
        <w:t xml:space="preserve">Based on the findings of this assessment, Medlink is not currently ready to proceed to ISO 27001:2022 Stage 1 audit. The four Critical findings represent foundational ISMS non-conformities that a certification body would be expected to identify as major non-conformances. Subject to the successful execution of the Remediation Roadmap (RCA-P2-007), the Firm estimates ISO 27001:2022 certification readiness at 10 to 14 months from the date of this report. The extended timeline relative to a standard ISO 27001 programme reflects the additional complexity of simultaneously implementing GDPR and DPDP Act compliance measures.</w:t>
      </w:r>
    </w:p>
    <w:p>
      <w:pPr>
        <w:pStyle w:val="Heading1"/>
        <w:pageBreakBefore/>
        <w:spacing w:after="120" w:before="280"/>
      </w:pPr>
      <w:r>
        <w:rPr>
          <w:rFonts w:ascii="Arial" w:cs="Arial" w:eastAsia="Arial" w:hAnsi="Arial"/>
          <w:b/>
          <w:bCs/>
          <w:i w:val="false"/>
          <w:iCs w:val="false"/>
          <w:color w:val="1B2A4A"/>
          <w:sz w:val="26"/>
          <w:szCs w:val="26"/>
        </w:rPr>
        <w:t xml:space="preserve">2.  Assessment Scope and Methodology</w:t>
      </w:r>
    </w:p>
    <w:p>
      <w:pPr>
        <w:pStyle w:val="Heading2"/>
        <w:spacing w:after="80" w:before="200"/>
      </w:pPr>
      <w:r>
        <w:rPr>
          <w:rFonts w:ascii="Arial" w:cs="Arial" w:eastAsia="Arial" w:hAnsi="Arial"/>
          <w:b/>
          <w:bCs/>
          <w:i w:val="false"/>
          <w:iCs w:val="false"/>
          <w:color w:val="1B2A4A"/>
          <w:sz w:val="22"/>
          <w:szCs w:val="22"/>
        </w:rPr>
        <w:t xml:space="preserve">2.1  Assessment Scope</w:t>
      </w:r>
    </w:p>
    <w:p>
      <w:pPr>
        <w:spacing w:after="40" w:before="60"/>
        <w:jc w:val="left"/>
      </w:pPr>
      <w:r>
        <w:rPr>
          <w:rFonts w:ascii="Arial" w:cs="Arial" w:eastAsia="Arial" w:hAnsi="Arial"/>
          <w:b w:val="false"/>
          <w:bCs w:val="false"/>
          <w:i w:val="false"/>
          <w:iCs w:val="false"/>
          <w:color w:val="1A1A1A"/>
          <w:sz w:val="20"/>
          <w:szCs w:val="20"/>
        </w:rPr>
        <w:t xml:space="preserve">This assessment evaluated all 93 controls of ISO 27001:2022 Annex A, organised across four control themes: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Organisational Controls (A.5) — 37 controls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People Controls (A.6) — 8 controls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Physical Controls (A.7) — 14 controls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Technological Controls (A.8) — 34 controls</w:t>
      </w:r>
    </w:p>
    <w:p>
      <w:pPr>
        <w:spacing w:after="60" w:before="60"/>
        <w:jc w:val="left"/>
      </w:pPr>
      <w:r>
        <w:rPr>
          <w:rFonts w:ascii="Arial" w:cs="Arial" w:eastAsia="Arial" w:hAnsi="Arial"/>
          <w:b w:val="false"/>
          <w:bCs w:val="false"/>
          <w:i w:val="false"/>
          <w:iCs w:val="false"/>
          <w:color w:val="1A1A1A"/>
          <w:sz w:val="20"/>
          <w:szCs w:val="20"/>
        </w:rPr>
        <w:t xml:space="preserve">In addition to the Annex A controls, the assessment reviewed Medlink's readiness against the mandatory clauses of ISO 27001:2022 (Clauses 4–10), including context of the organisation, leadership commitment, planning (risk assessment and treatment), support, operational planning and control, performance evaluation, and continual improvement.</w:t>
      </w:r>
    </w:p>
    <w:p>
      <w:pPr>
        <w:pStyle w:val="Heading2"/>
        <w:spacing w:after="80" w:before="200"/>
      </w:pPr>
      <w:r>
        <w:rPr>
          <w:rFonts w:ascii="Arial" w:cs="Arial" w:eastAsia="Arial" w:hAnsi="Arial"/>
          <w:b/>
          <w:bCs/>
          <w:i w:val="false"/>
          <w:iCs w:val="false"/>
          <w:color w:val="1B2A4A"/>
          <w:sz w:val="22"/>
          <w:szCs w:val="22"/>
        </w:rPr>
        <w:t xml:space="preserve">2.2  Methodology</w:t>
      </w:r>
    </w:p>
    <w:p>
      <w:pPr>
        <w:spacing w:after="40" w:before="60"/>
        <w:jc w:val="left"/>
      </w:pPr>
      <w:r>
        <w:rPr>
          <w:rFonts w:ascii="Arial" w:cs="Arial" w:eastAsia="Arial" w:hAnsi="Arial"/>
          <w:b w:val="false"/>
          <w:bCs w:val="false"/>
          <w:i w:val="false"/>
          <w:iCs w:val="false"/>
          <w:color w:val="1A1A1A"/>
          <w:sz w:val="20"/>
          <w:szCs w:val="20"/>
        </w:rPr>
        <w:t xml:space="preserve">The assessment was conducted using the following evidence-gathering methods: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Document Review: Review of the draft Information Security Policy (September 2023 draft), data classification policy, incident log (Google Sheet), UK client service agreements, privacy notice, patient consent flow documentation, and the January 2024 VAPT report.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Management and Technical Interviews: Structured interviews conducted with the Chief Technology Officer, Head of Engineering, IT Operations Lead, and Head of Customer Success over the period 25–29 March 2024.</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AWS Configuration Review: Read-only review of CloudTrail event logs (90-day window), S3 bucket configurations and encryption settings (all 31 buckets), IAM roles and policies, and KMS key configurations.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GitHub Repository Audit: Review of the GitHub organisation audit log to identify secrets in version control. Two repositories identified as containing hardcoded credentials; findings communicated to the CTO on 28 March 2024.</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Azure Active Directory Review: Review of Conditional Access policies, MFA enforcement settings, user privilege assignments, and stale account management.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Privacy Flow Review: Manual walkthrough of the patient-facing mobile application registration and consent flow to assess compliance with consent requirements.</w:t>
      </w:r>
    </w:p>
    <w:p>
      <w:pPr>
        <w:spacing w:after="40" w:before="4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2.3  Rating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c>
          <w:tcPr>
            <w:tcW w:type="dxa" w:w="214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Rating</w:t>
            </w:r>
          </w:p>
        </w:tc>
        <w:tc>
          <w:tcPr>
            <w:tcW w:type="dxa" w:w="7602"/>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Definition</w:t>
            </w:r>
          </w:p>
        </w:tc>
      </w:tr>
      <w:tr>
        <w:tc>
          <w:tcPr>
            <w:tcW w:type="dxa" w:w="2144"/>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E8449"/>
                <w:sz w:val="20"/>
                <w:szCs w:val="20"/>
              </w:rPr>
              <w:t xml:space="preserve">Conformant</w:t>
            </w:r>
          </w:p>
        </w:tc>
        <w:tc>
          <w:tcPr>
            <w:tcW w:type="dxa" w:w="7602"/>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control is fully implemented and supported by documented evidence. No remediation required.</w:t>
            </w:r>
          </w:p>
        </w:tc>
      </w:tr>
      <w:tr>
        <w:tc>
          <w:tcPr>
            <w:tcW w:type="dxa" w:w="214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20"/>
                <w:szCs w:val="20"/>
              </w:rPr>
              <w:t xml:space="preserve">Partial</w:t>
            </w:r>
          </w:p>
        </w:tc>
        <w:tc>
          <w:tcPr>
            <w:tcW w:type="dxa" w:w="7602"/>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control is partially implemented or lacks documented evidence of consistent operation. Remediation required to achieve conformance.</w:t>
            </w:r>
          </w:p>
        </w:tc>
      </w:tr>
      <w:tr>
        <w:tc>
          <w:tcPr>
            <w:tcW w:type="dxa" w:w="214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Non-Conformant</w:t>
            </w:r>
          </w:p>
        </w:tc>
        <w:tc>
          <w:tcPr>
            <w:tcW w:type="dxa" w:w="7602"/>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control is absent, materially deficient, or the evidence provided demonstrates a fundamental failure. Major remediation required.</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2.4  Finding Severity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5848"/>
      </w:tblGrid>
      <w:tr>
        <w:tc>
          <w:tcPr>
            <w:tcW w:type="dxa" w:w="175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Severity</w:t>
            </w:r>
          </w:p>
        </w:tc>
        <w:tc>
          <w:tcPr>
            <w:tcW w:type="dxa" w:w="214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Risk Score</w:t>
            </w:r>
          </w:p>
        </w:tc>
        <w:tc>
          <w:tcPr>
            <w:tcW w:type="dxa" w:w="584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Definition</w:t>
            </w:r>
          </w:p>
        </w:tc>
      </w:tr>
      <w:tr>
        <w:tc>
          <w:tcPr>
            <w:tcW w:type="dxa" w:w="175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20"/>
                <w:szCs w:val="20"/>
              </w:rPr>
              <w:t xml:space="preserve">Critical</w:t>
            </w:r>
          </w:p>
        </w:tc>
        <w:tc>
          <w:tcPr>
            <w:tcW w:type="dxa" w:w="214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20–25</w:t>
            </w:r>
          </w:p>
        </w:tc>
        <w:tc>
          <w:tcPr>
            <w:tcW w:type="dxa" w:w="584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Fundamental control failure with direct regulatory exposure, live risk, or material potential for patient data breach. Requires immediate escalation and remediation.</w:t>
            </w:r>
          </w:p>
        </w:tc>
      </w:tr>
      <w:tr>
        <w:tc>
          <w:tcPr>
            <w:tcW w:type="dxa" w:w="175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High</w:t>
            </w:r>
          </w:p>
        </w:tc>
        <w:tc>
          <w:tcPr>
            <w:tcW w:type="dxa" w:w="214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12–19</w:t>
            </w:r>
          </w:p>
        </w:tc>
        <w:tc>
          <w:tcPr>
            <w:tcW w:type="dxa" w:w="584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Significant control gap that materially increases the organisation's risk profile. Structured remediation required within 90 days.</w:t>
            </w:r>
          </w:p>
        </w:tc>
      </w:tr>
      <w:tr>
        <w:tc>
          <w:tcPr>
            <w:tcW w:type="dxa" w:w="175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20"/>
                <w:szCs w:val="20"/>
              </w:rPr>
              <w:t xml:space="preserve">Medium</w:t>
            </w:r>
          </w:p>
        </w:tc>
        <w:tc>
          <w:tcPr>
            <w:tcW w:type="dxa" w:w="214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6–11</w:t>
            </w:r>
          </w:p>
        </w:tc>
        <w:tc>
          <w:tcPr>
            <w:tcW w:type="dxa" w:w="584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Control deficiency that, while not immediately critical, requires remediation within the programme timeline. To be addressed in Phase 2.</w:t>
            </w:r>
          </w:p>
        </w:tc>
      </w:tr>
      <w:tr>
        <w:tc>
          <w:tcPr>
            <w:tcW w:type="dxa" w:w="1754"/>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E8449"/>
                <w:sz w:val="20"/>
                <w:szCs w:val="20"/>
              </w:rPr>
              <w:t xml:space="preserve">Low</w:t>
            </w:r>
          </w:p>
        </w:tc>
        <w:tc>
          <w:tcPr>
            <w:tcW w:type="dxa" w:w="2144"/>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1–5</w:t>
            </w:r>
          </w:p>
        </w:tc>
        <w:tc>
          <w:tcPr>
            <w:tcW w:type="dxa" w:w="5848"/>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Minor observation or enhancement opportunity. No findings at this rating were identified in this assessment.</w:t>
            </w:r>
          </w:p>
        </w:tc>
      </w:tr>
    </w:tbl>
    <w:p>
      <w:pPr>
        <w:pStyle w:val="Heading1"/>
        <w:pageBreakBefore/>
        <w:spacing w:after="120" w:before="280"/>
      </w:pPr>
      <w:r>
        <w:rPr>
          <w:rFonts w:ascii="Arial" w:cs="Arial" w:eastAsia="Arial" w:hAnsi="Arial"/>
          <w:b/>
          <w:bCs/>
          <w:i w:val="false"/>
          <w:iCs w:val="false"/>
          <w:color w:val="1B2A4A"/>
          <w:sz w:val="26"/>
          <w:szCs w:val="26"/>
        </w:rPr>
        <w:t xml:space="preserve">3.  Conformance Overview by Control Theme</w:t>
      </w:r>
    </w:p>
    <w:p>
      <w:pPr>
        <w:spacing w:after="60" w:before="60"/>
        <w:jc w:val="left"/>
      </w:pPr>
      <w:r>
        <w:rPr>
          <w:rFonts w:ascii="Arial" w:cs="Arial" w:eastAsia="Arial" w:hAnsi="Arial"/>
          <w:b w:val="false"/>
          <w:bCs w:val="false"/>
          <w:i w:val="false"/>
          <w:iCs w:val="false"/>
          <w:color w:val="1A1A1A"/>
          <w:sz w:val="20"/>
          <w:szCs w:val="20"/>
        </w:rPr>
        <w:t xml:space="preserve">The table below presents the conformance distribution across the four ISO 27001:2022 Annex A control themes. Detailed control-by-control findings are maintained in the Statement of Applicability (RCA-P2-005).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1364"/>
        <w:gridCol w:w="1364"/>
        <w:gridCol w:w="1364"/>
        <w:gridCol w:w="2243"/>
      </w:tblGrid>
      <w:tr>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Control Theme</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Total</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Conformant</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Partial</w:t>
            </w:r>
          </w:p>
        </w:tc>
        <w:tc>
          <w:tcPr>
            <w:tcW w:type="dxa" w:w="224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Non-Conformant</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Organisational Controls (A.5)</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37</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8449"/>
                <w:sz w:val="20"/>
                <w:szCs w:val="20"/>
              </w:rPr>
              <w:t xml:space="preserve">19</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D68910"/>
                <w:sz w:val="20"/>
                <w:szCs w:val="20"/>
              </w:rPr>
              <w:t xml:space="preserve">12</w:t>
            </w:r>
          </w:p>
        </w:tc>
        <w:tc>
          <w:tcPr>
            <w:tcW w:type="dxa" w:w="224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C0392B"/>
                <w:sz w:val="20"/>
                <w:szCs w:val="20"/>
              </w:rPr>
              <w:t xml:space="preserve">6</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People Controls (A.6)</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8</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8449"/>
                <w:sz w:val="20"/>
                <w:szCs w:val="20"/>
              </w:rPr>
              <w:t xml:space="preserve">3</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D68910"/>
                <w:sz w:val="20"/>
                <w:szCs w:val="20"/>
              </w:rPr>
              <w:t xml:space="preserve">3</w:t>
            </w:r>
          </w:p>
        </w:tc>
        <w:tc>
          <w:tcPr>
            <w:tcW w:type="dxa" w:w="224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C0392B"/>
                <w:sz w:val="20"/>
                <w:szCs w:val="20"/>
              </w:rPr>
              <w:t xml:space="preserve">2</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Physical Controls (A.7)</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14</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8449"/>
                <w:sz w:val="20"/>
                <w:szCs w:val="20"/>
              </w:rPr>
              <w:t xml:space="preserve">8</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D68910"/>
                <w:sz w:val="20"/>
                <w:szCs w:val="20"/>
              </w:rPr>
              <w:t xml:space="preserve">5</w:t>
            </w:r>
          </w:p>
        </w:tc>
        <w:tc>
          <w:tcPr>
            <w:tcW w:type="dxa" w:w="224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C0392B"/>
                <w:sz w:val="20"/>
                <w:szCs w:val="20"/>
              </w:rPr>
              <w:t xml:space="preserve">1</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Technological Controls (A.8)</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34</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E8449"/>
                <w:sz w:val="20"/>
                <w:szCs w:val="20"/>
              </w:rPr>
              <w:t xml:space="preserve">16</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D68910"/>
                <w:sz w:val="20"/>
                <w:szCs w:val="20"/>
              </w:rPr>
              <w:t xml:space="preserve">14</w:t>
            </w:r>
          </w:p>
        </w:tc>
        <w:tc>
          <w:tcPr>
            <w:tcW w:type="dxa" w:w="224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C0392B"/>
                <w:sz w:val="20"/>
                <w:szCs w:val="20"/>
              </w:rPr>
              <w:t xml:space="preserve">4</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TOTAL</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20"/>
                <w:szCs w:val="20"/>
              </w:rPr>
              <w:t xml:space="preserve">93</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E8449"/>
                <w:sz w:val="20"/>
                <w:szCs w:val="20"/>
              </w:rPr>
              <w:t xml:space="preserve">46</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20"/>
                <w:szCs w:val="20"/>
              </w:rPr>
              <w:t xml:space="preserve">34</w:t>
            </w:r>
          </w:p>
        </w:tc>
        <w:tc>
          <w:tcPr>
            <w:tcW w:type="dxa" w:w="224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20"/>
                <w:szCs w:val="20"/>
              </w:rPr>
              <w:t xml:space="preserve">13</w:t>
            </w:r>
          </w:p>
        </w:tc>
      </w:tr>
    </w:tbl>
    <w:p>
      <w:pPr>
        <w:spacing w:after="80" w:before="80"/>
      </w:pPr>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Organisational Controls (A.5) show the widest gap: 6 non-conformant controls reflect the absence of foundational governance instruments — principally the approved IS policy, risk assessment process, and supplier security framework. Technological Controls (A.8) have the highest absolute count of partial conformance (14 controls), driven primarily by inconsistencies in encryption implementation, access control configuration, and logging gaps. Physical Controls (A.7) perform relatively well — Medlink's AWS-primary architecture reduces the physical control surface, and badge-based office access is in place — however two physical control gaps (visitor log, server room CCTV) prevent full conformance. People Controls (A.6) are the most material concern proportionally: 2 non-conformant and 3 partial from 8 controls reflects systematic gaps in HR security practices and training.</w:t>
      </w:r>
    </w:p>
    <w:p>
      <w:pPr>
        <w:pStyle w:val="Heading1"/>
        <w:pageBreakBefore/>
        <w:spacing w:after="120" w:before="280"/>
      </w:pPr>
      <w:r>
        <w:rPr>
          <w:rFonts w:ascii="Arial" w:cs="Arial" w:eastAsia="Arial" w:hAnsi="Arial"/>
          <w:b/>
          <w:bCs/>
          <w:i w:val="false"/>
          <w:iCs w:val="false"/>
          <w:color w:val="1B2A4A"/>
          <w:sz w:val="26"/>
          <w:szCs w:val="26"/>
        </w:rPr>
        <w:t xml:space="preserve">4.  Detailed Findings</w:t>
      </w:r>
    </w:p>
    <w:p>
      <w:pPr>
        <w:spacing w:after="60" w:before="60"/>
        <w:jc w:val="left"/>
      </w:pPr>
      <w:r>
        <w:rPr>
          <w:rFonts w:ascii="Arial" w:cs="Arial" w:eastAsia="Arial" w:hAnsi="Arial"/>
          <w:b w:val="false"/>
          <w:bCs w:val="false"/>
          <w:i w:val="false"/>
          <w:iCs w:val="false"/>
          <w:color w:val="1A1A1A"/>
          <w:sz w:val="20"/>
          <w:szCs w:val="20"/>
        </w:rPr>
        <w:t xml:space="preserve">This section presents the detailed findings from the ISO 27001:2022 gap assessment, organised by severity rating. Each finding includes the specific control reference(s), an observation based on evidence gathered during the assessment, the risk and impact analysis, and the recommended remediation action.</w:t>
      </w:r>
    </w:p>
    <w:p>
      <w:pPr>
        <w:pStyle w:val="Heading2"/>
        <w:spacing w:after="80" w:before="200"/>
      </w:pPr>
      <w:r>
        <w:rPr>
          <w:rFonts w:ascii="Arial" w:cs="Arial" w:eastAsia="Arial" w:hAnsi="Arial"/>
          <w:b/>
          <w:bCs/>
          <w:i w:val="false"/>
          <w:iCs w:val="false"/>
          <w:color w:val="1B2A4A"/>
          <w:sz w:val="22"/>
          <w:szCs w:val="22"/>
        </w:rPr>
        <w:t xml:space="preserve">4.1  Critical Findings</w:t>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F-001  </w:t>
            </w:r>
            <w:r>
              <w:rPr>
                <w:rFonts w:ascii="Arial" w:cs="Arial" w:eastAsia="Arial" w:hAnsi="Arial"/>
                <w:b/>
                <w:bCs/>
                <w:i w:val="false"/>
                <w:iCs w:val="false"/>
                <w:color w:val="FFFFFF"/>
                <w:sz w:val="20"/>
                <w:szCs w:val="20"/>
              </w:rPr>
              <w:t xml:space="preserve">No Approved Information Security Policy</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A.5.1</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An Information Security Policy is a mandatory control under ISO 27001:2022 Annex A (A.5.1) and a foundational requirement of the ISMS under Clause 5.2. Medlink has a draft IS policy document — last edited September 2023 — but it has never been approved by executive management, communicated to staff, or formally reviewed. The draft document references ISO 27001:2013 throughout, predating the current standard. In the absence of an approved policy, there is no governance instrument establishing management's direction on information security, assigning accountability, or articulating the scope of the ISMS.</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Without an approved IS policy, the ISMS has no governance anchor. All subordinate policies, procedures, and controls lack authorisation. A certification body conducting a Stage 1 review would treat this as a major non-conformance. The gap also undermines accountability: in the event of a data breach, the absence of an approved policy makes it difficult to demonstrate management commitment, which is a relevant consideration under both UK GDPR Article 5(2) (accountability principle) and DPDP Act Section 8 obligations of Data Fiduciaries.</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Update the draft IS policy to reference ISO 27001:2022 and reflect Medlink's current operational context, including the AWS and Azure AD environment, the healthtech data classification requirements, and the dual GDPR/DPDP regulatory scope. Obtain formal approval from the Board or equivalent executive authority. Communicate the approved policy to all staff and embed it in the employee onboarding process. Schedule annual review with a defined owner (recommended: CTO).</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F-002  </w:t>
            </w:r>
            <w:r>
              <w:rPr>
                <w:rFonts w:ascii="Arial" w:cs="Arial" w:eastAsia="Arial" w:hAnsi="Arial"/>
                <w:b/>
                <w:bCs/>
                <w:i w:val="false"/>
                <w:iCs w:val="false"/>
                <w:color w:val="FFFFFF"/>
                <w:sz w:val="20"/>
                <w:szCs w:val="20"/>
              </w:rPr>
              <w:t xml:space="preserve">Production Credentials Hardcoded in GitHub Repositories — LIVE RISK</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A.8.25 / A.8.29</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During review of the GitHub organisation audit log on 28 March 2024, two legacy private repositories were identified containing hardcoded credentials in source code. Repository 1 contained an AWS IAM access key pair (Access Key ID and Secret Access Key) with programmatic access to the production AWS environment. Repository 2 contained a Twilio API token used for SMS-based OTP delivery to patients. Both credentials were confirmed active at the time of identification. The finding was immediately communicated to the CTO on 28 March 2024. No secrets scanning tooling (e.g. GitGuardian, AWS Secrets Manager rotation, GitHub secret scanning) is in place across the organisation's repositories. This finding maps to A.8.25 (Secure development life cycle) — specifically the absence of secure coding standards prohibiting secrets in source code — and A.8.29 (Security testing in development and acceptance), which requires security testing prior to deployment, including secrets detection.</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Hardcoded production credentials in a version-controlled repository represent an unacceptable live risk. Any developer with read access to either repository can extract and use the credentials to: access the AWS production environment with IAM permissions (scope of access dependent on the key's attached policies); send SMS messages on behalf of Medlink via Twilio, including to patients. Repository access logs cannot guarantee that the credentials have not already been extracted by a current or former developer. This finding carries a risk score of 20 (Likelihood 4 x Impact 5) and is classified as a live risk requiring immediate action outside the normal remediation programme timeline.</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IMMEDIATE ACTIONS (within 48 hours): (1) Rotate the AWS IAM access key pair identified in Repository 1 — generate a new key pair, update all dependent services, then deactivate and delete the old key. (2) Regenerate the Twilio API token in Repository 2 and update the application configuration. (3) Review AWS CloudTrail logs for the exposed key to identify any unauthorised usage in the past 90 days. FOLLOW-UP ACTIONS (within 30 days): Implement AWS Secrets Manager for all production credentials with automated rotation. Enable GitHub secret scanning across all repositories. Establish a secure coding standard explicitly prohibiting hardcoded secrets. Include secrets detection in the CI/CD pipeline as a pre-merge gate.</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F-003  </w:t>
            </w:r>
            <w:r>
              <w:rPr>
                <w:rFonts w:ascii="Arial" w:cs="Arial" w:eastAsia="Arial" w:hAnsi="Arial"/>
                <w:b/>
                <w:bCs/>
                <w:i w:val="false"/>
                <w:iCs w:val="false"/>
                <w:color w:val="FFFFFF"/>
                <w:sz w:val="20"/>
                <w:szCs w:val="20"/>
              </w:rPr>
              <w:t xml:space="preserve">No Formal Information Security Risk Assessment Process</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Clause 6.1.2 / A.5.7</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ISO 27001:2022 Clause 6.1.2 requires the organisation to define and apply an information security risk assessment process that: establishes and maintains risk acceptance criteria; identifies risks associated with the loss of confidentiality, integrity, and availability of information within scope; analyses and evaluates identified risks against defined criteria; and produces documented results. No such process exists at Medlink. The CTO described maintaining an informal awareness of top risks but acknowledged no documented risk register, no defined likelihood or impact scoring methodology, and no formal risk treatment decisions. The January 2024 VAPT report identifies technical vulnerabilities but does not constitute an ISMS risk assessment. Additionally, A.5.7 (Threat intelligence) is non-conformant — no process exists for gathering or acting on threat intelligence relevant to Medlink's sector.</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absence of a formal risk assessment process has three direct consequences. First, Medlink cannot demonstrate to a certification body or regulator that its controls are commensurate with the risks it faces — a fundamental requirement of the standard. Second, for UK GDPR purposes, Article 35 requires a Data Protection Impact Assessment (DPIA) for large-scale processing of special category data; the DPIA methodology is risk-assessment-based, and without a risk assessment framework, the DPIA cannot be properly conducted. Third, without documented risk treatment decisions, there is no evidence that management has made informed choices about which risks to accept, treat, transfer, or avoid — meaning there is no defensible basis for the current control posture.</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Define and document a formal IS risk assessment methodology, including: a risk identification process linked to the asset register (noting A.5.9 — Inventory of Information and Other Associated Assets, currently Partial); a Likelihood x Impact scoring matrix (1–5 scale) with defined rating bands (Critical 20–25, High 12–19, Medium 6–11, Low 1–5); a risk register template with fields for risk ID, description, asset, threat, vulnerability, inherent score, treatment decision, control reference, residual score, and owner. Conduct the initial risk assessment as a facilitated workshop with the CTO and Heads of Engineering and IT Operations. Document, approve, and review the risk register at least annually and upon material change.</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F-004  </w:t>
            </w:r>
            <w:r>
              <w:rPr>
                <w:rFonts w:ascii="Arial" w:cs="Arial" w:eastAsia="Arial" w:hAnsi="Arial"/>
                <w:b/>
                <w:bCs/>
                <w:i w:val="false"/>
                <w:iCs w:val="false"/>
                <w:color w:val="FFFFFF"/>
                <w:sz w:val="20"/>
                <w:szCs w:val="20"/>
              </w:rPr>
              <w:t xml:space="preserve">Inconsistent Encryption of Patient Health Data at Rest in AWS S3</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Critical</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A.8.24</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uses Amazon S3 for the storage of patient health data, including diagnostic attachments (lab reports, radiology imaging files) and exported data records. A review of all 31 S3 buckets in the Medlink AWS account revealed that 14 buckets do not have server-side encryption enforced via bucket policy. Of these 14 buckets, seven are confirmed to contain patient diagnostic attachments categorised as 'Restricted' under Medlink's data classification scheme. Encryption is applied to some objects at the object level by the application, but this is inconsistent and not enforced by bucket-level policy — meaning objects can be written to these buckets without encryption if the application layer fails to apply it. AWS KMS Customer Managed Keys (CMKs) are in use for the 17 buckets that do enforce encryption; however, as noted in F-011, no key management policy or rotation schedule exists. A.8.24 (Use of cryptography) requires that cryptographic controls be applied based on a cryptographic policy, consistently with the classification of the information being protected.</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Patient diagnostic data stored in unencrypted or inconsistently encrypted S3 buckets is exposed to unauthorised access in the event of misconfigured bucket permissions, IAM policy errors, or AWS account compromise. Given that the data includes special category health information (diagnoses, lab results, imaging) of both UK and Indian patients, a breach of this data would trigger notification obligations under UK GDPR Article 33 and DPDP Act Section 8(6), and carry significant reputational risk for Medlink and its healthcare clients. Risk score: Likelihood 4 x Impact 5 = 20 (Critical).</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Apply an S3 bucket policy to all 31 Medlink S3 buckets denying the s3:PutObject action unless the request includes server-side encryption headers (aws:kms enforcement). This is a single-line policy change per bucket and can be deployed via AWS Config rule or IaC (Terraform/CloudFormation). Ensure all 14 non-compliant buckets are remediated as a priority. Conduct a retroactive encryption sweep of existing unencrypted objects using S3 Batch Operations. Update the data classification policy to explicitly require SSE-KMS for all Restricted data stored in S3. Address key management gaps (F-011) concurrently — enforce CMK rotation on all KMS keys with a 12-month rotation schedule.</w:t>
            </w:r>
          </w:p>
        </w:tc>
      </w:tr>
    </w:tbl>
    <w:p>
      <w:pPr>
        <w:spacing w:after="40" w:before="4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4.2  High Findings</w:t>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F-005  </w:t>
            </w:r>
            <w:r>
              <w:rPr>
                <w:rFonts w:ascii="Arial" w:cs="Arial" w:eastAsia="Arial" w:hAnsi="Arial"/>
                <w:b/>
                <w:bCs/>
                <w:i w:val="false"/>
                <w:iCs w:val="false"/>
                <w:color w:val="FFFFFF"/>
                <w:sz w:val="20"/>
                <w:szCs w:val="20"/>
              </w:rPr>
              <w:t xml:space="preserve">No Vendor Security Assessment for Third-Party Lab Integrations</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A.5.19 / A.5.20</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Medlink's EMR platform integrates with seven external diagnostic laboratory systems via HL7/FHIR APIs. These integrations transmit patient results — including pathology, haematology, and radiology reports — directly into the Medlink platform in near real-time. Review of the supplier management process revealed that no security assessment, due diligence questionnaire, or contractual data processing agreement has been executed with any of the seven lab integration partners. The integrations were established on a technical basis (API key exchange) with no formal vendor onboarding process. A.5.19 (Information security in supplier relationships) requires that information security requirements are agreed with suppliers and reflected in formal agreements. A.5.20 (Addressing information security within supplier agreements) requires written agreements including security controls, access rights, and audit rights.</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seven lab integration partners collectively transmit PHI for a significant volume of the patient records managed on the Medlink platform. In the absence of contractual security obligations, Medlink has no visibility into the security posture of these partners, no right to audit, and no recourse in the event of a security incident originating at a lab integration partner that results in patient data exposure. Under UK GDPR, each lab partner processing UK patient data on Medlink's behalf requires a written Article 28 processor agreement. Under DPDP Act Section 8(5), a Data Fiduciary must ensure that any data processor engaged by it provides adequate security safeguards. Risk score: Likelihood 3 x Impact 5 = 15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Develop a supplier security assessment framework as a standard third-party onboarding requirement. Immediately initiate contact with all seven lab integration partners to: (1) execute Data Processing Agreements (for UK patient data) and/or data processing clauses as required under DPDP Act; (2) complete a security questionnaire covering their information security controls, certification status, breach notification procedures, and sub-processor arrangements. Establish an annual supplier review process. Prioritise partners handling the highest volume of patient data and those receiving UK patient results.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F-006  </w:t>
            </w:r>
            <w:r>
              <w:rPr>
                <w:rFonts w:ascii="Arial" w:cs="Arial" w:eastAsia="Arial" w:hAnsi="Arial"/>
                <w:b/>
                <w:bCs/>
                <w:i w:val="false"/>
                <w:iCs w:val="false"/>
                <w:color w:val="FFFFFF"/>
                <w:sz w:val="20"/>
                <w:szCs w:val="20"/>
              </w:rPr>
              <w:t xml:space="preserve">No Documented Incident Response Procedure</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A.5.24 / A.5.25 / A.5.26</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Non-Conformant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maintains an informal incident log in a shared Google Sheet. There is no documented incident response procedure, no defined incident classification criteria, no escalation matrix, and no defined response timelines. Management interviews confirmed that in the event of a suspected breach, the current approach would be to escalate to the CTO informally. There is no documented procedure for notifying regulatory authorities, affected data subjects, or healthcare clients. A.5.24 (Information security incident management planning and preparation) requires a documented IR plan. A.5.25 (Assessment and decision on information security events) requires defined classification and escalation criteria. A.5.26 (Response to information security incidents) requires a formal response procedure with defined roles and timelines.</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absence of a documented IR procedure means Medlink cannot meet its breach notification obligations under UK GDPR Article 33 (72-hour notification to ICO upon becoming aware of a breach affecting UK data subjects) or DPDP Act Section 8(6) (notification to the Data Protection Board). A single breach affecting both UK and Indian patients would simultaneously trigger both notification tracks with different recipients and potentially different timelines. Without a procedure, each incident response is improvised, increasing the likelihood of missed notification deadlines, regulatory penalties, and loss of client confidence. Risk score: Likelihood 3 x Impact 5 = 15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Develop a documented Information Security Incident Response Procedure covering: incident definition and classification criteria (breach, security event, near-miss); escalation matrix (who to notify internally at each severity level); regulatory notification obligations and timelines (72 hours to ICO for UK GDPR; DPB notification for DPDP); data subject notification procedure and template; client notification procedure (for healthcare clients whose patient data is involved); post-incident review process. Assign a named Incident Response Lead. Conduct a tabletop exercise within 90 days of procedure approval.</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F-007  </w:t>
            </w:r>
            <w:r>
              <w:rPr>
                <w:rFonts w:ascii="Arial" w:cs="Arial" w:eastAsia="Arial" w:hAnsi="Arial"/>
                <w:b/>
                <w:bCs/>
                <w:i w:val="false"/>
                <w:iCs w:val="false"/>
                <w:color w:val="FFFFFF"/>
                <w:sz w:val="20"/>
                <w:szCs w:val="20"/>
              </w:rPr>
              <w:t xml:space="preserve">Security Awareness Training — No Annual Refresh Programme</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A.6.3</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Security awareness training is conducted once at employee onboarding for all staff. No annual refresh training programme exists. The onboarding training was last reviewed in 2022 and does not cover: phishing simulation or awareness; data classification requirements under the current four-tier scheme; patient data handling obligations under DPDP Act 2023 (enacted August 2023); social engineering threat scenarios relevant to the healthcare sector. A.6.3 (Information security awareness, education and training) requires that relevant persons receive appropriate awareness education and training on an ongoing basis. The engineering team (60 staff with direct access to PHI systems) is of particular concern — no developer security training (secure coding, secrets management, OWASP Top 10 for healthcare APIs) has been conducted.</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Phishing and social engineering remain the primary initial access vectors in healthcare sector breaches globally. A workforce that received its last security training in 2022 has not been updated on the DPDP Act, the updated data classification scheme, or current threat scenarios. The direct link between this gap and F-002 (hardcoded credentials) is notable — a secure coding culture, if in place, would likely have prevented that finding. Risk score: Likelihood 4 x Impact 3 = 12 (High).</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Design and implement a tiered annual security awareness training programme: (1) All-staff programme covering data classification, patient data handling, phishing awareness, incident reporting, and DPDP Act obligations; (2) Engineering-specific programme covering secure coding standards, OWASP API Security Top 10, secrets management, and secure SDLC (addressing A.8.25/A.8.29 gaps). Conduct phishing simulation exercises quarterly. Track completion rates by department. Refresh content at least annually and upon material regulatory change (e.g. DPDP Act rules notification).</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F-008  </w:t>
            </w:r>
            <w:r>
              <w:rPr>
                <w:rFonts w:ascii="Arial" w:cs="Arial" w:eastAsia="Arial" w:hAnsi="Arial"/>
                <w:b/>
                <w:bCs/>
                <w:i w:val="false"/>
                <w:iCs w:val="false"/>
                <w:color w:val="FFFFFF"/>
                <w:sz w:val="20"/>
                <w:szCs w:val="20"/>
              </w:rPr>
              <w:t xml:space="preserve">Physical Security — No Visitor Log; No Server Room CCTV</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A.7.2 / A.7.4</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Medlink Mumbai office (Powai) uses badge-based physical access control for staff. However: (1) No visitor log is maintained at reception. Visitors are escorted by staff but their identity, purpose, host, and entry/exit times are not recorded. (2) The on-premise server room, which houses backup tape drives for the AWS Mumbai environment, has no CCTV coverage. A physical access observation during the site walkthrough confirmed that the server room door is badge-controlled but the interior is unmonitored. A.7.2 (Physical entry controls) requires visitor management procedures including identification, logging, and escort requirements. A.7.4 (Physical security monitoring) requires physical security monitoring of sensitive areas.</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absence of a visitor log means there is no audit trail of who has accessed the Medlink office. In a security incident investigation, this gap eliminates the possibility of correlating physical access with system events. The server room CCTV gap means that unauthorised physical access to backup infrastructure — whether by a visitor, a contractor, or a rogue insider — would leave no visual evidence. While the primary data environment is cloud-hosted, the on-premise backup infrastructure contains copies of patient health data. Risk score: Likelihood 2 x Impact 4 = 8 (Medium — elevated to High given data sensitivity).</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Implement a physical visitor management procedure: maintain a signed visitor log at reception capturing visitor name, organisation, purpose, host employee, entry time, and exit time. Brief reception staff on the procedure. Install CCTV coverage in the server room with footage retained for a minimum of 90 days. Ensure footage is accessible only to authorised IT management. Review physical access logs quarterly for anomalies.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F-009  </w:t>
            </w:r>
            <w:r>
              <w:rPr>
                <w:rFonts w:ascii="Arial" w:cs="Arial" w:eastAsia="Arial" w:hAnsi="Arial"/>
                <w:b/>
                <w:bCs/>
                <w:i w:val="false"/>
                <w:iCs w:val="false"/>
                <w:color w:val="FFFFFF"/>
                <w:sz w:val="20"/>
                <w:szCs w:val="20"/>
              </w:rPr>
              <w:t xml:space="preserve">Pre-Employment Background Screening Not Consistently Applied</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High</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A.6.1</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Pre-employment background screening is conducted for staff hired through a specific third-party staffing agency but is not consistently applied to directly hired employees. Of the 60 engineers in the development team, 34 were directly hired by Medlink. Confirmed on interview with the Head of HR: none of the 34 directly hired engineers have a background verification record on file. No screening requirement is documented in the HR onboarding process for direct hires. A.6.1 (Screening) requires that background verification checks are conducted for all candidates commensurate with the classification of information they will access and applicable laws. Engineers with access to PHI systems are accessing information classified as 'Restricted' — the highest tier under Medlink's classification scheme.</w:t>
            </w:r>
          </w:p>
        </w:tc>
      </w:tr>
      <w:tr>
        <w:tc>
          <w:tcPr>
            <w:tcW w:type="dxa" w:w="272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Engineers without background screening have privileged access to the Medlink EMR platform, including the ability to query patient records databases, deploy code to production, and access AWS infrastructure. The absence of screening for 57% of the engineering team represents a significant insider threat exposure. In the event of a breach attributable to a member of this group, Medlink would be unable to demonstrate due diligence in personnel security — relevant to regulatory assessments under both UK GDPR and DPDP Act. Risk score: Likelihood 2 x Impact 5 = 10 (Medium — elevated to High given privileged access scope).</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Implement a mandatory background screening policy requiring verification for all new hires accessing 'Restricted' or 'Confidential' information, regardless of hiring channel. Screening should include: identity verification, employment history verification (3 years), and criminal record check (where legally permissible in the candidate's jurisdiction). For existing directly hired engineers (34 individuals), initiate a retrospective screening programme within 90 days, with any refusals escalated to the CTO. Embed the requirement in the HR onboarding process and contracts of employment.</w:t>
            </w:r>
          </w:p>
        </w:tc>
      </w:tr>
    </w:tbl>
    <w:p>
      <w:pPr>
        <w:spacing w:after="40" w:before="4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4.3  Medium Findings</w:t>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F-010  </w:t>
            </w:r>
            <w:r>
              <w:rPr>
                <w:rFonts w:ascii="Arial" w:cs="Arial" w:eastAsia="Arial" w:hAnsi="Arial"/>
                <w:b/>
                <w:bCs/>
                <w:i w:val="false"/>
                <w:iCs w:val="false"/>
                <w:color w:val="FFFFFF"/>
                <w:sz w:val="20"/>
                <w:szCs w:val="20"/>
              </w:rPr>
              <w:t xml:space="preserve">Data Classification Policy Not Operationally Enforced</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A.5.12 / A.5.13</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has a four-tier data classification scheme (Public, Internal, Confidential, Restricted) documented in a policy. However, the classification is not systematically applied in practice. Assessment observations: patient health data stored in S3 buckets is unlabelled at the object level in 23 of 31 buckets; data exported to CSV for reporting purposes by the analytics team carries no classification marking; internal emails containing patient-linked information are not labelled. The policy assigns 'Restricted' classification to PHI but provides no tooling, label templates, or enforcement mechanism to operationalise this. A.5.12 (Classification of information) requires information to be classified according to legal, value, and sensitivity criteria. A.5.13 (Labelling of information) requires labelling procedures to be implemented and applied.</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Without operational enforcement of data classification, the organisation cannot systematically apply controls commensurate with data sensitivity. This directly contributed to F-004 (unencrypted S3 buckets containing Restricted-classified PHI) — the gap in classification enforcement meant that bucket configurations were not matched to the classification of their contents. Risk score: Likelihood 4 x Impact 3 = 12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Operationalise the data classification scheme by: defining explicit handling requirements for each tier (where to store, how to transmit, encryption requirements, retention, disposal); implementing S3 object tagging for data classification (aws:classification tag); establishing a labelling requirement for internal documents and emails containing Restricted or Confidential data; training staff on the classification scheme as part of the revised awareness programme (F-007). Review classification assignments for all primary data stores.</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F-011  </w:t>
            </w:r>
            <w:r>
              <w:rPr>
                <w:rFonts w:ascii="Arial" w:cs="Arial" w:eastAsia="Arial" w:hAnsi="Arial"/>
                <w:b/>
                <w:bCs/>
                <w:i w:val="false"/>
                <w:iCs w:val="false"/>
                <w:color w:val="FFFFFF"/>
                <w:sz w:val="20"/>
                <w:szCs w:val="20"/>
              </w:rPr>
              <w:t xml:space="preserve">No Cryptographic Key Management Policy; Keys Never Rotated</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A.8.24</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AWS KMS Customer Managed Keys (CMKs) are used for encryption of the 17 S3 buckets that do enforce encryption (see F-004). Three CMKs are in use across the Medlink AWS account. Review of the KMS key metadata confirmed: (1) all three CMKs were created in 2019 when the account was established; (2) automatic key rotation is disabled on all three CMKs; (3) no key management policy document exists covering key generation, storage, rotation, or destruction lifecycle. A.8.24 (Use of cryptography) requires a cryptographic policy to be defined and implemented covering key management across the full key lifecycle.</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KMS CMKs that have never been rotated since 2019 represent a long-exposure cryptographic risk. If the key material were compromised through a cryptographic attack or an AWS account-level breach, all data encrypted under those keys since 2019 would be at risk of decryption. While AWS KMS provides strong key isolation, best practice (and the AWS security baseline) recommends annual key rotation. Risk score: Likelihood 2 x Impact 4 = 8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Enable automatic annual key rotation on all three KMS CMKs. Note: for CMKs created before automatic rotation, the current key material is retained for decryption of existing data but new data is encrypted with the rotated key material — no re-encryption of existing data is required. Document a cryptographic key management policy covering: key generation standards (AWS KMS, minimum 256-bit AES); rotation schedule (annual minimum); key access controls (least privilege IAM policies); key deletion procedure (7-day minimum waiting period). Assign a named key custodian.</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F-012  </w:t>
            </w:r>
            <w:r>
              <w:rPr>
                <w:rFonts w:ascii="Arial" w:cs="Arial" w:eastAsia="Arial" w:hAnsi="Arial"/>
                <w:b/>
                <w:bCs/>
                <w:i w:val="false"/>
                <w:iCs w:val="false"/>
                <w:color w:val="FFFFFF"/>
                <w:sz w:val="20"/>
                <w:szCs w:val="20"/>
              </w:rPr>
              <w:t xml:space="preserve">Application-Level Audit Logging Not Implemented</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A.8.15</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AWS CloudTrail provides infrastructure-level logging of API calls, console access, and resource changes across the Medlink AWS account. However, no application-level audit logging is implemented in the Medlink EMR application. Specifically: (1) The EMR application does not log which user accessed which patient record, when, and from which session. (2) Database query logging is disabled by default in the Amazon RDS PostgreSQL instance used by the EMR platform (confirmed via RDS parameter group review — log_statement is set to 'none'). (3) No SIEM or centralised log aggregation platform is in place. A.8.15 (Logging) requires event logs recording user activities, exceptions, faults, and security events to be produced, protected, and retained.</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absence of application-level audit logging means Medlink cannot answer the fundamental question in any breach investigation: who accessed which patient record? In the event of a suspected insider threat or external breach, there is no application-level evidence trail. This gap also directly impedes Medlink's ability to fulfil the accountability obligations under UK GDPR Article 5(2) — demonstrating compliance — and the Data Principal's right to know how their data has been processed. Risk score: Likelihood 3 x Impact 4 = 12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Implement application-level audit logging in the EMR platform to capture: user ID, session token, timestamp, action type (view, create, update, delete), and resource identifier (patient record ID) for every data access event. Enable RDS PostgreSQL query logging (set log_statement to 'ddl' minimum; 'all' for PHI tables). Implement centralised log aggregation (AWS CloudWatch Logs or equivalent). Define a log retention policy: minimum 12 months online, 3 years archived — consistent with healthcare sector expectations and MCI guidelines. Protect logs against tampering (CloudWatch log group permissions; CloudTrail log integrity validation).</w:t>
            </w:r>
          </w:p>
        </w:tc>
      </w:tr>
    </w:tbl>
    <w:p>
      <w:pPr>
        <w:spacing w:after="40" w:before="40"/>
      </w:pPr>
      <w:r>
        <w:rPr>
          <w:rFonts w:ascii="Arial" w:cs="Arial" w:eastAsia="Arial" w:hAnsi="Arial"/>
          <w:b w:val="false"/>
          <w:bCs w:val="false"/>
          <w:i w:val="false"/>
          <w:iCs w:val="false"/>
          <w:color w:val="1A1A1A"/>
          <w:sz w:val="20"/>
          <w:szCs w:val="20"/>
        </w:rPr>
        <w:t xml:space="preserve"/>
      </w:r>
    </w:p>
    <w:p>
      <w:pPr>
        <w:spacing w:after="40" w:before="4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20" w:before="60"/>
              <w:jc w:val="left"/>
            </w:pPr>
            <w:r>
              <w:rPr>
                <w:rFonts w:ascii="Arial" w:cs="Arial" w:eastAsia="Arial" w:hAnsi="Arial"/>
                <w:b/>
                <w:bCs/>
                <w:i w:val="false"/>
                <w:iCs w:val="false"/>
                <w:color w:val="FFFFFF"/>
                <w:sz w:val="22"/>
                <w:szCs w:val="22"/>
              </w:rPr>
              <w:t xml:space="preserve">F-013  </w:t>
            </w:r>
            <w:r>
              <w:rPr>
                <w:rFonts w:ascii="Arial" w:cs="Arial" w:eastAsia="Arial" w:hAnsi="Arial"/>
                <w:b/>
                <w:bCs/>
                <w:i w:val="false"/>
                <w:iCs w:val="false"/>
                <w:color w:val="FFFFFF"/>
                <w:sz w:val="20"/>
                <w:szCs w:val="20"/>
              </w:rPr>
              <w:t xml:space="preserve">Mobile Application — No Certificate Pinning</w:t>
            </w:r>
          </w:p>
          <w:p>
            <w:pPr>
              <w:spacing w:after="60" w:before="0"/>
              <w:jc w:val="left"/>
            </w:pPr>
            <w:r>
              <w:rPr>
                <w:rFonts w:ascii="Arial" w:cs="Arial" w:eastAsia="Arial" w:hAnsi="Arial"/>
                <w:b w:val="false"/>
                <w:bCs w:val="false"/>
                <w:i w:val="false"/>
                <w:iCs w:val="false"/>
                <w:color w:val="EEF1F7"/>
                <w:sz w:val="18"/>
                <w:szCs w:val="18"/>
              </w:rPr>
              <w:t xml:space="preserve">Severity: </w:t>
            </w:r>
            <w:r>
              <w:rPr>
                <w:rFonts w:ascii="Arial" w:cs="Arial" w:eastAsia="Arial" w:hAnsi="Arial"/>
                <w:b/>
                <w:bCs/>
                <w:i w:val="false"/>
                <w:iCs w:val="false"/>
                <w:color w:val="C8A951"/>
                <w:sz w:val="18"/>
                <w:szCs w:val="18"/>
              </w:rPr>
              <w:t xml:space="preserve">Medium</w:t>
            </w:r>
            <w:r>
              <w:rPr>
                <w:rFonts w:ascii="Arial" w:cs="Arial" w:eastAsia="Arial" w:hAnsi="Arial"/>
                <w:b w:val="false"/>
                <w:bCs w:val="false"/>
                <w:i w:val="false"/>
                <w:iCs w:val="false"/>
                <w:color w:val="EEF1F7"/>
                <w:sz w:val="18"/>
                <w:szCs w:val="18"/>
              </w:rPr>
              <w:t xml:space="preserve">   |   Control(s): </w:t>
            </w:r>
            <w:r>
              <w:rPr>
                <w:rFonts w:ascii="Arial" w:cs="Arial" w:eastAsia="Arial" w:hAnsi="Arial"/>
                <w:b w:val="false"/>
                <w:bCs w:val="false"/>
                <w:i w:val="false"/>
                <w:iCs w:val="false"/>
                <w:color w:val="EEF1F7"/>
                <w:sz w:val="18"/>
                <w:szCs w:val="18"/>
              </w:rPr>
              <w:t xml:space="preserve">A.8.26</w:t>
            </w:r>
            <w:r>
              <w:rPr>
                <w:rFonts w:ascii="Arial" w:cs="Arial" w:eastAsia="Arial" w:hAnsi="Arial"/>
                <w:b w:val="false"/>
                <w:bCs w:val="false"/>
                <w:i w:val="false"/>
                <w:iCs w:val="false"/>
                <w:color w:val="EEF1F7"/>
                <w:sz w:val="18"/>
                <w:szCs w:val="18"/>
              </w:rPr>
              <w:t xml:space="preserve">   |   Status: </w:t>
            </w:r>
            <w:r>
              <w:rPr>
                <w:rFonts w:ascii="Arial" w:cs="Arial" w:eastAsia="Arial" w:hAnsi="Arial"/>
                <w:b/>
                <w:bCs/>
                <w:i w:val="false"/>
                <w:iCs w:val="false"/>
                <w:color w:val="C8A951"/>
                <w:sz w:val="18"/>
                <w:szCs w:val="18"/>
              </w:rPr>
              <w:t xml:space="preserve">Partial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Observation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The Medlink patient-facing mobile application (available on Android and iOS) does not implement certificate pinning. This vulnerability was identified in the January 2024 VAPT report (finding MP-07, rated Medium) but has not been remediated in the three months since the VAPT. Without certificate pinning, the mobile app trusts any certificate signed by a recognised Certificate Authority, making it susceptible to man-in-the-middle attacks on untrusted networks (public Wi-Fi, corporate proxies). PHI transmitted between the mobile app and the Medlink API (including patient records accessed via the app) could be intercepted in such an attack. A.8.26 (Application security requirements) requires that security requirements, including those relating to network communication, are identified and addressed in application development.</w:t>
            </w:r>
          </w:p>
        </w:tc>
      </w:tr>
      <w:tr>
        <w:tc>
          <w:tcPr>
            <w:tcW w:type="dxa" w:w="272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Risk &amp; Impact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Patients accessing their health records via the mobile app on untrusted networks are at risk of having their PHI intercepted by an attacker performing a man-in-the-middle attack. Given that the app transmits special category health data, the sensitivity of any intercepted data is high. The fact that this finding was identified three months ago in the VAPT and has not been remediated also indicates a gap in the vulnerability management process — VAPT findings are not being tracked to resolution. Risk score: Likelihood 2 x Impact 4 = 8 (Medium).</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Recommendation</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Implement certificate pinning in both the Android and iOS Medlink mobile applications, pinning to the Medlink API's TLS certificate or the issuing CA certificate (public key pinning recommended to avoid operational disruption on certificate renewal). Implement a VAPT finding tracking and closure process — all findings from the VAPT report should have assigned owners, target remediation dates, and a sign-off process upon closure. The outstanding MP-07 finding should be treated as the first entry in this tracker.</w:t>
            </w:r>
          </w:p>
        </w:tc>
      </w:tr>
    </w:tbl>
    <w:p>
      <w:pPr>
        <w:spacing w:after="40" w:before="40"/>
      </w:pPr>
      <w:r>
        <w:rPr>
          <w:rFonts w:ascii="Arial" w:cs="Arial" w:eastAsia="Arial" w:hAnsi="Arial"/>
          <w:b w:val="false"/>
          <w:bCs w:val="false"/>
          <w:i w:val="false"/>
          <w:iCs w:val="false"/>
          <w:color w:val="1A1A1A"/>
          <w:sz w:val="20"/>
          <w:szCs w:val="20"/>
        </w:rPr>
        <w:t xml:space="preserve"/>
      </w:r>
    </w:p>
    <w:p>
      <w:pPr>
        <w:pStyle w:val="Heading1"/>
        <w:pageBreakBefore/>
        <w:spacing w:after="120" w:before="280"/>
      </w:pPr>
      <w:r>
        <w:rPr>
          <w:rFonts w:ascii="Arial" w:cs="Arial" w:eastAsia="Arial" w:hAnsi="Arial"/>
          <w:b/>
          <w:bCs/>
          <w:i w:val="false"/>
          <w:iCs w:val="false"/>
          <w:color w:val="1B2A4A"/>
          <w:sz w:val="26"/>
          <w:szCs w:val="26"/>
        </w:rPr>
        <w:t xml:space="preserve">5.  Findings Register Summary</w:t>
      </w:r>
    </w:p>
    <w:p>
      <w:pPr>
        <w:spacing w:after="60" w:before="60"/>
        <w:jc w:val="left"/>
      </w:pPr>
      <w:r>
        <w:rPr>
          <w:rFonts w:ascii="Arial" w:cs="Arial" w:eastAsia="Arial" w:hAnsi="Arial"/>
          <w:b w:val="false"/>
          <w:bCs w:val="false"/>
          <w:i w:val="false"/>
          <w:iCs w:val="false"/>
          <w:color w:val="1A1A1A"/>
          <w:sz w:val="20"/>
          <w:szCs w:val="20"/>
        </w:rPr>
        <w:t xml:space="preserve">The table below summarises all findings from this assessment. Detailed finding descriptions are set out in Section 4. Remediation actions and timelines are contained in the Remediation Roadmap (RCA-P2-007).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3703"/>
        <w:gridCol w:w="1754"/>
        <w:gridCol w:w="1364"/>
        <w:gridCol w:w="1756"/>
      </w:tblGrid>
      <w:tr>
        <w:tc>
          <w:tcPr>
            <w:tcW w:type="dxa" w:w="116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Ref</w:t>
            </w:r>
          </w:p>
        </w:tc>
        <w:tc>
          <w:tcPr>
            <w:tcW w:type="dxa" w:w="370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Finding</w:t>
            </w:r>
          </w:p>
        </w:tc>
        <w:tc>
          <w:tcPr>
            <w:tcW w:type="dxa" w:w="175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Control(s)</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Severity</w:t>
            </w:r>
          </w:p>
        </w:tc>
        <w:tc>
          <w:tcPr>
            <w:tcW w:type="dxa" w:w="175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Status</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F-001</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Approved Information Security Policy</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A.5.1</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F-002</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Production Credentials Hardcoded in GitHub — LIVE RISK</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A.8.25 / A.8.29</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F-003</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Formal Information Security Risk Assessment Process</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Clause 6.1.2</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F-004</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Inconsistent Encryption of PHI at Rest in AWS S3</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A.8.24</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9"/>
                <w:szCs w:val="19"/>
              </w:rPr>
              <w:t xml:space="preserve">Critical</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F-005</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Vendor Security Assessment for Lab Integrations</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A.5.19 / A.5.20</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F-006</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Documented Incident Response Procedure</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A.5.24–A.5.26</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c>
          <w:tcPr>
            <w:tcW w:type="dxa" w:w="175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Non-Conformant</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F-007</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Security Awareness Training — No Annual Refresh</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A.6.3</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F-008</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Visitor Log; No Server Room CCTV</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A.7.2 / A.7.4</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F-009</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Background Screening Not Consistently Applied</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A.6.1</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9"/>
                <w:szCs w:val="19"/>
              </w:rPr>
              <w:t xml:space="preserve">High</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F-010</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Data Classification Policy Not Operationally Enforced</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A.5.12 / A.5.13</w:t>
            </w:r>
          </w:p>
        </w:tc>
        <w:tc>
          <w:tcPr>
            <w:tcW w:type="dxa" w:w="136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F-011</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No Cryptographic Key Management Policy; Keys Never Rotated</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A.8.24</w:t>
            </w:r>
          </w:p>
        </w:tc>
        <w:tc>
          <w:tcPr>
            <w:tcW w:type="dxa" w:w="136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F-012</w:t>
            </w:r>
          </w:p>
        </w:tc>
        <w:tc>
          <w:tcPr>
            <w:tcW w:type="dxa" w:w="370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Application-Level Audit Logging Not Implemented</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A.8.15</w:t>
            </w:r>
          </w:p>
        </w:tc>
        <w:tc>
          <w:tcPr>
            <w:tcW w:type="dxa" w:w="136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r>
        <w:tc>
          <w:tcPr>
            <w:tcW w:type="dxa" w:w="1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F-013</w:t>
            </w:r>
          </w:p>
        </w:tc>
        <w:tc>
          <w:tcPr>
            <w:tcW w:type="dxa" w:w="37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Mobile Application — No Certificate Pinning</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A.8.26</w:t>
            </w:r>
          </w:p>
        </w:tc>
        <w:tc>
          <w:tcPr>
            <w:tcW w:type="dxa" w:w="1364"/>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Medium</w:t>
            </w:r>
          </w:p>
        </w:tc>
        <w:tc>
          <w:tcPr>
            <w:tcW w:type="dxa" w:w="1756"/>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D68910"/>
                <w:sz w:val="19"/>
                <w:szCs w:val="19"/>
              </w:rPr>
              <w:t xml:space="preserve">Partial</w:t>
            </w:r>
          </w:p>
        </w:tc>
      </w:tr>
    </w:tbl>
    <w:p>
      <w:pPr>
        <w:pStyle w:val="Heading1"/>
        <w:pageBreakBefore/>
        <w:spacing w:after="120" w:before="280"/>
      </w:pPr>
      <w:r>
        <w:rPr>
          <w:rFonts w:ascii="Arial" w:cs="Arial" w:eastAsia="Arial" w:hAnsi="Arial"/>
          <w:b/>
          <w:bCs/>
          <w:i w:val="false"/>
          <w:iCs w:val="false"/>
          <w:color w:val="1B2A4A"/>
          <w:sz w:val="26"/>
          <w:szCs w:val="26"/>
        </w:rPr>
        <w:t xml:space="preserve">6.  Recommended Next Steps</w:t>
      </w:r>
    </w:p>
    <w:p>
      <w:pPr>
        <w:spacing w:after="40" w:before="60"/>
        <w:jc w:val="left"/>
      </w:pPr>
      <w:r>
        <w:rPr>
          <w:rFonts w:ascii="Arial" w:cs="Arial" w:eastAsia="Arial" w:hAnsi="Arial"/>
          <w:b w:val="false"/>
          <w:bCs w:val="false"/>
          <w:i w:val="false"/>
          <w:iCs w:val="false"/>
          <w:color w:val="1A1A1A"/>
          <w:sz w:val="20"/>
          <w:szCs w:val="20"/>
        </w:rPr>
        <w:t xml:space="preserve">Based on the findings of this assessment, the following sequence of actions is recommended: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IMMEDIATE (within 48 hours): Rotate the AWS IAM access key and Twilio API token identified in F-002. Review CloudTrail logs for evidence of unauthorised use of the exposed credentials.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SHORT-TERM (within 30 days): Engage a named ISMS owner; initiate approval of the Information Security Policy (F-001); implement AWS S3 encryption enforcement via bucket policy (F-004); appoint a DPO and Grievance Officer to address parallel GDPR/DPDP obligations.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PHASE 1 PROGRAMME (30–90 days): Conduct formal risk assessment (F-003); develop Incident Response Procedure (F-006); initiate vendor security assessments with lab integration partners (F-005); implement AWS Secrets Manager and secrets scanning in CI/CD pipeline (F-002 follow-up).</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PHASE 2 PROGRAMME (90–180 days): Implement application-level audit logging (F-012); operationalise data classification (F-010); deploy annual security awareness training programme (F-007); implement certificate pinning in mobile application (F-013).</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PHASE 3 PROGRAMME (180 days onward): Implement background screening programme for existing staff (F-009); establish ISMS internal audit cycle; conduct DPIA for core processing activities; prepare for Stage 1 certification audit.</w:t>
      </w:r>
    </w:p>
    <w:p>
      <w:pPr>
        <w:spacing w:after="60" w:before="60"/>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val="false"/>
          <w:bCs w:val="false"/>
          <w:i w:val="false"/>
          <w:iCs w:val="false"/>
          <w:color w:val="1A1A1A"/>
          <w:sz w:val="20"/>
          <w:szCs w:val="20"/>
        </w:rPr>
        <w:t xml:space="preserve">A detailed Remediation Roadmap with phased actions, assigned owners, target dates, and success criteria is provided in RCA-P2-007. The ISO 27001:2022 Statement of Applicability documenting all 93 controls with applicability and implementation status is provided in RCA-P2-005.</w:t>
      </w:r>
    </w:p>
    <w:p>
      <w:pPr>
        <w:spacing w:after="80" w:before="80"/>
      </w:pPr>
      <w:r>
        <w:rPr>
          <w:rFonts w:ascii="Arial" w:cs="Arial" w:eastAsia="Arial" w:hAnsi="Arial"/>
          <w:b w:val="false"/>
          <w:bCs w:val="false"/>
          <w:i w:val="false"/>
          <w:iCs w:val="false"/>
          <w:color w:val="1A1A1A"/>
          <w:sz w:val="20"/>
          <w:szCs w:val="20"/>
        </w:rPr>
        <w:t xml:space="preserve"/>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p>
      <w:pPr>
        <w:spacing w:after="40" w:before="40"/>
        <w:jc w:val="center"/>
      </w:pPr>
      <w:r>
        <w:rPr>
          <w:rFonts w:ascii="Arial" w:cs="Arial" w:eastAsia="Arial" w:hAnsi="Arial"/>
          <w:b w:val="false"/>
          <w:bCs w:val="false"/>
          <w:i/>
          <w:iCs/>
          <w:color w:val="666666"/>
          <w:sz w:val="19"/>
          <w:szCs w:val="19"/>
        </w:rPr>
        <w:t xml:space="preserve">This report was prepared by kay Shahbaaz, GRC Analyst, Resolute Compliance Advisory LLP, and reflects the findings of the assessment conducted between 25 March 2024 and 12 April 2024.</w:t>
      </w:r>
    </w:p>
    <w:p>
      <w:pPr>
        <w:spacing w:after="60" w:before="0"/>
        <w:jc w:val="center"/>
      </w:pPr>
      <w:r>
        <w:rPr>
          <w:rFonts w:ascii="Arial" w:cs="Arial" w:eastAsia="Arial" w:hAnsi="Arial"/>
          <w:b w:val="false"/>
          <w:bCs w:val="false"/>
          <w:i/>
          <w:iCs/>
          <w:color w:val="666666"/>
          <w:sz w:val="19"/>
          <w:szCs w:val="19"/>
        </w:rPr>
        <w:t xml:space="preserve">Document Reference: RCA-P2-002  ·  Version 1.0  ·  28 April 2024  ·  CONFIDENTIAL</w:t>
      </w:r>
    </w:p>
    <w:sectPr>
      <w:headerReference w:type="default" r:id="rId7"/>
      <w:footerReference w:type="default" r:id="rId8"/>
      <w:pgSz w:w="11906" w:h="16838"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6" w:space="1"/>
      </w:pBdr>
      <w:tabs>
        <w:tab w:val="right" w:pos="9026"/>
      </w:tabs>
      <w:spacing w:after="0" w:before="80"/>
    </w:pPr>
    <w:r>
      <w:rPr>
        <w:rFonts w:ascii="Arial" w:cs="Arial" w:eastAsia="Arial" w:hAnsi="Arial"/>
        <w:b w:val="false"/>
        <w:bCs w:val="false"/>
        <w:i w:val="false"/>
        <w:iCs w:val="false"/>
        <w:color w:val="666666"/>
        <w:sz w:val="16"/>
        <w:szCs w:val="16"/>
      </w:rPr>
      <w:t xml:space="preserve">ISO 27001:2022 Gap Assessment Report  ·  Medlink India Pvt. Ltd.</w:t>
    </w:r>
    <w:r>
      <w:rPr>
        <w:rFonts w:ascii="Arial" w:cs="Arial" w:eastAsia="Arial" w:hAnsi="Arial"/>
        <w:b w:val="false"/>
        <w:bCs w:val="false"/>
        <w:i w:val="false"/>
        <w:iCs w:val="false"/>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80" w:before="0"/>
    </w:pPr>
    <w:r>
      <w:rPr>
        <w:rFonts w:ascii="Arial" w:cs="Arial" w:eastAsia="Arial" w:hAnsi="Arial"/>
        <w:b/>
        <w:bCs/>
        <w:i w:val="false"/>
        <w:iCs w:val="false"/>
        <w:color w:val="1B2A4A"/>
        <w:sz w:val="16"/>
        <w:szCs w:val="16"/>
      </w:rPr>
      <w:t xml:space="preserve">Resolute Compliance Advisory LLP</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66666"/>
        <w:sz w:val="16"/>
        <w:szCs w:val="16"/>
      </w:rPr>
      <w:t xml:space="preserve">RCA-P2-002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60" w:before="16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2026-06-21T19:10:15.574Z</dcterms:created>
  <dcterms:modified xsi:type="dcterms:W3CDTF">2026-06-21T19:10:15.574Z</dcterms:modified>
</cp:coreProperties>
</file>

<file path=docProps/custom.xml><?xml version="1.0" encoding="utf-8"?>
<Properties xmlns="http://schemas.openxmlformats.org/officeDocument/2006/custom-properties" xmlns:vt="http://schemas.openxmlformats.org/officeDocument/2006/docPropsVTypes"/>
</file>