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160" w:before="0"/>
        <w:jc w:val="center"/>
      </w:pPr>
      <w:r>
        <w:rPr>
          <w:rFonts w:ascii="Arial" w:cs="Arial" w:eastAsia="Arial" w:hAnsi="Arial"/>
          <w:b/>
          <w:bCs/>
          <w:color w:val="1B2A4A"/>
          <w:sz w:val="48"/>
          <w:szCs w:val="48"/>
        </w:rPr>
        <w:t xml:space="preserve">ENGAGEMENT LETTER</w:t>
      </w:r>
    </w:p>
    <w:p>
      <w:pPr>
        <w:spacing w:after="400" w:before="0"/>
        <w:jc w:val="center"/>
      </w:pPr>
      <w:r>
        <w:rPr>
          <w:rFonts w:ascii="Arial" w:cs="Arial" w:eastAsia="Arial" w:hAnsi="Arial"/>
          <w:color w:val="666666"/>
          <w:sz w:val="28"/>
          <w:szCs w:val="28"/>
        </w:rPr>
        <w:t xml:space="preserve">Engagement Letter &amp; Scope of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200"/>
              <w:left w:type="dxa" w:w="240"/>
              <w:bottom w:type="dxa" w:w="200"/>
              <w:right w:type="dxa" w:w="240"/>
            </w:tcMar>
          </w:tcPr>
          <w:p>
            <w:pPr>
              <w:spacing w:after="100" w:before="0"/>
              <w:jc w:val="center"/>
            </w:pPr>
            <w:r>
              <w:rPr>
                <w:rFonts w:ascii="Arial" w:cs="Arial" w:eastAsia="Arial" w:hAnsi="Arial"/>
                <w:color w:val="666666"/>
                <w:sz w:val="18"/>
                <w:szCs w:val="18"/>
              </w:rPr>
              <w:t xml:space="preserve">Prepared for</w:t>
            </w:r>
          </w:p>
          <w:p>
            <w:pPr>
              <w:spacing w:after="60" w:before="0"/>
              <w:jc w:val="center"/>
            </w:pPr>
            <w:r>
              <w:rPr>
                <w:rFonts w:ascii="Arial" w:cs="Arial" w:eastAsia="Arial" w:hAnsi="Arial"/>
                <w:b/>
                <w:bCs/>
                <w:color w:val="1B2A4A"/>
                <w:sz w:val="26"/>
                <w:szCs w:val="26"/>
              </w:rPr>
              <w:t xml:space="preserve">Brightpath Technologies Pvt. Ltd.</w:t>
            </w:r>
          </w:p>
          <w:p>
            <w:pPr>
              <w:spacing w:after="60" w:before="0"/>
              <w:jc w:val="center"/>
            </w:pPr>
            <w:r>
              <w:rPr>
                <w:rFonts w:ascii="Arial" w:cs="Arial" w:eastAsia="Arial" w:hAnsi="Arial"/>
                <w:color w:val="666666"/>
                <w:sz w:val="20"/>
                <w:szCs w:val="20"/>
              </w:rPr>
              <w:t xml:space="preserve">IT Services  ·  Bengaluru, India</w:t>
            </w:r>
          </w:p>
          <w:p>
            <w:pPr>
              <w:spacing w:after="0" w:before="0"/>
              <w:jc w:val="center"/>
            </w:pPr>
            <w:r>
              <w:rPr>
                <w:rFonts w:ascii="Arial" w:cs="Arial" w:eastAsia="Arial" w:hAnsi="Arial"/>
                <w:color w:val="1A1A1A"/>
                <w:sz w:val="20"/>
                <w:szCs w:val="20"/>
              </w:rPr>
              <w:t xml:space="preserve">Engagement Period: 02 October 2023 – 28 February 2024</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color w:val="C8A951"/>
                <w:sz w:val="16"/>
                <w:szCs w:val="16"/>
              </w:rPr>
              <w:t xml:space="preserve">Prepared by</w:t>
            </w:r>
          </w:p>
          <w:p>
            <w:r>
              <w:rPr>
                <w:rFonts w:ascii="Arial" w:cs="Arial" w:eastAsia="Arial" w:hAnsi="Arial"/>
                <w:b/>
                <w:bCs/>
                <w:color w:val="FFFFFF"/>
                <w:sz w:val="20"/>
                <w:szCs w:val="20"/>
              </w:rPr>
              <w:t xml:space="preserve">kay Shahbaaz</w:t>
            </w:r>
          </w:p>
        </w:tc>
        <w:tc>
          <w:tcPr>
            <w:tcW w:type="dxa" w:w="321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color w:val="C8A951"/>
                <w:sz w:val="16"/>
                <w:szCs w:val="16"/>
              </w:rPr>
              <w:t xml:space="preserve">Title</w:t>
            </w:r>
          </w:p>
          <w:p>
            <w:r>
              <w:rPr>
                <w:rFonts w:ascii="Arial" w:cs="Arial" w:eastAsia="Arial" w:hAnsi="Arial"/>
                <w:b/>
                <w:bCs/>
                <w:color w:val="FFFFFF"/>
                <w:sz w:val="20"/>
                <w:szCs w:val="20"/>
              </w:rPr>
              <w:t xml:space="preserve">GRC Analyst</w:t>
            </w:r>
          </w:p>
        </w:tc>
        <w:tc>
          <w:tcPr>
            <w:tcW w:type="dxa" w:w="321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color w:val="C8A951"/>
                <w:sz w:val="16"/>
                <w:szCs w:val="16"/>
              </w:rPr>
              <w:t xml:space="preserve">Date</w:t>
            </w:r>
          </w:p>
          <w:p>
            <w:r>
              <w:rPr>
                <w:rFonts w:ascii="Arial" w:cs="Arial" w:eastAsia="Arial" w:hAnsi="Arial"/>
                <w:b/>
                <w:bCs/>
                <w:color w:val="FFFFFF"/>
                <w:sz w:val="20"/>
                <w:szCs w:val="20"/>
              </w:rPr>
              <w:t xml:space="preserve">02 October 2023</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140"/>
              <w:left w:type="dxa" w:w="200"/>
              <w:bottom w:type="dxa" w:w="140"/>
              <w:right w:type="dxa" w:w="200"/>
            </w:tcMar>
          </w:tcPr>
          <w:p>
            <w:pPr>
              <w:spacing w:after="60" w:before="0"/>
              <w:jc w:val="center"/>
            </w:pPr>
            <w:r>
              <w:rPr>
                <w:rFonts w:ascii="Arial" w:cs="Arial" w:eastAsia="Arial" w:hAnsi="Arial"/>
                <w:b/>
                <w:bCs/>
                <w:color w:val="1B2A4A"/>
                <w:sz w:val="18"/>
                <w:szCs w:val="18"/>
              </w:rPr>
              <w:t xml:space="preserve">CONFIDENTIALITY NOTICE</w:t>
            </w:r>
          </w:p>
          <w:p>
            <w:pPr>
              <w:spacing w:after="0" w:before="0"/>
              <w:jc w:val="both"/>
            </w:pPr>
            <w:r>
              <w:rPr>
                <w:rFonts w:ascii="Arial" w:cs="Arial" w:eastAsia="Arial" w:hAnsi="Arial"/>
                <w:color w:val="666666"/>
                <w:sz w:val="17"/>
                <w:szCs w:val="17"/>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r>
        <w:br w:type="page"/>
      </w:r>
    </w:p>
    <w:p>
      <w:pPr>
        <w:pStyle w:val="Heading1"/>
        <w:spacing w:after="120" w:before="320"/>
      </w:pPr>
      <w:r>
        <w:rPr>
          <w:rFonts w:ascii="Arial" w:cs="Arial" w:eastAsia="Arial" w:hAnsi="Arial"/>
          <w:b/>
          <w:bCs/>
          <w:color w:val="1B2A4A"/>
          <w:sz w:val="26"/>
          <w:szCs w:val="26"/>
        </w:rPr>
        <w:t xml:space="preserve">Document Control</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68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Document Title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Engagement Letter &amp; Scope of Work</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Document Ref</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RCA-P1-001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Client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Technologies Pvt. Ltd.</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Project</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ISO 27001:2022 + SOC 2 Compliance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Prepared by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kay Shahbaaz</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Reviewed by</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Resolute Compliance Advisory LLP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Date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02 October 2023</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Version</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Classification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Status</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Final</w:t>
            </w:r>
          </w:p>
        </w:tc>
      </w:tr>
    </w:tbl>
    <w:p>
      <w:pPr>
        <w:spacing w:after="0" w:before="0" w:line="320"/>
      </w:pPr>
      <w:r>
        <w:t xml:space="preserve"/>
      </w:r>
    </w:p>
    <w:p>
      <w:pPr>
        <w:pStyle w:val="Heading1"/>
        <w:spacing w:after="120" w:before="320"/>
      </w:pPr>
      <w:r>
        <w:rPr>
          <w:rFonts w:ascii="Arial" w:cs="Arial" w:eastAsia="Arial" w:hAnsi="Arial"/>
          <w:b/>
          <w:bCs/>
          <w:color w:val="1B2A4A"/>
          <w:sz w:val="26"/>
          <w:szCs w:val="26"/>
        </w:rPr>
        <w:t xml:space="preserve">1.   Introduction</w:t>
      </w:r>
    </w:p>
    <w:p>
      <w:pPr>
        <w:spacing w:after="140" w:before="0"/>
      </w:pPr>
      <w:r>
        <w:rPr>
          <w:rFonts w:ascii="Arial" w:cs="Arial" w:eastAsia="Arial" w:hAnsi="Arial"/>
          <w:color w:val="1A1A1A"/>
          <w:sz w:val="20"/>
          <w:szCs w:val="20"/>
        </w:rPr>
        <w:t xml:space="preserve">This document serves as the formal Engagement Letter and Scope of Work between Resolute Compliance Advisory LLP (hereinafter referred to as </w:t>
      </w:r>
      <w:r>
        <w:rPr>
          <w:rFonts w:ascii="Arial" w:cs="Arial" w:eastAsia="Arial" w:hAnsi="Arial"/>
          <w:b/>
          <w:bCs/>
          <w:color w:val="1A1A1A"/>
          <w:sz w:val="20"/>
          <w:szCs w:val="20"/>
        </w:rPr>
        <w:t xml:space="preserve">“the Firm”</w:t>
      </w:r>
      <w:r>
        <w:rPr>
          <w:rFonts w:ascii="Arial" w:cs="Arial" w:eastAsia="Arial" w:hAnsi="Arial"/>
          <w:color w:val="1A1A1A"/>
          <w:sz w:val="20"/>
          <w:szCs w:val="20"/>
        </w:rPr>
        <w:t xml:space="preserve">) and Brightpath Technologies Pvt. Ltd. (hereinafter referred to as </w:t>
      </w:r>
      <w:r>
        <w:rPr>
          <w:rFonts w:ascii="Arial" w:cs="Arial" w:eastAsia="Arial" w:hAnsi="Arial"/>
          <w:b/>
          <w:bCs/>
          <w:color w:val="1A1A1A"/>
          <w:sz w:val="20"/>
          <w:szCs w:val="20"/>
        </w:rPr>
        <w:t xml:space="preserve">“the Client”</w:t>
      </w:r>
      <w:r>
        <w:rPr>
          <w:rFonts w:ascii="Arial" w:cs="Arial" w:eastAsia="Arial" w:hAnsi="Arial"/>
          <w:color w:val="1A1A1A"/>
          <w:sz w:val="20"/>
          <w:szCs w:val="20"/>
        </w:rPr>
        <w:t xml:space="preserve">). It defines the objectives, scope, deliverables, roles, responsibilities, and timeline governing the ISO 27001:2022 Gap Assessment and SOC 2 Readiness Assessment engagement.</w:t>
      </w:r>
    </w:p>
    <w:p>
      <w:pPr>
        <w:pStyle w:val="Heading2"/>
        <w:spacing w:after="80" w:before="240"/>
      </w:pPr>
      <w:r>
        <w:rPr>
          <w:rFonts w:ascii="Arial" w:cs="Arial" w:eastAsia="Arial" w:hAnsi="Arial"/>
          <w:b/>
          <w:bCs/>
          <w:color w:val="1B2A4A"/>
          <w:sz w:val="22"/>
          <w:szCs w:val="22"/>
        </w:rPr>
        <w:t xml:space="preserve">1.1   Engagement Overview</w:t>
      </w:r>
    </w:p>
    <w:p>
      <w:pPr>
        <w:spacing w:after="140" w:before="0"/>
      </w:pPr>
      <w:r>
        <w:rPr>
          <w:rFonts w:ascii="Arial" w:cs="Arial" w:eastAsia="Arial" w:hAnsi="Arial"/>
          <w:color w:val="1A1A1A"/>
          <w:sz w:val="20"/>
          <w:szCs w:val="20"/>
        </w:rPr>
        <w:t xml:space="preserve">Brightpath Technologies Pvt. Ltd. is an IT services company headquartered in Bengaluru, India, providing managed IT services and custom software solutions to clients in the United States. The organisation operates an AWS-based cloud infrastructure supporting its client delivery functions and currently employs approximately 150 personnel across technical, operations, and support functions.</w:t>
      </w:r>
    </w:p>
    <w:p>
      <w:pPr>
        <w:spacing w:after="140" w:before="0"/>
      </w:pPr>
      <w:r>
        <w:rPr>
          <w:rFonts w:ascii="Arial" w:cs="Arial" w:eastAsia="Arial" w:hAnsi="Arial"/>
          <w:color w:val="1A1A1A"/>
          <w:sz w:val="20"/>
          <w:szCs w:val="20"/>
        </w:rPr>
        <w:t xml:space="preserve">To meet the compliance requirements of its US-based clients and support its commercial expansion strategy, Brightpath has engaged Resolute Compliance Advisory LLP to conduct a comprehensive assessment against the ISO 27001:2022 standard and the SOC 2 Trust Services Criteria. This engagement will establish a clear and prioritised baseline of the organisation’s information security posture and readiness to pursue formal certification and attestation.</w:t>
      </w:r>
    </w:p>
    <w:p>
      <w:pPr>
        <w:pStyle w:val="Heading2"/>
        <w:spacing w:after="80" w:before="240"/>
      </w:pPr>
      <w:r>
        <w:rPr>
          <w:rFonts w:ascii="Arial" w:cs="Arial" w:eastAsia="Arial" w:hAnsi="Arial"/>
          <w:b/>
          <w:bCs/>
          <w:color w:val="1B2A4A"/>
          <w:sz w:val="22"/>
          <w:szCs w:val="22"/>
        </w:rPr>
        <w:t xml:space="preserve">1.2   Engagement Objectives</w:t>
      </w:r>
    </w:p>
    <w:p>
      <w:pPr>
        <w:spacing w:after="140" w:before="0"/>
      </w:pPr>
      <w:r>
        <w:rPr>
          <w:rFonts w:ascii="Arial" w:cs="Arial" w:eastAsia="Arial" w:hAnsi="Arial"/>
          <w:color w:val="1A1A1A"/>
          <w:sz w:val="20"/>
          <w:szCs w:val="20"/>
        </w:rPr>
        <w:t xml:space="preserve">The principal objectives of this engagement are:</w:t>
      </w:r>
    </w:p>
    <w:p>
      <w:pPr>
        <w:pStyle w:val="ListParagraph"/>
        <w:numPr>
          <w:ilvl w:val="0"/>
          <w:numId w:val="2"/>
        </w:numPr>
        <w:spacing w:after="40" w:before="40"/>
      </w:pPr>
      <w:r>
        <w:rPr>
          <w:rFonts w:ascii="Arial" w:cs="Arial" w:eastAsia="Arial" w:hAnsi="Arial"/>
          <w:color w:val="1A1A1A"/>
          <w:sz w:val="20"/>
          <w:szCs w:val="20"/>
        </w:rPr>
        <w:t xml:space="preserve">Assess the current state of information security controls against all 93 controls defined in ISO 27001:2022 Annex A.</w:t>
      </w:r>
    </w:p>
    <w:p>
      <w:pPr>
        <w:pStyle w:val="ListParagraph"/>
        <w:numPr>
          <w:ilvl w:val="0"/>
          <w:numId w:val="2"/>
        </w:numPr>
        <w:spacing w:after="40" w:before="40"/>
      </w:pPr>
      <w:r>
        <w:rPr>
          <w:rFonts w:ascii="Arial" w:cs="Arial" w:eastAsia="Arial" w:hAnsi="Arial"/>
          <w:color w:val="1A1A1A"/>
          <w:sz w:val="20"/>
          <w:szCs w:val="20"/>
        </w:rPr>
        <w:t xml:space="preserve">Evaluate readiness against the SOC 2 Trust Services Criteria — Security (mandatory) and Availability.</w:t>
      </w:r>
    </w:p>
    <w:p>
      <w:pPr>
        <w:pStyle w:val="ListParagraph"/>
        <w:numPr>
          <w:ilvl w:val="0"/>
          <w:numId w:val="2"/>
        </w:numPr>
        <w:spacing w:after="40" w:before="40"/>
      </w:pPr>
      <w:r>
        <w:rPr>
          <w:rFonts w:ascii="Arial" w:cs="Arial" w:eastAsia="Arial" w:hAnsi="Arial"/>
          <w:color w:val="1A1A1A"/>
          <w:sz w:val="20"/>
          <w:szCs w:val="20"/>
        </w:rPr>
        <w:t xml:space="preserve">Identify and document gaps, non-conformities, and areas of risk across people, process, and technology dimensions.</w:t>
      </w:r>
    </w:p>
    <w:p>
      <w:pPr>
        <w:pStyle w:val="ListParagraph"/>
        <w:numPr>
          <w:ilvl w:val="0"/>
          <w:numId w:val="2"/>
        </w:numPr>
        <w:spacing w:after="40" w:before="40"/>
      </w:pPr>
      <w:r>
        <w:rPr>
          <w:rFonts w:ascii="Arial" w:cs="Arial" w:eastAsia="Arial" w:hAnsi="Arial"/>
          <w:color w:val="1A1A1A"/>
          <w:sz w:val="20"/>
          <w:szCs w:val="20"/>
        </w:rPr>
        <w:t xml:space="preserve">Develop a prioritised, actionable Remediation Roadmap aligned to the Client’s business objectives and risk appetite.</w:t>
      </w:r>
    </w:p>
    <w:p>
      <w:pPr>
        <w:pStyle w:val="ListParagraph"/>
        <w:numPr>
          <w:ilvl w:val="0"/>
          <w:numId w:val="2"/>
        </w:numPr>
        <w:spacing w:after="40" w:before="40"/>
      </w:pPr>
      <w:r>
        <w:rPr>
          <w:rFonts w:ascii="Arial" w:cs="Arial" w:eastAsia="Arial" w:hAnsi="Arial"/>
          <w:color w:val="1A1A1A"/>
          <w:sz w:val="20"/>
          <w:szCs w:val="20"/>
        </w:rPr>
        <w:t xml:space="preserve">Prepare the Statement of Applicability (SoA) for ISO 27001:2022, documenting control applicability and justifications.</w:t>
      </w:r>
    </w:p>
    <w:p>
      <w:pPr>
        <w:pStyle w:val="ListParagraph"/>
        <w:numPr>
          <w:ilvl w:val="0"/>
          <w:numId w:val="2"/>
        </w:numPr>
        <w:spacing w:after="40" w:before="40"/>
      </w:pPr>
      <w:r>
        <w:rPr>
          <w:rFonts w:ascii="Arial" w:cs="Arial" w:eastAsia="Arial" w:hAnsi="Arial"/>
          <w:color w:val="1A1A1A"/>
          <w:sz w:val="20"/>
          <w:szCs w:val="20"/>
        </w:rPr>
        <w:t xml:space="preserve">Provide Brightpath’s senior management with a clear view of the organisation’s compliance posture and the effort required to achieve certification readiness.</w:t>
      </w:r>
    </w:p>
    <w:p>
      <w:pPr>
        <w:spacing w:after="0" w:before="0" w:line="160"/>
      </w:pPr>
      <w:r>
        <w:t xml:space="preserve"/>
      </w:r>
    </w:p>
    <w:p>
      <w:pPr>
        <w:pStyle w:val="Heading1"/>
        <w:spacing w:after="120" w:before="320"/>
      </w:pPr>
      <w:r>
        <w:rPr>
          <w:rFonts w:ascii="Arial" w:cs="Arial" w:eastAsia="Arial" w:hAnsi="Arial"/>
          <w:b/>
          <w:bCs/>
          <w:color w:val="1B2A4A"/>
          <w:sz w:val="26"/>
          <w:szCs w:val="26"/>
        </w:rPr>
        <w:t xml:space="preserve">2.   Scope of Work</w:t>
      </w:r>
    </w:p>
    <w:p>
      <w:pPr>
        <w:spacing w:after="140" w:before="0"/>
      </w:pPr>
      <w:r>
        <w:rPr>
          <w:rFonts w:ascii="Arial" w:cs="Arial" w:eastAsia="Arial" w:hAnsi="Arial"/>
          <w:color w:val="1A1A1A"/>
          <w:sz w:val="20"/>
          <w:szCs w:val="20"/>
        </w:rPr>
        <w:t xml:space="preserve">The scope of this engagement is defined as follows. Any work falling outside the boundaries described in this section and in Section 3 (Out of Scope) must be agreed in writing by both parties before commencement.</w:t>
      </w:r>
    </w:p>
    <w:p>
      <w:pPr>
        <w:pStyle w:val="Heading2"/>
        <w:spacing w:after="80" w:before="240"/>
      </w:pPr>
      <w:r>
        <w:rPr>
          <w:rFonts w:ascii="Arial" w:cs="Arial" w:eastAsia="Arial" w:hAnsi="Arial"/>
          <w:b/>
          <w:bCs/>
          <w:color w:val="1B2A4A"/>
          <w:sz w:val="22"/>
          <w:szCs w:val="22"/>
        </w:rPr>
        <w:t xml:space="preserve">2.1   ISO 27001:2022 Gap Assessment</w:t>
      </w:r>
    </w:p>
    <w:p>
      <w:pPr>
        <w:spacing w:after="140" w:before="0"/>
      </w:pPr>
      <w:r>
        <w:rPr>
          <w:rFonts w:ascii="Arial" w:cs="Arial" w:eastAsia="Arial" w:hAnsi="Arial"/>
          <w:color w:val="1A1A1A"/>
          <w:sz w:val="20"/>
          <w:szCs w:val="20"/>
        </w:rPr>
        <w:t xml:space="preserve">The Firm will conduct a structured gap assessment against all 93 controls contained in ISO 27001:2022 Annex A, organised across four control themes:</w:t>
      </w:r>
    </w:p>
    <w:p>
      <w:pPr>
        <w:pStyle w:val="ListParagraph"/>
        <w:numPr>
          <w:ilvl w:val="0"/>
          <w:numId w:val="2"/>
        </w:numPr>
        <w:spacing w:after="40" w:before="40"/>
      </w:pPr>
      <w:r>
        <w:rPr>
          <w:rFonts w:ascii="Arial" w:cs="Arial" w:eastAsia="Arial" w:hAnsi="Arial"/>
          <w:color w:val="1A1A1A"/>
          <w:sz w:val="20"/>
          <w:szCs w:val="20"/>
        </w:rPr>
        <w:t xml:space="preserve">Organisational Controls (Annex A.5)</w:t>
      </w:r>
    </w:p>
    <w:p>
      <w:pPr>
        <w:pStyle w:val="ListParagraph"/>
        <w:numPr>
          <w:ilvl w:val="0"/>
          <w:numId w:val="2"/>
        </w:numPr>
        <w:spacing w:after="40" w:before="40"/>
      </w:pPr>
      <w:r>
        <w:rPr>
          <w:rFonts w:ascii="Arial" w:cs="Arial" w:eastAsia="Arial" w:hAnsi="Arial"/>
          <w:color w:val="1A1A1A"/>
          <w:sz w:val="20"/>
          <w:szCs w:val="20"/>
        </w:rPr>
        <w:t xml:space="preserve">People Controls (Annex A.6)</w:t>
      </w:r>
    </w:p>
    <w:p>
      <w:pPr>
        <w:pStyle w:val="ListParagraph"/>
        <w:numPr>
          <w:ilvl w:val="0"/>
          <w:numId w:val="2"/>
        </w:numPr>
        <w:spacing w:after="40" w:before="40"/>
      </w:pPr>
      <w:r>
        <w:rPr>
          <w:rFonts w:ascii="Arial" w:cs="Arial" w:eastAsia="Arial" w:hAnsi="Arial"/>
          <w:color w:val="1A1A1A"/>
          <w:sz w:val="20"/>
          <w:szCs w:val="20"/>
        </w:rPr>
        <w:t xml:space="preserve">Physical Controls (Annex A.7)</w:t>
      </w:r>
    </w:p>
    <w:p>
      <w:pPr>
        <w:pStyle w:val="ListParagraph"/>
        <w:numPr>
          <w:ilvl w:val="0"/>
          <w:numId w:val="2"/>
        </w:numPr>
        <w:spacing w:after="40" w:before="40"/>
      </w:pPr>
      <w:r>
        <w:rPr>
          <w:rFonts w:ascii="Arial" w:cs="Arial" w:eastAsia="Arial" w:hAnsi="Arial"/>
          <w:color w:val="1A1A1A"/>
          <w:sz w:val="20"/>
          <w:szCs w:val="20"/>
        </w:rPr>
        <w:t xml:space="preserve">Technological Controls (Annex A.8)</w:t>
      </w:r>
    </w:p>
    <w:p>
      <w:pPr>
        <w:spacing w:after="0" w:before="0" w:line="120"/>
      </w:pPr>
      <w:r>
        <w:t xml:space="preserve"/>
      </w:r>
    </w:p>
    <w:p>
      <w:pPr>
        <w:spacing w:after="140" w:before="0"/>
      </w:pPr>
      <w:r>
        <w:rPr>
          <w:rFonts w:ascii="Arial" w:cs="Arial" w:eastAsia="Arial" w:hAnsi="Arial"/>
          <w:color w:val="1A1A1A"/>
          <w:sz w:val="20"/>
          <w:szCs w:val="20"/>
        </w:rPr>
        <w:t xml:space="preserve">For each control, the assessment will determine the current implementation status, identify gaps or non-conformities, assign a risk rating, and provide a specific remediation recommendation. The assessment methodology will combine document review, management and staff interviews, and observations of existing processes and configurations.</w:t>
      </w:r>
    </w:p>
    <w:p>
      <w:pPr>
        <w:pStyle w:val="Heading2"/>
        <w:spacing w:after="80" w:before="240"/>
      </w:pPr>
      <w:r>
        <w:rPr>
          <w:rFonts w:ascii="Arial" w:cs="Arial" w:eastAsia="Arial" w:hAnsi="Arial"/>
          <w:b/>
          <w:bCs/>
          <w:color w:val="1B2A4A"/>
          <w:sz w:val="22"/>
          <w:szCs w:val="22"/>
        </w:rPr>
        <w:t xml:space="preserve">2.2   SOC 2 Readiness Assessment</w:t>
      </w:r>
    </w:p>
    <w:p>
      <w:pPr>
        <w:spacing w:after="140" w:before="0"/>
      </w:pPr>
      <w:r>
        <w:rPr>
          <w:rFonts w:ascii="Arial" w:cs="Arial" w:eastAsia="Arial" w:hAnsi="Arial"/>
          <w:color w:val="1A1A1A"/>
          <w:sz w:val="20"/>
          <w:szCs w:val="20"/>
        </w:rPr>
        <w:t xml:space="preserve">The Firm will assess the Client’s readiness against the SOC 2 Trust Services Criteria as defined by the American Institute of Certified Public Accountants (AICPA). The assessment will cover the following Trust Services Categories:</w:t>
      </w:r>
    </w:p>
    <w:p>
      <w:pPr>
        <w:pStyle w:val="ListParagraph"/>
        <w:numPr>
          <w:ilvl w:val="0"/>
          <w:numId w:val="2"/>
        </w:numPr>
        <w:spacing w:after="40" w:before="40"/>
      </w:pPr>
      <w:r>
        <w:rPr>
          <w:rFonts w:ascii="Arial" w:cs="Arial" w:eastAsia="Arial" w:hAnsi="Arial"/>
          <w:color w:val="1A1A1A"/>
          <w:sz w:val="20"/>
          <w:szCs w:val="20"/>
        </w:rPr>
        <w:t xml:space="preserve">Security (CC series) — mandatory baseline for all SOC 2 engagements</w:t>
      </w:r>
    </w:p>
    <w:p>
      <w:pPr>
        <w:pStyle w:val="ListParagraph"/>
        <w:numPr>
          <w:ilvl w:val="0"/>
          <w:numId w:val="2"/>
        </w:numPr>
        <w:spacing w:after="40" w:before="40"/>
      </w:pPr>
      <w:r>
        <w:rPr>
          <w:rFonts w:ascii="Arial" w:cs="Arial" w:eastAsia="Arial" w:hAnsi="Arial"/>
          <w:color w:val="1A1A1A"/>
          <w:sz w:val="20"/>
          <w:szCs w:val="20"/>
        </w:rPr>
        <w:t xml:space="preserve">Availability (A series) — included based on the Client’s managed IT services model and client contractual obligations</w:t>
      </w:r>
    </w:p>
    <w:p>
      <w:pPr>
        <w:spacing w:after="0" w:before="0" w:line="120"/>
      </w:pPr>
      <w:r>
        <w:t xml:space="preserve"/>
      </w:r>
    </w:p>
    <w:p>
      <w:pPr>
        <w:spacing w:after="140" w:before="0"/>
      </w:pPr>
      <w:r>
        <w:rPr>
          <w:rFonts w:ascii="Arial" w:cs="Arial" w:eastAsia="Arial" w:hAnsi="Arial"/>
          <w:color w:val="1A1A1A"/>
          <w:sz w:val="20"/>
          <w:szCs w:val="20"/>
        </w:rPr>
        <w:t xml:space="preserve">The readiness assessment will evaluate the design and operating effectiveness of relevant controls, identify gaps against the criteria, and provide the Client with an understanding of the evidence and documentation required for a future SOC 2 Type I or Type II audit.</w:t>
      </w:r>
    </w:p>
    <w:p>
      <w:pPr>
        <w:pStyle w:val="Heading2"/>
        <w:spacing w:after="80" w:before="240"/>
      </w:pPr>
      <w:r>
        <w:rPr>
          <w:rFonts w:ascii="Arial" w:cs="Arial" w:eastAsia="Arial" w:hAnsi="Arial"/>
          <w:b/>
          <w:bCs/>
          <w:color w:val="1B2A4A"/>
          <w:sz w:val="22"/>
          <w:szCs w:val="22"/>
        </w:rPr>
        <w:t xml:space="preserve">2.3   Risk Register</w:t>
      </w:r>
    </w:p>
    <w:p>
      <w:pPr>
        <w:spacing w:after="140" w:before="0"/>
      </w:pPr>
      <w:r>
        <w:rPr>
          <w:rFonts w:ascii="Arial" w:cs="Arial" w:eastAsia="Arial" w:hAnsi="Arial"/>
          <w:color w:val="1A1A1A"/>
          <w:sz w:val="20"/>
          <w:szCs w:val="20"/>
        </w:rPr>
        <w:t xml:space="preserve">The Firm will develop a Risk Register documenting identified risks arising from the gap assessment. Each risk entry will include a risk description, associated asset or process, likelihood and impact ratings, inherent risk score, proposed treatment option, and residual risk estimate. The Risk Register will serve as a foundational document for the Client’s ongoing information security risk management programme.</w:t>
      </w:r>
    </w:p>
    <w:p>
      <w:pPr>
        <w:pStyle w:val="Heading2"/>
        <w:spacing w:after="80" w:before="240"/>
      </w:pPr>
      <w:r>
        <w:rPr>
          <w:rFonts w:ascii="Arial" w:cs="Arial" w:eastAsia="Arial" w:hAnsi="Arial"/>
          <w:b/>
          <w:bCs/>
          <w:color w:val="1B2A4A"/>
          <w:sz w:val="22"/>
          <w:szCs w:val="22"/>
        </w:rPr>
        <w:t xml:space="preserve">2.4   Statement of Applicability (SoA)</w:t>
      </w:r>
    </w:p>
    <w:p>
      <w:pPr>
        <w:spacing w:after="140" w:before="0"/>
      </w:pPr>
      <w:r>
        <w:rPr>
          <w:rFonts w:ascii="Arial" w:cs="Arial" w:eastAsia="Arial" w:hAnsi="Arial"/>
          <w:color w:val="1A1A1A"/>
          <w:sz w:val="20"/>
          <w:szCs w:val="20"/>
        </w:rPr>
        <w:t xml:space="preserve">The Firm will prepare the Statement of Applicability for ISO 27001:2022, documenting the applicability of each of the 93 Annex A controls, the justification for inclusion or exclusion, and the current implementation status. The SoA is a mandatory artefact under ISO 27001:2022 Clause 6.1.3(b) and will be developed in consultation with the Client’s designated point of contact.</w:t>
      </w:r>
    </w:p>
    <w:p>
      <w:pPr>
        <w:pStyle w:val="Heading2"/>
        <w:spacing w:after="80" w:before="240"/>
      </w:pPr>
      <w:r>
        <w:rPr>
          <w:rFonts w:ascii="Arial" w:cs="Arial" w:eastAsia="Arial" w:hAnsi="Arial"/>
          <w:b/>
          <w:bCs/>
          <w:color w:val="1B2A4A"/>
          <w:sz w:val="22"/>
          <w:szCs w:val="22"/>
        </w:rPr>
        <w:t xml:space="preserve">2.5   Remediation Roadmap</w:t>
      </w:r>
    </w:p>
    <w:p>
      <w:pPr>
        <w:spacing w:after="140" w:before="0"/>
      </w:pPr>
      <w:r>
        <w:rPr>
          <w:rFonts w:ascii="Arial" w:cs="Arial" w:eastAsia="Arial" w:hAnsi="Arial"/>
          <w:color w:val="1A1A1A"/>
          <w:sz w:val="20"/>
          <w:szCs w:val="20"/>
        </w:rPr>
        <w:t xml:space="preserve">Based on the findings of the gap assessment and the Risk Register, the Firm will develop a prioritised Remediation Roadmap. The Roadmap will group remediation actions by priority (Critical, High, Medium, Low), estimated effort, recommended ownership, and indicative timelines. It will provide the Client with a structured and sequenced plan to address identified gaps and progress towards ISO 27001:2022 certification readiness and SOC 2 audit readiness.</w:t>
      </w:r>
    </w:p>
    <w:p>
      <w:r>
        <w:br w:type="page"/>
      </w:r>
    </w:p>
    <w:p>
      <w:pPr>
        <w:pStyle w:val="Heading1"/>
        <w:spacing w:after="120" w:before="320"/>
      </w:pPr>
      <w:r>
        <w:rPr>
          <w:rFonts w:ascii="Arial" w:cs="Arial" w:eastAsia="Arial" w:hAnsi="Arial"/>
          <w:b/>
          <w:bCs/>
          <w:color w:val="1B2A4A"/>
          <w:sz w:val="26"/>
          <w:szCs w:val="26"/>
        </w:rPr>
        <w:t xml:space="preserve">3.   Out of Scope</w:t>
      </w:r>
    </w:p>
    <w:p>
      <w:pPr>
        <w:spacing w:after="140" w:before="0"/>
      </w:pPr>
      <w:r>
        <w:rPr>
          <w:rFonts w:ascii="Arial" w:cs="Arial" w:eastAsia="Arial" w:hAnsi="Arial"/>
          <w:color w:val="1A1A1A"/>
          <w:sz w:val="20"/>
          <w:szCs w:val="20"/>
        </w:rPr>
        <w:t xml:space="preserve">The following activities and areas are explicitly excluded from this engagement. Exclusions are noted to prevent scope misalignment and to ensure clarity of responsibilities between both parties.</w:t>
      </w:r>
    </w:p>
    <w:p>
      <w:pPr>
        <w:pStyle w:val="ListParagraph"/>
        <w:numPr>
          <w:ilvl w:val="0"/>
          <w:numId w:val="2"/>
        </w:numPr>
        <w:spacing w:after="40" w:before="40"/>
      </w:pPr>
      <w:r>
        <w:rPr>
          <w:rFonts w:ascii="Arial" w:cs="Arial" w:eastAsia="Arial" w:hAnsi="Arial"/>
          <w:color w:val="1A1A1A"/>
          <w:sz w:val="20"/>
          <w:szCs w:val="20"/>
        </w:rPr>
        <w:t xml:space="preserve">Implementation of controls or remediation activities — these remain the sole responsibility of the Client and fall outside the advisory mandate of this engagement.</w:t>
      </w:r>
    </w:p>
    <w:p>
      <w:pPr>
        <w:pStyle w:val="ListParagraph"/>
        <w:numPr>
          <w:ilvl w:val="0"/>
          <w:numId w:val="2"/>
        </w:numPr>
        <w:spacing w:after="40" w:before="40"/>
      </w:pPr>
      <w:r>
        <w:rPr>
          <w:rFonts w:ascii="Arial" w:cs="Arial" w:eastAsia="Arial" w:hAnsi="Arial"/>
          <w:color w:val="1A1A1A"/>
          <w:sz w:val="20"/>
          <w:szCs w:val="20"/>
        </w:rPr>
        <w:t xml:space="preserve">Penetration testing, vulnerability scanning, or any form of technical security testing of systems, networks, or applications.</w:t>
      </w:r>
    </w:p>
    <w:p>
      <w:pPr>
        <w:pStyle w:val="ListParagraph"/>
        <w:numPr>
          <w:ilvl w:val="0"/>
          <w:numId w:val="2"/>
        </w:numPr>
        <w:spacing w:after="40" w:before="40"/>
      </w:pPr>
      <w:r>
        <w:rPr>
          <w:rFonts w:ascii="Arial" w:cs="Arial" w:eastAsia="Arial" w:hAnsi="Arial"/>
          <w:color w:val="1A1A1A"/>
          <w:sz w:val="20"/>
          <w:szCs w:val="20"/>
        </w:rPr>
        <w:t xml:space="preserve">Third-party or supplier security assessments beyond a review of the Client’s existing vendor management process and documentation.</w:t>
      </w:r>
    </w:p>
    <w:p>
      <w:pPr>
        <w:pStyle w:val="ListParagraph"/>
        <w:numPr>
          <w:ilvl w:val="0"/>
          <w:numId w:val="2"/>
        </w:numPr>
        <w:spacing w:after="40" w:before="40"/>
      </w:pPr>
      <w:r>
        <w:rPr>
          <w:rFonts w:ascii="Arial" w:cs="Arial" w:eastAsia="Arial" w:hAnsi="Arial"/>
          <w:color w:val="1A1A1A"/>
          <w:sz w:val="20"/>
          <w:szCs w:val="20"/>
        </w:rPr>
        <w:t xml:space="preserve">Certification audit — this engagement is a gap assessment and readiness review only. Formal ISO 27001:2022 certification requires a separate audit conducted by an accredited Certification Body.</w:t>
      </w:r>
    </w:p>
    <w:p>
      <w:pPr>
        <w:pStyle w:val="ListParagraph"/>
        <w:numPr>
          <w:ilvl w:val="0"/>
          <w:numId w:val="2"/>
        </w:numPr>
        <w:spacing w:after="40" w:before="40"/>
      </w:pPr>
      <w:r>
        <w:rPr>
          <w:rFonts w:ascii="Arial" w:cs="Arial" w:eastAsia="Arial" w:hAnsi="Arial"/>
          <w:color w:val="1A1A1A"/>
          <w:sz w:val="20"/>
          <w:szCs w:val="20"/>
        </w:rPr>
        <w:t xml:space="preserve">SOC 2 Type I or Type II audit — the deliverable of this engagement is a readiness assessment, not a formal audit opinion.</w:t>
      </w:r>
    </w:p>
    <w:p>
      <w:pPr>
        <w:pStyle w:val="ListParagraph"/>
        <w:numPr>
          <w:ilvl w:val="0"/>
          <w:numId w:val="2"/>
        </w:numPr>
        <w:spacing w:after="40" w:before="40"/>
      </w:pPr>
      <w:r>
        <w:rPr>
          <w:rFonts w:ascii="Arial" w:cs="Arial" w:eastAsia="Arial" w:hAnsi="Arial"/>
          <w:color w:val="1A1A1A"/>
          <w:sz w:val="20"/>
          <w:szCs w:val="20"/>
        </w:rPr>
        <w:t xml:space="preserve">Legal or regulatory advice — the Firm provides compliance advisory services only and does not provide legal counsel.</w:t>
      </w:r>
    </w:p>
    <w:p>
      <w:pPr>
        <w:spacing w:after="0" w:before="0" w:line="160"/>
      </w:pPr>
      <w:r>
        <w:t xml:space="preserve"/>
      </w:r>
    </w:p>
    <w:p>
      <w:pPr>
        <w:pStyle w:val="Heading1"/>
        <w:spacing w:after="120" w:before="320"/>
      </w:pPr>
      <w:r>
        <w:rPr>
          <w:rFonts w:ascii="Arial" w:cs="Arial" w:eastAsia="Arial" w:hAnsi="Arial"/>
          <w:b/>
          <w:bCs/>
          <w:color w:val="1B2A4A"/>
          <w:sz w:val="26"/>
          <w:szCs w:val="26"/>
        </w:rPr>
        <w:t xml:space="preserve">4.   Deliverables</w:t>
      </w:r>
    </w:p>
    <w:p>
      <w:pPr>
        <w:spacing w:after="140" w:before="0"/>
      </w:pPr>
      <w:r>
        <w:rPr>
          <w:rFonts w:ascii="Arial" w:cs="Arial" w:eastAsia="Arial" w:hAnsi="Arial"/>
          <w:color w:val="1A1A1A"/>
          <w:sz w:val="20"/>
          <w:szCs w:val="20"/>
        </w:rPr>
        <w:t xml:space="preserve">The Firm will produce the following deliverables over the course of this engagement. All deliverables will be subject to an internal quality review before submission to the Client.</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Ref</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Deliverable</w:t>
            </w:r>
          </w:p>
        </w:tc>
        <w:tc>
          <w:tcPr>
            <w:tcW w:type="dxa" w:w="38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Format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RCA-P1-002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ISO 27001:2022 Gap Assessment Report</w:t>
            </w:r>
          </w:p>
        </w:tc>
        <w:tc>
          <w:tcPr>
            <w:tcW w:type="dxa" w:w="3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Word Document</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RCA-P1-003</w:t>
            </w:r>
          </w:p>
        </w:tc>
        <w:tc>
          <w:tcPr>
            <w:tcW w:type="dxa" w:w="4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SOC 2 Gap Assessment Report</w:t>
            </w:r>
          </w:p>
        </w:tc>
        <w:tc>
          <w:tcPr>
            <w:tcW w:type="dxa" w:w="3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Word Document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RCA-P1-004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Statement of Applicability (SoA)</w:t>
            </w:r>
          </w:p>
        </w:tc>
        <w:tc>
          <w:tcPr>
            <w:tcW w:type="dxa" w:w="3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Excel Workbook</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RCA-P1-005</w:t>
            </w:r>
          </w:p>
        </w:tc>
        <w:tc>
          <w:tcPr>
            <w:tcW w:type="dxa" w:w="4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Risk Register</w:t>
            </w:r>
          </w:p>
        </w:tc>
        <w:tc>
          <w:tcPr>
            <w:tcW w:type="dxa" w:w="3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Excel Workbook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RCA-P1-006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Remediation Roadmap</w:t>
            </w:r>
          </w:p>
        </w:tc>
        <w:tc>
          <w:tcPr>
            <w:tcW w:type="dxa" w:w="3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Excel Workbook</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RCA-P1-007</w:t>
            </w:r>
          </w:p>
        </w:tc>
        <w:tc>
          <w:tcPr>
            <w:tcW w:type="dxa" w:w="4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Executive Summary</w:t>
            </w:r>
          </w:p>
        </w:tc>
        <w:tc>
          <w:tcPr>
            <w:tcW w:type="dxa" w:w="3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Word Document</w:t>
            </w:r>
          </w:p>
        </w:tc>
      </w:tr>
    </w:tbl>
    <w:p>
      <w:pPr>
        <w:spacing w:after="0" w:before="0" w:line="240"/>
      </w:pPr>
      <w:r>
        <w:t xml:space="preserve"/>
      </w:r>
    </w:p>
    <w:p>
      <w:pPr>
        <w:spacing w:after="140" w:before="0"/>
      </w:pPr>
      <w:r>
        <w:rPr>
          <w:rFonts w:ascii="Arial" w:cs="Arial" w:eastAsia="Arial" w:hAnsi="Arial"/>
          <w:color w:val="1A1A1A"/>
          <w:sz w:val="20"/>
          <w:szCs w:val="20"/>
        </w:rPr>
        <w:t xml:space="preserve">Drafts of each deliverable will be shared with the Client for review and comment prior to finalisation. The Client will be afforded a five (5) business day review period for each draft document. Final versions will be issued following incorporation of the Client’s feedback.</w:t>
      </w:r>
    </w:p>
    <w:p>
      <w:pPr>
        <w:pStyle w:val="Heading1"/>
        <w:spacing w:after="120" w:before="320"/>
      </w:pPr>
      <w:r>
        <w:rPr>
          <w:rFonts w:ascii="Arial" w:cs="Arial" w:eastAsia="Arial" w:hAnsi="Arial"/>
          <w:b/>
          <w:bCs/>
          <w:color w:val="1B2A4A"/>
          <w:sz w:val="26"/>
          <w:szCs w:val="26"/>
        </w:rPr>
        <w:t xml:space="preserve">5.   Engagement Timeline</w:t>
      </w:r>
    </w:p>
    <w:p>
      <w:pPr>
        <w:spacing w:after="140" w:before="0"/>
      </w:pPr>
      <w:r>
        <w:rPr>
          <w:rFonts w:ascii="Arial" w:cs="Arial" w:eastAsia="Arial" w:hAnsi="Arial"/>
          <w:color w:val="1A1A1A"/>
          <w:sz w:val="20"/>
          <w:szCs w:val="20"/>
        </w:rPr>
        <w:t xml:space="preserve">The engagement is scheduled to run from 02 October 2023 to 28 February 2024 across six phases. The timeline below is indicative and subject to adjustment based on the availability of Client documentation and personnel.</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Timeline</w:t>
            </w:r>
          </w:p>
        </w:tc>
        <w:tc>
          <w:tcPr>
            <w:tcW w:type="dxa" w:w="48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Oct 2023</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Engagement kick-off, document collection, stakeholder interviews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Phase 2</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Oct – Nov 2023</w:t>
            </w:r>
          </w:p>
        </w:tc>
        <w:tc>
          <w:tcPr>
            <w:tcW w:type="dxa" w:w="4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ISO 27001:2022 Gap Assessment — all 93 Annex A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Nov – Dec 2023</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SOC 2 Readiness Assessment — Security &amp; Availability criteria</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Phase 4</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Dec 2023 – Jan 2024</w:t>
            </w:r>
          </w:p>
        </w:tc>
        <w:tc>
          <w:tcPr>
            <w:tcW w:type="dxa" w:w="4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Risk Register development and Statement of Applicability (SoA) preparation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Jan – Feb 2024</w:t>
            </w:r>
          </w:p>
        </w:tc>
        <w:tc>
          <w:tcPr>
            <w:tcW w:type="dxa" w:w="4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Remediation Roadmap development and draft report review</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Phase 6</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Feb 2024</w:t>
            </w:r>
          </w:p>
        </w:tc>
        <w:tc>
          <w:tcPr>
            <w:tcW w:type="dxa" w:w="4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Final report delivery and executive debrief</w:t>
            </w:r>
          </w:p>
        </w:tc>
      </w:tr>
    </w:tbl>
    <w:p>
      <w:pPr>
        <w:spacing w:after="0" w:before="0" w:line="160"/>
      </w:pPr>
      <w:r>
        <w:t xml:space="preserve"/>
      </w:r>
    </w:p>
    <w:p>
      <w:r>
        <w:br w:type="page"/>
      </w:r>
    </w:p>
    <w:p>
      <w:pPr>
        <w:pStyle w:val="Heading1"/>
        <w:spacing w:after="120" w:before="320"/>
      </w:pPr>
      <w:r>
        <w:rPr>
          <w:rFonts w:ascii="Arial" w:cs="Arial" w:eastAsia="Arial" w:hAnsi="Arial"/>
          <w:b/>
          <w:bCs/>
          <w:color w:val="1B2A4A"/>
          <w:sz w:val="26"/>
          <w:szCs w:val="26"/>
        </w:rPr>
        <w:t xml:space="preserve">6.   Roles and Responsibilities</w:t>
      </w:r>
    </w:p>
    <w:p>
      <w:pPr>
        <w:spacing w:after="140" w:before="0"/>
      </w:pPr>
      <w:r>
        <w:rPr>
          <w:rFonts w:ascii="Arial" w:cs="Arial" w:eastAsia="Arial" w:hAnsi="Arial"/>
          <w:color w:val="1A1A1A"/>
          <w:sz w:val="20"/>
          <w:szCs w:val="20"/>
        </w:rPr>
        <w:t xml:space="preserve">The successful execution of this engagement depends on active participation and cooperation from both the Firm and the Client. The responsibilities of each party are set out below.</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Resolute Compliance Advisory LLP</w:t>
            </w:r>
          </w:p>
        </w:tc>
        <w:tc>
          <w:tcPr>
            <w:tcW w:type="dxa" w:w="4819"/>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Brightpath Technologies Pvt. Ltd.</w:t>
            </w:r>
          </w:p>
        </w:tc>
      </w:tr>
      <w:tr>
        <w:tc>
          <w:tcPr>
            <w:tcW w:type="dxa" w:w="4819"/>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pStyle w:val="ListParagraph"/>
              <w:numPr>
                <w:ilvl w:val="0"/>
                <w:numId w:val="2"/>
              </w:numPr>
              <w:spacing w:after="40" w:before="40"/>
            </w:pPr>
            <w:r>
              <w:rPr>
                <w:rFonts w:ascii="Arial" w:cs="Arial" w:eastAsia="Arial" w:hAnsi="Arial"/>
                <w:color w:val="1A1A1A"/>
                <w:sz w:val="19"/>
                <w:szCs w:val="19"/>
              </w:rPr>
              <w:t xml:space="preserve">Conduct gap assessment against ISO 27001:2022 Annex A controls</w:t>
            </w:r>
          </w:p>
          <w:p>
            <w:pPr>
              <w:pStyle w:val="ListParagraph"/>
              <w:numPr>
                <w:ilvl w:val="0"/>
                <w:numId w:val="2"/>
              </w:numPr>
              <w:spacing w:after="40" w:before="40"/>
            </w:pPr>
            <w:r>
              <w:rPr>
                <w:rFonts w:ascii="Arial" w:cs="Arial" w:eastAsia="Arial" w:hAnsi="Arial"/>
                <w:color w:val="1A1A1A"/>
                <w:sz w:val="19"/>
                <w:szCs w:val="19"/>
              </w:rPr>
              <w:t xml:space="preserve">Evaluate readiness against SOC 2 Trust Services Criteria (Security and Availability)</w:t>
            </w:r>
          </w:p>
          <w:p>
            <w:pPr>
              <w:pStyle w:val="ListParagraph"/>
              <w:numPr>
                <w:ilvl w:val="0"/>
                <w:numId w:val="2"/>
              </w:numPr>
              <w:spacing w:after="40" w:before="40"/>
            </w:pPr>
            <w:r>
              <w:rPr>
                <w:rFonts w:ascii="Arial" w:cs="Arial" w:eastAsia="Arial" w:hAnsi="Arial"/>
                <w:color w:val="1A1A1A"/>
                <w:sz w:val="19"/>
                <w:szCs w:val="19"/>
              </w:rPr>
              <w:t xml:space="preserve">Review existing policies, procedures, and documentation</w:t>
            </w:r>
          </w:p>
          <w:p>
            <w:pPr>
              <w:pStyle w:val="ListParagraph"/>
              <w:numPr>
                <w:ilvl w:val="0"/>
                <w:numId w:val="2"/>
              </w:numPr>
              <w:spacing w:after="40" w:before="40"/>
            </w:pPr>
            <w:r>
              <w:rPr>
                <w:rFonts w:ascii="Arial" w:cs="Arial" w:eastAsia="Arial" w:hAnsi="Arial"/>
                <w:color w:val="1A1A1A"/>
                <w:sz w:val="19"/>
                <w:szCs w:val="19"/>
              </w:rPr>
              <w:t xml:space="preserve">Develop the Statement of Applicability (SoA)</w:t>
            </w:r>
          </w:p>
          <w:p>
            <w:pPr>
              <w:pStyle w:val="ListParagraph"/>
              <w:numPr>
                <w:ilvl w:val="0"/>
                <w:numId w:val="2"/>
              </w:numPr>
              <w:spacing w:after="40" w:before="40"/>
            </w:pPr>
            <w:r>
              <w:rPr>
                <w:rFonts w:ascii="Arial" w:cs="Arial" w:eastAsia="Arial" w:hAnsi="Arial"/>
                <w:color w:val="1A1A1A"/>
                <w:sz w:val="19"/>
                <w:szCs w:val="19"/>
              </w:rPr>
              <w:t xml:space="preserve">Prepare the Risk Register based on identified gaps</w:t>
            </w:r>
          </w:p>
          <w:p>
            <w:pPr>
              <w:pStyle w:val="ListParagraph"/>
              <w:numPr>
                <w:ilvl w:val="0"/>
                <w:numId w:val="2"/>
              </w:numPr>
              <w:spacing w:after="40" w:before="40"/>
            </w:pPr>
            <w:r>
              <w:rPr>
                <w:rFonts w:ascii="Arial" w:cs="Arial" w:eastAsia="Arial" w:hAnsi="Arial"/>
                <w:color w:val="1A1A1A"/>
                <w:sz w:val="19"/>
                <w:szCs w:val="19"/>
              </w:rPr>
              <w:t xml:space="preserve">Develop a prioritised Remediation Roadmap</w:t>
            </w:r>
          </w:p>
          <w:p>
            <w:pPr>
              <w:pStyle w:val="ListParagraph"/>
              <w:numPr>
                <w:ilvl w:val="0"/>
                <w:numId w:val="2"/>
              </w:numPr>
              <w:spacing w:after="40" w:before="40"/>
            </w:pPr>
            <w:r>
              <w:rPr>
                <w:rFonts w:ascii="Arial" w:cs="Arial" w:eastAsia="Arial" w:hAnsi="Arial"/>
                <w:color w:val="1A1A1A"/>
                <w:sz w:val="19"/>
                <w:szCs w:val="19"/>
              </w:rPr>
              <w:t xml:space="preserve">Deliver a comprehensive Gap Assessment Report and Executive Summary</w:t>
            </w:r>
          </w:p>
          <w:p>
            <w:pPr>
              <w:pStyle w:val="ListParagraph"/>
              <w:numPr>
                <w:ilvl w:val="0"/>
                <w:numId w:val="2"/>
              </w:numPr>
              <w:spacing w:after="40" w:before="40"/>
            </w:pPr>
            <w:r>
              <w:rPr>
                <w:rFonts w:ascii="Arial" w:cs="Arial" w:eastAsia="Arial" w:hAnsi="Arial"/>
                <w:color w:val="1A1A1A"/>
                <w:sz w:val="19"/>
                <w:szCs w:val="19"/>
              </w:rPr>
              <w:t xml:space="preserve">Conduct a debrief session with senior management upon completion</w:t>
            </w:r>
          </w:p>
        </w:tc>
        <w:tc>
          <w:tcPr>
            <w:tcW w:type="dxa" w:w="4819"/>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pStyle w:val="ListParagraph"/>
              <w:numPr>
                <w:ilvl w:val="0"/>
                <w:numId w:val="2"/>
              </w:numPr>
              <w:spacing w:after="40" w:before="40"/>
            </w:pPr>
            <w:r>
              <w:rPr>
                <w:rFonts w:ascii="Arial" w:cs="Arial" w:eastAsia="Arial" w:hAnsi="Arial"/>
                <w:color w:val="1A1A1A"/>
                <w:sz w:val="19"/>
                <w:szCs w:val="19"/>
              </w:rPr>
              <w:t xml:space="preserve">Designate a primary point of contact for the duration of the engagement</w:t>
            </w:r>
          </w:p>
          <w:p>
            <w:pPr>
              <w:pStyle w:val="ListParagraph"/>
              <w:numPr>
                <w:ilvl w:val="0"/>
                <w:numId w:val="2"/>
              </w:numPr>
              <w:spacing w:after="40" w:before="40"/>
            </w:pPr>
            <w:r>
              <w:rPr>
                <w:rFonts w:ascii="Arial" w:cs="Arial" w:eastAsia="Arial" w:hAnsi="Arial"/>
                <w:color w:val="1A1A1A"/>
                <w:sz w:val="19"/>
                <w:szCs w:val="19"/>
              </w:rPr>
              <w:t xml:space="preserve">Provide timely access to documentation, systems, and relevant personnel</w:t>
            </w:r>
          </w:p>
          <w:p>
            <w:pPr>
              <w:pStyle w:val="ListParagraph"/>
              <w:numPr>
                <w:ilvl w:val="0"/>
                <w:numId w:val="2"/>
              </w:numPr>
              <w:spacing w:after="40" w:before="40"/>
            </w:pPr>
            <w:r>
              <w:rPr>
                <w:rFonts w:ascii="Arial" w:cs="Arial" w:eastAsia="Arial" w:hAnsi="Arial"/>
                <w:color w:val="1A1A1A"/>
                <w:sz w:val="19"/>
                <w:szCs w:val="19"/>
              </w:rPr>
              <w:t xml:space="preserve">Facilitate interviews with department heads and system owners as required</w:t>
            </w:r>
          </w:p>
          <w:p>
            <w:pPr>
              <w:pStyle w:val="ListParagraph"/>
              <w:numPr>
                <w:ilvl w:val="0"/>
                <w:numId w:val="2"/>
              </w:numPr>
              <w:spacing w:after="40" w:before="40"/>
            </w:pPr>
            <w:r>
              <w:rPr>
                <w:rFonts w:ascii="Arial" w:cs="Arial" w:eastAsia="Arial" w:hAnsi="Arial"/>
                <w:color w:val="1A1A1A"/>
                <w:sz w:val="19"/>
                <w:szCs w:val="19"/>
              </w:rPr>
              <w:t xml:space="preserve">Review and provide feedback on draft deliverables within agreed timelines</w:t>
            </w:r>
          </w:p>
          <w:p>
            <w:pPr>
              <w:pStyle w:val="ListParagraph"/>
              <w:numPr>
                <w:ilvl w:val="0"/>
                <w:numId w:val="2"/>
              </w:numPr>
              <w:spacing w:after="40" w:before="40"/>
            </w:pPr>
            <w:r>
              <w:rPr>
                <w:rFonts w:ascii="Arial" w:cs="Arial" w:eastAsia="Arial" w:hAnsi="Arial"/>
                <w:color w:val="1A1A1A"/>
                <w:sz w:val="19"/>
                <w:szCs w:val="19"/>
              </w:rPr>
              <w:t xml:space="preserve">Ensure staff availability for scheduled interviews and walkthroughs</w:t>
            </w:r>
          </w:p>
          <w:p>
            <w:pPr>
              <w:pStyle w:val="ListParagraph"/>
              <w:numPr>
                <w:ilvl w:val="0"/>
                <w:numId w:val="2"/>
              </w:numPr>
              <w:spacing w:after="40" w:before="40"/>
            </w:pPr>
            <w:r>
              <w:rPr>
                <w:rFonts w:ascii="Arial" w:cs="Arial" w:eastAsia="Arial" w:hAnsi="Arial"/>
                <w:color w:val="1A1A1A"/>
                <w:sz w:val="19"/>
                <w:szCs w:val="19"/>
              </w:rPr>
              <w:t xml:space="preserve">Communicate any material changes to the organisation or IT environment during the engagement</w:t>
            </w:r>
          </w:p>
        </w:tc>
      </w:tr>
    </w:tbl>
    <w:p>
      <w:pPr>
        <w:spacing w:after="0" w:before="0" w:line="240"/>
      </w:pPr>
      <w:r>
        <w:t xml:space="preserve"/>
      </w:r>
    </w:p>
    <w:p>
      <w:pPr>
        <w:pStyle w:val="Heading1"/>
        <w:spacing w:after="120" w:before="320"/>
      </w:pPr>
      <w:r>
        <w:rPr>
          <w:rFonts w:ascii="Arial" w:cs="Arial" w:eastAsia="Arial" w:hAnsi="Arial"/>
          <w:b/>
          <w:bCs/>
          <w:color w:val="1B2A4A"/>
          <w:sz w:val="26"/>
          <w:szCs w:val="26"/>
        </w:rPr>
        <w:t xml:space="preserve">7.   Assumptions and Dependencies</w:t>
      </w:r>
    </w:p>
    <w:p>
      <w:pPr>
        <w:spacing w:after="140" w:before="0"/>
      </w:pPr>
      <w:r>
        <w:rPr>
          <w:rFonts w:ascii="Arial" w:cs="Arial" w:eastAsia="Arial" w:hAnsi="Arial"/>
          <w:color w:val="1A1A1A"/>
          <w:sz w:val="20"/>
          <w:szCs w:val="20"/>
        </w:rPr>
        <w:t xml:space="preserve">This engagement is undertaken on the basis of the following assumptions:</w:t>
      </w:r>
    </w:p>
    <w:p>
      <w:pPr>
        <w:pStyle w:val="ListParagraph"/>
        <w:numPr>
          <w:ilvl w:val="0"/>
          <w:numId w:val="2"/>
        </w:numPr>
        <w:spacing w:after="40" w:before="40"/>
      </w:pPr>
      <w:r>
        <w:rPr>
          <w:rFonts w:ascii="Arial" w:cs="Arial" w:eastAsia="Arial" w:hAnsi="Arial"/>
          <w:color w:val="1A1A1A"/>
          <w:sz w:val="20"/>
          <w:szCs w:val="20"/>
        </w:rPr>
        <w:t xml:space="preserve">The Client will provide accurate, complete, and timely access to all documentation, evidence, and personnel required to support the assessment.</w:t>
      </w:r>
    </w:p>
    <w:p>
      <w:pPr>
        <w:pStyle w:val="ListParagraph"/>
        <w:numPr>
          <w:ilvl w:val="0"/>
          <w:numId w:val="2"/>
        </w:numPr>
        <w:spacing w:after="40" w:before="40"/>
      </w:pPr>
      <w:r>
        <w:rPr>
          <w:rFonts w:ascii="Arial" w:cs="Arial" w:eastAsia="Arial" w:hAnsi="Arial"/>
          <w:color w:val="1A1A1A"/>
          <w:sz w:val="20"/>
          <w:szCs w:val="20"/>
        </w:rPr>
        <w:t xml:space="preserve">The primary point of contact designated by the Client has the authority to provide information on behalf of the organisation and to commit to review timelines.</w:t>
      </w:r>
    </w:p>
    <w:p>
      <w:pPr>
        <w:pStyle w:val="ListParagraph"/>
        <w:numPr>
          <w:ilvl w:val="0"/>
          <w:numId w:val="2"/>
        </w:numPr>
        <w:spacing w:after="40" w:before="40"/>
      </w:pPr>
      <w:r>
        <w:rPr>
          <w:rFonts w:ascii="Arial" w:cs="Arial" w:eastAsia="Arial" w:hAnsi="Arial"/>
          <w:color w:val="1A1A1A"/>
          <w:sz w:val="20"/>
          <w:szCs w:val="20"/>
        </w:rPr>
        <w:t xml:space="preserve">The scope of the assessment will not change materially during the engagement without prior written agreement.</w:t>
      </w:r>
    </w:p>
    <w:p>
      <w:pPr>
        <w:pStyle w:val="ListParagraph"/>
        <w:numPr>
          <w:ilvl w:val="0"/>
          <w:numId w:val="2"/>
        </w:numPr>
        <w:spacing w:after="40" w:before="40"/>
      </w:pPr>
      <w:r>
        <w:rPr>
          <w:rFonts w:ascii="Arial" w:cs="Arial" w:eastAsia="Arial" w:hAnsi="Arial"/>
          <w:color w:val="1A1A1A"/>
          <w:sz w:val="20"/>
          <w:szCs w:val="20"/>
        </w:rPr>
        <w:t xml:space="preserve">Interviews and walkthroughs will be conducted remotely via video conferencing unless otherwise agreed by both parties.</w:t>
      </w:r>
    </w:p>
    <w:p>
      <w:pPr>
        <w:pStyle w:val="ListParagraph"/>
        <w:numPr>
          <w:ilvl w:val="0"/>
          <w:numId w:val="2"/>
        </w:numPr>
        <w:spacing w:after="40" w:before="40"/>
      </w:pPr>
      <w:r>
        <w:rPr>
          <w:rFonts w:ascii="Arial" w:cs="Arial" w:eastAsia="Arial" w:hAnsi="Arial"/>
          <w:color w:val="1A1A1A"/>
          <w:sz w:val="20"/>
          <w:szCs w:val="20"/>
        </w:rPr>
        <w:t xml:space="preserve">The Client’s IT environment and organisational structure will not undergo significant change during the engagement period without prior notification to the Firm.</w:t>
      </w:r>
    </w:p>
    <w:p>
      <w:pPr>
        <w:spacing w:after="0" w:before="0" w:line="160"/>
      </w:pPr>
      <w:r>
        <w:t xml:space="preserve"/>
      </w:r>
    </w:p>
    <w:p>
      <w:pPr>
        <w:pStyle w:val="Heading1"/>
        <w:spacing w:after="120" w:before="320"/>
      </w:pPr>
      <w:r>
        <w:rPr>
          <w:rFonts w:ascii="Arial" w:cs="Arial" w:eastAsia="Arial" w:hAnsi="Arial"/>
          <w:b/>
          <w:bCs/>
          <w:color w:val="1B2A4A"/>
          <w:sz w:val="26"/>
          <w:szCs w:val="26"/>
        </w:rPr>
        <w:t xml:space="preserve">8.   Confidentiality</w:t>
      </w:r>
    </w:p>
    <w:p>
      <w:pPr>
        <w:spacing w:after="140" w:before="0"/>
      </w:pPr>
      <w:r>
        <w:rPr>
          <w:rFonts w:ascii="Arial" w:cs="Arial" w:eastAsia="Arial" w:hAnsi="Arial"/>
          <w:color w:val="1A1A1A"/>
          <w:sz w:val="20"/>
          <w:szCs w:val="20"/>
        </w:rPr>
        <w:t xml:space="preserve">All information shared by the Client in the course of this engagement will be treated as strictly confidential. The Firm will not disclose, reproduce, or share any Client information with third parties without the prior written consent of the Client, except where required by law or regulation.</w:t>
      </w:r>
    </w:p>
    <w:p>
      <w:pPr>
        <w:spacing w:after="140" w:before="0"/>
      </w:pPr>
      <w:r>
        <w:rPr>
          <w:rFonts w:ascii="Arial" w:cs="Arial" w:eastAsia="Arial" w:hAnsi="Arial"/>
          <w:color w:val="1A1A1A"/>
          <w:sz w:val="20"/>
          <w:szCs w:val="20"/>
        </w:rPr>
        <w:t xml:space="preserve">All deliverables produced under this engagement are classified as CONFIDENTIAL and are intended solely for the use of the named Client. Distribution of deliverables to third parties requires the prior written approval of Resolute Compliance Advisory LLP.</w:t>
      </w:r>
    </w:p>
    <w:p>
      <w:pPr>
        <w:pStyle w:val="Heading1"/>
        <w:spacing w:after="120" w:before="320"/>
      </w:pPr>
      <w:r>
        <w:rPr>
          <w:rFonts w:ascii="Arial" w:cs="Arial" w:eastAsia="Arial" w:hAnsi="Arial"/>
          <w:b/>
          <w:bCs/>
          <w:color w:val="1B2A4A"/>
          <w:sz w:val="26"/>
          <w:szCs w:val="26"/>
        </w:rPr>
        <w:t xml:space="preserve">9.   Acceptance</w:t>
      </w:r>
    </w:p>
    <w:p>
      <w:pPr>
        <w:spacing w:after="140" w:before="0"/>
      </w:pPr>
      <w:r>
        <w:rPr>
          <w:rFonts w:ascii="Arial" w:cs="Arial" w:eastAsia="Arial" w:hAnsi="Arial"/>
          <w:color w:val="1A1A1A"/>
          <w:sz w:val="20"/>
          <w:szCs w:val="20"/>
        </w:rPr>
        <w:t xml:space="preserve">By signing below, the parties confirm their agreement to the terms, scope, and conditions set out in this Engagement Letter and Scope of Work. This document, once executed, constitutes a binding agreement between Resolute Compliance Advisory LLP and Brightpath Technologies Pvt. Ltd. for the purposes of this engagement.</w:t>
      </w:r>
    </w:p>
    <w:p>
      <w:pPr>
        <w:spacing w:after="0" w:before="0" w:line="400"/>
      </w:pPr>
      <w:r>
        <w:t xml:space="preserve"/>
      </w:r>
    </w:p>
    <w:tbl>
      <w:tblPr>
        <w:tblW w:type="dxa" w:w="9638"/>
        <w:tblBorders>
          <w:top w:val="none"/>
          <w:left w:val="none"/>
          <w:bottom w:val="none"/>
          <w:right w:val="none"/>
          <w:insideH w:val="single" w:color="auto" w:sz="4"/>
          <w:insideV w:val="single" w:color="auto" w:sz="4"/>
        </w:tblBorders>
      </w:tblPr>
      <w:tblGrid>
        <w:gridCol w:w="4619"/>
        <w:gridCol w:w="5019"/>
      </w:tblGrid>
      <w:tr>
        <w:tc>
          <w:tcPr>
            <w:tcW w:type="dxa" w:w="4619"/>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1B2A4A" w:sz="6" w:space="1"/>
              </w:pBdr>
              <w:spacing w:after="80" w:before="560"/>
            </w:pPr>
            <w:r>
              <w:t xml:space="preserve"/>
            </w:r>
          </w:p>
          <w:p>
            <w:r>
              <w:rPr>
                <w:rFonts w:ascii="Arial" w:cs="Arial" w:eastAsia="Arial" w:hAnsi="Arial"/>
                <w:b/>
                <w:bCs/>
                <w:color w:val="1B2A4A"/>
                <w:sz w:val="20"/>
                <w:szCs w:val="20"/>
              </w:rPr>
              <w:t xml:space="preserve">kay Shahbaaz</w:t>
            </w:r>
          </w:p>
          <w:p>
            <w:r>
              <w:rPr>
                <w:rFonts w:ascii="Arial" w:cs="Arial" w:eastAsia="Arial" w:hAnsi="Arial"/>
                <w:color w:val="666666"/>
                <w:sz w:val="19"/>
                <w:szCs w:val="19"/>
              </w:rPr>
              <w:t xml:space="preserve">GRC Analyst</w:t>
            </w:r>
          </w:p>
          <w:p>
            <w:r>
              <w:rPr>
                <w:rFonts w:ascii="Arial" w:cs="Arial" w:eastAsia="Arial" w:hAnsi="Arial"/>
                <w:color w:val="666666"/>
                <w:sz w:val="19"/>
                <w:szCs w:val="19"/>
              </w:rPr>
              <w:t xml:space="preserve">Resolute Compliance Advisory LLP</w:t>
            </w:r>
          </w:p>
          <w:p>
            <w:r>
              <w:rPr>
                <w:rFonts w:ascii="Arial" w:cs="Arial" w:eastAsia="Arial" w:hAnsi="Arial"/>
                <w:color w:val="666666"/>
                <w:sz w:val="19"/>
                <w:szCs w:val="19"/>
              </w:rPr>
              <w:t xml:space="preserve">02 October 2023</w:t>
            </w:r>
          </w:p>
        </w:tc>
        <w:tc>
          <w:tcPr>
            <w:tcW w:type="dxa" w:w="5019"/>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r>
    </w:tbl>
    <w:sectPr>
      <w:headerReference w:type="default" r:id="rId7"/>
      <w:footerReference w:type="default" r:id="rId8"/>
      <w:pgSz w:w="11906" w:h="16838" w:orient="portrait"/>
      <w:pgMar w:top="1800" w:right="1134" w:bottom="16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8A951" w:sz="6" w:space="1"/>
      </w:pBdr>
      <w:spacing w:after="80" w:before="0"/>
    </w:pPr>
    <w:r>
      <w:t xml:space="preserve"/>
    </w:r>
  </w:p>
  <w:p>
    <w:pPr>
      <w:tabs>
        <w:tab w:val="center" w:pos="4819"/>
        <w:tab w:val="right" w:pos="9638"/>
      </w:tabs>
      <w:spacing w:after="0" w:before="40"/>
    </w:pPr>
    <w:r>
      <w:rPr>
        <w:rFonts w:ascii="Arial" w:cs="Arial" w:eastAsia="Arial" w:hAnsi="Arial"/>
        <w:color w:val="666666"/>
        <w:sz w:val="16"/>
        <w:szCs w:val="16"/>
      </w:rPr>
      <w:t xml:space="preserve">Resolute Compliance Advisory LLP  ·  RCA-P1-001  ·  v1.0</w:t>
    </w:r>
    <w:r>
      <w:rPr>
        <w:rFonts w:ascii="Arial" w:cs="Arial" w:eastAsia="Arial" w:hAnsi="Arial"/>
        <w:sz w:val="16"/>
        <w:szCs w:val="16"/>
      </w:rPr>
      <w:t xml:space="preserve">	</w:t>
    </w:r>
    <w:r>
      <w:rPr>
        <w:rFonts w:ascii="Arial" w:cs="Arial" w:eastAsia="Arial" w:hAnsi="Arial"/>
        <w:b/>
        <w:bCs/>
        <w:color w:val="1B2A4A"/>
        <w:sz w:val="16"/>
        <w:szCs w:val="16"/>
      </w:rPr>
      <w:t xml:space="preserve">CONFIDENTIAL</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left w:val="none"/>
        <w:bottom w:val="none"/>
        <w:right w:val="none"/>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B2A4A" w:val="clear"/>
          <w:tcMar>
            <w:top w:type="dxa" w:w="100"/>
            <w:left w:type="dxa" w:w="160"/>
            <w:bottom w:type="dxa" w:w="100"/>
            <w:right w:type="dxa" w:w="80"/>
          </w:tcMar>
          <w:vAlign w:val="center"/>
        </w:tcPr>
        <w:p>
          <w:r>
            <w:rPr>
              <w:rFonts w:ascii="Arial" w:cs="Arial" w:eastAsia="Arial" w:hAnsi="Arial"/>
              <w:b/>
              <w:bCs/>
              <w:color w:val="C8A951"/>
              <w:sz w:val="26"/>
              <w:szCs w:val="26"/>
            </w:rPr>
            <w:t xml:space="preserve">RESOLUTE</w:t>
          </w:r>
        </w:p>
        <w:p>
          <w:r>
            <w:rPr>
              <w:rFonts w:ascii="Arial" w:cs="Arial" w:eastAsia="Arial" w:hAnsi="Arial"/>
              <w:b/>
              <w:bCs/>
              <w:color w:val="FFFFFF"/>
              <w:sz w:val="18"/>
              <w:szCs w:val="18"/>
            </w:rPr>
            <w:t xml:space="preserve">COMPLIANCE ADVISORY  LLP</w:t>
          </w:r>
        </w:p>
      </w:tc>
      <w:tc>
        <w:tcPr>
          <w:tcW w:type="dxa" w:w="2800"/>
          <w:tcBorders>
            <w:top w:val="none" w:color="FFFFFF" w:sz="0"/>
            <w:left w:val="none" w:color="FFFFFF" w:sz="0"/>
            <w:bottom w:val="none" w:color="FFFFFF" w:sz="0"/>
            <w:right w:val="none" w:color="FFFFFF" w:sz="0"/>
          </w:tcBorders>
          <w:shd w:fill="C8A951" w:val="clear"/>
          <w:tcMar>
            <w:top w:type="dxa" w:w="100"/>
            <w:left w:type="dxa" w:w="120"/>
            <w:bottom w:type="dxa" w:w="100"/>
            <w:right w:type="dxa" w:w="120"/>
          </w:tcMar>
          <w:vAlign w:val="center"/>
        </w:tcPr>
        <w:p>
          <w:pPr>
            <w:jc w:val="center"/>
          </w:pPr>
          <w:r>
            <w:rPr>
              <w:rFonts w:ascii="Arial" w:cs="Arial" w:eastAsia="Arial" w:hAnsi="Arial"/>
              <w:color w:val="1B2A4A"/>
              <w:sz w:val="16"/>
              <w:szCs w:val="16"/>
            </w:rPr>
            <w:t xml:space="preserve">Governance · Risk · Compliance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2026-06-20T06:26:48.487Z</dcterms:created>
  <dcterms:modified xsi:type="dcterms:W3CDTF">2026-06-20T06:26:48.488Z</dcterms:modified>
</cp:coreProperties>
</file>

<file path=docProps/custom.xml><?xml version="1.0" encoding="utf-8"?>
<Properties xmlns="http://schemas.openxmlformats.org/officeDocument/2006/custom-properties" xmlns:vt="http://schemas.openxmlformats.org/officeDocument/2006/docPropsVTypes"/>
</file>