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60" w:before="0"/>
        <w:jc w:val="center"/>
      </w:pPr>
      <w:r>
        <w:rPr>
          <w:rFonts w:ascii="Arial" w:cs="Arial" w:eastAsia="Arial" w:hAnsi="Arial"/>
          <w:b/>
          <w:bCs/>
          <w:color w:val="1B2A4A"/>
          <w:sz w:val="44"/>
          <w:szCs w:val="44"/>
        </w:rPr>
        <w:t xml:space="preserve">EXECUTIVE SUMMARY</w:t>
      </w:r>
    </w:p>
    <w:p>
      <w:pPr>
        <w:spacing w:after="60" w:before="0"/>
        <w:jc w:val="center"/>
      </w:pPr>
      <w:r>
        <w:rPr>
          <w:rFonts w:ascii="Arial" w:cs="Arial" w:eastAsia="Arial" w:hAnsi="Arial"/>
          <w:color w:val="C8A951"/>
          <w:sz w:val="24"/>
          <w:szCs w:val="24"/>
        </w:rPr>
        <w:t xml:space="preserve">ISO 27001:2022 + SOC 2 Compliance Assessment</w:t>
      </w:r>
    </w:p>
    <w:p>
      <w:pPr>
        <w:spacing w:after="400" w:before="0"/>
        <w:jc w:val="center"/>
      </w:pPr>
      <w:r>
        <w:rPr>
          <w:rFonts w:ascii="Arial" w:cs="Arial" w:eastAsia="Arial" w:hAnsi="Arial"/>
          <w:color w:val="666666"/>
          <w:sz w:val="20"/>
          <w:szCs w:val="20"/>
        </w:rPr>
        <w:t xml:space="preserve">RCA-P1-007  ·  Final  ·  28 February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A951" w:sz="1"/>
              <w:left w:val="single" w:color="C8A951" w:sz="1"/>
              <w:bottom w:val="single" w:color="C8A951" w:sz="1"/>
              <w:right w:val="single" w:color="C8A951" w:sz="1"/>
            </w:tcBorders>
            <w:shd w:fill="EEF1F7" w:val="clear"/>
            <w:tcMar>
              <w:top w:type="dxa" w:w="200"/>
              <w:left w:type="dxa" w:w="240"/>
              <w:bottom w:type="dxa" w:w="200"/>
              <w:right w:type="dxa" w:w="240"/>
            </w:tcMar>
          </w:tcPr>
          <w:p>
            <w:pPr>
              <w:spacing w:after="80" w:before="0"/>
              <w:jc w:val="center"/>
            </w:pPr>
            <w:r>
              <w:rPr>
                <w:rFonts w:ascii="Arial" w:cs="Arial" w:eastAsia="Arial" w:hAnsi="Arial"/>
                <w:color w:val="666666"/>
                <w:sz w:val="18"/>
                <w:szCs w:val="18"/>
              </w:rPr>
              <w:t xml:space="preserve">Prepared for</w:t>
            </w:r>
          </w:p>
          <w:p>
            <w:pPr>
              <w:spacing w:after="60" w:before="0"/>
              <w:jc w:val="center"/>
            </w:pPr>
            <w:r>
              <w:rPr>
                <w:rFonts w:ascii="Arial" w:cs="Arial" w:eastAsia="Arial" w:hAnsi="Arial"/>
                <w:b/>
                <w:bCs/>
                <w:color w:val="1B2A4A"/>
                <w:sz w:val="26"/>
                <w:szCs w:val="26"/>
              </w:rPr>
              <w:t xml:space="preserve">Brightpath Technologies Pvt. Ltd.</w:t>
            </w:r>
          </w:p>
          <w:p>
            <w:pPr>
              <w:spacing w:after="60" w:before="0"/>
              <w:jc w:val="center"/>
            </w:pPr>
            <w:r>
              <w:rPr>
                <w:rFonts w:ascii="Arial" w:cs="Arial" w:eastAsia="Arial" w:hAnsi="Arial"/>
                <w:color w:val="666666"/>
                <w:sz w:val="20"/>
                <w:szCs w:val="20"/>
              </w:rPr>
              <w:t xml:space="preserve">IT Services  ·  Bengaluru, India</w:t>
            </w:r>
          </w:p>
          <w:p>
            <w:pPr>
              <w:spacing w:after="0" w:before="0"/>
              <w:jc w:val="center"/>
            </w:pPr>
            <w:r>
              <w:rPr>
                <w:rFonts w:ascii="Arial" w:cs="Arial" w:eastAsia="Arial" w:hAnsi="Arial"/>
                <w:color w:val="1A1A1A"/>
                <w:sz w:val="20"/>
                <w:szCs w:val="20"/>
              </w:rPr>
              <w:t xml:space="preserve">Engagement Period: 02 October 2023 – 28 February 2024</w:t>
            </w:r>
          </w:p>
        </w:tc>
      </w:tr>
    </w:tbl>
    <w:p>
      <w:pPr>
        <w:spacing w:after="0" w:before="0" w:line="3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Prepared by</w:t>
            </w:r>
          </w:p>
          <w:p>
            <w:r>
              <w:rPr>
                <w:rFonts w:ascii="Arial" w:cs="Arial" w:eastAsia="Arial" w:hAnsi="Arial"/>
                <w:b/>
                <w:bCs/>
                <w:color w:val="FFFFFF"/>
                <w:sz w:val="20"/>
                <w:szCs w:val="20"/>
              </w:rPr>
              <w:t xml:space="preserve">kay Shahbaaz</w:t>
            </w:r>
          </w:p>
        </w:tc>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Title</w:t>
            </w:r>
          </w:p>
          <w:p>
            <w:r>
              <w:rPr>
                <w:rFonts w:ascii="Arial" w:cs="Arial" w:eastAsia="Arial" w:hAnsi="Arial"/>
                <w:b/>
                <w:bCs/>
                <w:color w:val="FFFFFF"/>
                <w:sz w:val="20"/>
                <w:szCs w:val="20"/>
              </w:rPr>
              <w:t xml:space="preserve">GRC Analyst</w:t>
            </w:r>
          </w:p>
        </w:tc>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Date</w:t>
            </w:r>
          </w:p>
          <w:p>
            <w:r>
              <w:rPr>
                <w:rFonts w:ascii="Arial" w:cs="Arial" w:eastAsia="Arial" w:hAnsi="Arial"/>
                <w:b/>
                <w:bCs/>
                <w:color w:val="FFFFFF"/>
                <w:sz w:val="20"/>
                <w:szCs w:val="20"/>
              </w:rPr>
              <w:t xml:space="preserve">28 February 2024</w:t>
            </w:r>
          </w:p>
        </w:tc>
      </w:tr>
    </w:tbl>
    <w:p>
      <w:pPr>
        <w:spacing w:after="0" w:before="0" w:line="3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A951" w:sz="1"/>
              <w:left w:val="single" w:color="C8A951" w:sz="1"/>
              <w:bottom w:val="single" w:color="C8A951" w:sz="1"/>
              <w:right w:val="single" w:color="C8A951" w:sz="1"/>
            </w:tcBorders>
            <w:shd w:fill="EEF1F7" w:val="clear"/>
            <w:tcMar>
              <w:top w:type="dxa" w:w="140"/>
              <w:left w:type="dxa" w:w="200"/>
              <w:bottom w:type="dxa" w:w="140"/>
              <w:right w:type="dxa" w:w="200"/>
            </w:tcMar>
          </w:tcPr>
          <w:p>
            <w:pPr>
              <w:spacing w:after="60" w:before="0"/>
              <w:jc w:val="center"/>
            </w:pPr>
            <w:r>
              <w:rPr>
                <w:rFonts w:ascii="Arial" w:cs="Arial" w:eastAsia="Arial" w:hAnsi="Arial"/>
                <w:b/>
                <w:bCs/>
                <w:color w:val="1B2A4A"/>
                <w:sz w:val="18"/>
                <w:szCs w:val="18"/>
              </w:rPr>
              <w:t xml:space="preserve">CONFIDENTIALITY NOTICE</w:t>
            </w:r>
          </w:p>
          <w:p>
            <w:pPr>
              <w:spacing w:after="0" w:before="0"/>
              <w:jc w:val="both"/>
            </w:pPr>
            <w:r>
              <w:rPr>
                <w:rFonts w:ascii="Arial" w:cs="Arial" w:eastAsia="Arial" w:hAnsi="Arial"/>
                <w:color w:val="666666"/>
                <w:sz w:val="17"/>
                <w:szCs w:val="17"/>
              </w:rPr>
              <w:t xml:space="preserve">This document is prepared exclusively for Brightpath Technologies Pvt. Ltd. and contains confidential information belonging to Resolute Compliance Advisory LLP. It may not be disclosed, reproduced, or distributed to any third party without prior written consent.</w:t>
            </w:r>
          </w:p>
        </w:tc>
      </w:tr>
    </w:tbl>
    <w:p>
      <w:r>
        <w:br w:type="page"/>
      </w:r>
    </w:p>
    <w:p>
      <w:pPr>
        <w:pStyle w:val="Heading1"/>
        <w:spacing w:after="120" w:before="320"/>
      </w:pPr>
      <w:r>
        <w:rPr>
          <w:rFonts w:ascii="Arial" w:cs="Arial" w:eastAsia="Arial" w:hAnsi="Arial"/>
          <w:b/>
          <w:bCs/>
          <w:color w:val="1B2A4A"/>
          <w:sz w:val="26"/>
          <w:szCs w:val="26"/>
        </w:rPr>
        <w:t xml:space="preserve">Document Control</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68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Document Title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Executive Summary — ISO 27001:2022 + SOC 2 Compliance Assessment</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Document Ref</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RCA-P1-007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Client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Technologies Pvt. Ltd.</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Frameworks</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ISO 27001:2022 + SOC 2 (Security + Availability)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Prepared by</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kay Shahbaaz</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Reviewed by</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Resolute Compliance Advisory LLP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Date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28 February 2024</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Version</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Classification</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Status</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Final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Supporting Docs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RCA-P1-001 through RCA-P1-006</w:t>
            </w:r>
          </w:p>
        </w:tc>
      </w:tr>
    </w:tbl>
    <w:p>
      <w:r>
        <w:br w:type="page"/>
      </w:r>
    </w:p>
    <w:p>
      <w:pPr>
        <w:pStyle w:val="Heading1"/>
        <w:spacing w:after="120" w:before="320"/>
      </w:pPr>
      <w:r>
        <w:rPr>
          <w:rFonts w:ascii="Arial" w:cs="Arial" w:eastAsia="Arial" w:hAnsi="Arial"/>
          <w:b/>
          <w:bCs/>
          <w:color w:val="1B2A4A"/>
          <w:sz w:val="26"/>
          <w:szCs w:val="26"/>
        </w:rPr>
        <w:t xml:space="preserve">1.   Purpose and Scope</w:t>
      </w:r>
    </w:p>
    <w:p>
      <w:pPr>
        <w:spacing w:after="140" w:before="0"/>
        <w:jc w:val="both"/>
      </w:pPr>
      <w:r>
        <w:rPr>
          <w:rFonts w:ascii="Arial" w:cs="Arial" w:eastAsia="Arial" w:hAnsi="Arial"/>
          <w:color w:val="1A1A1A"/>
          <w:sz w:val="20"/>
          <w:szCs w:val="20"/>
        </w:rPr>
        <w:t xml:space="preserve">This Executive Summary presents the key findings, risk posture, and strategic recommendations arising from the ISO 27001:2022 Gap Assessment and SOC 2 Readiness Assessment conducted by Resolute Compliance Advisory LLP on behalf of Brightpath Technologies Pvt. Ltd. It is intended for review by senior management and the Board.</w:t>
      </w:r>
    </w:p>
    <w:p>
      <w:pPr>
        <w:spacing w:after="140" w:before="0"/>
        <w:jc w:val="both"/>
      </w:pPr>
      <w:r>
        <w:rPr>
          <w:rFonts w:ascii="Arial" w:cs="Arial" w:eastAsia="Arial" w:hAnsi="Arial"/>
          <w:color w:val="1A1A1A"/>
          <w:sz w:val="20"/>
          <w:szCs w:val="20"/>
        </w:rPr>
        <w:t xml:space="preserve">The full technical findings are documented in the supporting engagement deliverables (RCA-P1-002 through RCA-P1-006). This document provides the management-level view required to understand Brightpath's current information security posture, the investment required to achieve compliance, and the commercial case for acting on the identified gaps.</w:t>
      </w:r>
    </w:p>
    <w:p>
      <w:pPr>
        <w:pStyle w:val="Heading2"/>
        <w:spacing w:after="80" w:before="240"/>
      </w:pPr>
      <w:r>
        <w:rPr>
          <w:rFonts w:ascii="Arial" w:cs="Arial" w:eastAsia="Arial" w:hAnsi="Arial"/>
          <w:b/>
          <w:bCs/>
          <w:color w:val="1B2A4A"/>
          <w:sz w:val="22"/>
          <w:szCs w:val="22"/>
        </w:rPr>
        <w:t xml:space="preserve">1.1   Engagement Context</w:t>
      </w:r>
    </w:p>
    <w:p>
      <w:pPr>
        <w:spacing w:after="140" w:before="0"/>
        <w:jc w:val="both"/>
      </w:pPr>
      <w:r>
        <w:rPr>
          <w:rFonts w:ascii="Arial" w:cs="Arial" w:eastAsia="Arial" w:hAnsi="Arial"/>
          <w:color w:val="1A1A1A"/>
          <w:sz w:val="20"/>
          <w:szCs w:val="20"/>
        </w:rPr>
        <w:t xml:space="preserve">Brightpath Technologies provides managed IT services and custom software solutions to clients in the United States. As US-based clients increasingly require their service providers to demonstrate formal compliance with security frameworks — including ISO 27001:2022 certification and SOC 2 attestation — Brightpath's ability to compete for and retain this business is directly tied to the outcome of this engagement.</w:t>
      </w:r>
    </w:p>
    <w:p>
      <w:pPr>
        <w:spacing w:after="140" w:before="0"/>
        <w:jc w:val="both"/>
      </w:pPr>
      <w:r>
        <w:rPr>
          <w:rFonts w:ascii="Arial" w:cs="Arial" w:eastAsia="Arial" w:hAnsi="Arial"/>
          <w:color w:val="1A1A1A"/>
          <w:sz w:val="20"/>
          <w:szCs w:val="20"/>
        </w:rPr>
        <w:t xml:space="preserve">The assessment was conducted between October 2023 and January 2024 and covers all 93 ISO 27001:2022 Annex A controls and 30 SOC 2 Trust Services Criteria across the Security and Availability categories.</w:t>
      </w:r>
    </w:p>
    <w:p>
      <w:r>
        <w:br w:type="page"/>
      </w:r>
    </w:p>
    <w:p>
      <w:pPr>
        <w:pStyle w:val="Heading1"/>
        <w:spacing w:after="120" w:before="320"/>
      </w:pPr>
      <w:r>
        <w:rPr>
          <w:rFonts w:ascii="Arial" w:cs="Arial" w:eastAsia="Arial" w:hAnsi="Arial"/>
          <w:b/>
          <w:bCs/>
          <w:color w:val="1B2A4A"/>
          <w:sz w:val="26"/>
          <w:szCs w:val="26"/>
        </w:rPr>
        <w:t xml:space="preserve">2.   Key Findings at a Glance</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c>
          <w:tcPr>
            <w:tcW w:type="dxa" w:w="1606"/>
            <w:tcBorders>
              <w:top w:val="single" w:color="FFFFFF" w:sz="1"/>
              <w:left w:val="single" w:color="FFFFFF" w:sz="1"/>
              <w:bottom w:val="single" w:color="FFFFFF" w:sz="1"/>
              <w:right w:val="single" w:color="FFFFFF" w:sz="1"/>
            </w:tcBorders>
            <w:shd w:fill="EEF1F7" w:val="clear"/>
            <w:tcMar>
              <w:top w:type="dxa" w:w="120"/>
              <w:left w:type="dxa" w:w="80"/>
              <w:bottom w:type="dxa" w:w="120"/>
              <w:right w:type="dxa" w:w="80"/>
            </w:tcMar>
            <w:vAlign w:val="center"/>
          </w:tcPr>
          <w:p>
            <w:pPr>
              <w:spacing w:after="40" w:before="0"/>
              <w:jc w:val="center"/>
            </w:pPr>
            <w:r>
              <w:rPr>
                <w:rFonts w:ascii="Arial" w:cs="Arial" w:eastAsia="Arial" w:hAnsi="Arial"/>
                <w:b/>
                <w:bCs/>
                <w:color w:val="D35400"/>
                <w:sz w:val="36"/>
                <w:szCs w:val="36"/>
              </w:rPr>
              <w:t xml:space="preserve">37.6%</w:t>
            </w:r>
          </w:p>
          <w:p>
            <w:pPr>
              <w:spacing w:after="40" w:before="0"/>
              <w:jc w:val="center"/>
            </w:pPr>
            <w:r>
              <w:rPr>
                <w:rFonts w:ascii="Arial" w:cs="Arial" w:eastAsia="Arial" w:hAnsi="Arial"/>
                <w:b/>
                <w:bCs/>
                <w:color w:val="1B2A4A"/>
                <w:sz w:val="16"/>
                <w:szCs w:val="16"/>
              </w:rPr>
              <w:t xml:space="preserve">ISO 27001:2022
Conformance</w:t>
            </w:r>
          </w:p>
          <w:p>
            <w:pPr>
              <w:spacing w:after="0" w:before="0"/>
              <w:jc w:val="center"/>
            </w:pPr>
            <w:r>
              <w:rPr>
                <w:rFonts w:ascii="Arial" w:cs="Arial" w:eastAsia="Arial" w:hAnsi="Arial"/>
                <w:color w:val="666666"/>
                <w:sz w:val="15"/>
                <w:szCs w:val="15"/>
              </w:rPr>
              <w:t xml:space="preserve">35 of 93 controls</w:t>
            </w:r>
          </w:p>
        </w:tc>
        <w:tc>
          <w:tcPr>
            <w:tcW w:type="dxa" w:w="1606"/>
            <w:tcBorders>
              <w:top w:val="single" w:color="FFFFFF" w:sz="1"/>
              <w:left w:val="single" w:color="FFFFFF" w:sz="1"/>
              <w:bottom w:val="single" w:color="FFFFFF" w:sz="1"/>
              <w:right w:val="single" w:color="FFFFFF" w:sz="1"/>
            </w:tcBorders>
            <w:shd w:fill="EEF1F7" w:val="clear"/>
            <w:tcMar>
              <w:top w:type="dxa" w:w="120"/>
              <w:left w:type="dxa" w:w="80"/>
              <w:bottom w:type="dxa" w:w="120"/>
              <w:right w:type="dxa" w:w="80"/>
            </w:tcMar>
            <w:vAlign w:val="center"/>
          </w:tcPr>
          <w:p>
            <w:pPr>
              <w:spacing w:after="40" w:before="0"/>
              <w:jc w:val="center"/>
            </w:pPr>
            <w:r>
              <w:rPr>
                <w:rFonts w:ascii="Arial" w:cs="Arial" w:eastAsia="Arial" w:hAnsi="Arial"/>
                <w:b/>
                <w:bCs/>
                <w:color w:val="C0392B"/>
                <w:sz w:val="36"/>
                <w:szCs w:val="36"/>
              </w:rPr>
              <w:t xml:space="preserve">6</w:t>
            </w:r>
          </w:p>
          <w:p>
            <w:pPr>
              <w:spacing w:after="40" w:before="0"/>
              <w:jc w:val="center"/>
            </w:pPr>
            <w:r>
              <w:rPr>
                <w:rFonts w:ascii="Arial" w:cs="Arial" w:eastAsia="Arial" w:hAnsi="Arial"/>
                <w:b/>
                <w:bCs/>
                <w:color w:val="1B2A4A"/>
                <w:sz w:val="16"/>
                <w:szCs w:val="16"/>
              </w:rPr>
              <w:t xml:space="preserve">Critical
Findings</w:t>
            </w:r>
          </w:p>
          <w:p>
            <w:pPr>
              <w:spacing w:after="0" w:before="0"/>
              <w:jc w:val="center"/>
            </w:pPr>
            <w:r>
              <w:rPr>
                <w:rFonts w:ascii="Arial" w:cs="Arial" w:eastAsia="Arial" w:hAnsi="Arial"/>
                <w:color w:val="666666"/>
                <w:sz w:val="15"/>
                <w:szCs w:val="15"/>
              </w:rPr>
              <w:t xml:space="preserve">Require immediate action</w:t>
            </w:r>
          </w:p>
        </w:tc>
        <w:tc>
          <w:tcPr>
            <w:tcW w:type="dxa" w:w="1606"/>
            <w:tcBorders>
              <w:top w:val="single" w:color="FFFFFF" w:sz="1"/>
              <w:left w:val="single" w:color="FFFFFF" w:sz="1"/>
              <w:bottom w:val="single" w:color="FFFFFF" w:sz="1"/>
              <w:right w:val="single" w:color="FFFFFF" w:sz="1"/>
            </w:tcBorders>
            <w:shd w:fill="EEF1F7" w:val="clear"/>
            <w:tcMar>
              <w:top w:type="dxa" w:w="120"/>
              <w:left w:type="dxa" w:w="80"/>
              <w:bottom w:type="dxa" w:w="120"/>
              <w:right w:type="dxa" w:w="80"/>
            </w:tcMar>
            <w:vAlign w:val="center"/>
          </w:tcPr>
          <w:p>
            <w:pPr>
              <w:spacing w:after="40" w:before="0"/>
              <w:jc w:val="center"/>
            </w:pPr>
            <w:r>
              <w:rPr>
                <w:rFonts w:ascii="Arial" w:cs="Arial" w:eastAsia="Arial" w:hAnsi="Arial"/>
                <w:b/>
                <w:bCs/>
                <w:color w:val="D35400"/>
                <w:sz w:val="36"/>
                <w:szCs w:val="36"/>
              </w:rPr>
              <w:t xml:space="preserve">27</w:t>
            </w:r>
          </w:p>
          <w:p>
            <w:pPr>
              <w:spacing w:after="40" w:before="0"/>
              <w:jc w:val="center"/>
            </w:pPr>
            <w:r>
              <w:rPr>
                <w:rFonts w:ascii="Arial" w:cs="Arial" w:eastAsia="Arial" w:hAnsi="Arial"/>
                <w:b/>
                <w:bCs/>
                <w:color w:val="1B2A4A"/>
                <w:sz w:val="16"/>
                <w:szCs w:val="16"/>
              </w:rPr>
              <w:t xml:space="preserve">Total Risks
Identified</w:t>
            </w:r>
          </w:p>
          <w:p>
            <w:pPr>
              <w:spacing w:after="0" w:before="0"/>
              <w:jc w:val="center"/>
            </w:pPr>
            <w:r>
              <w:rPr>
                <w:rFonts w:ascii="Arial" w:cs="Arial" w:eastAsia="Arial" w:hAnsi="Arial"/>
                <w:color w:val="666666"/>
                <w:sz w:val="15"/>
                <w:szCs w:val="15"/>
              </w:rPr>
              <w:t xml:space="preserve">Across 9 domains</w:t>
            </w:r>
          </w:p>
        </w:tc>
        <w:tc>
          <w:tcPr>
            <w:tcW w:type="dxa" w:w="1606"/>
            <w:tcBorders>
              <w:top w:val="single" w:color="FFFFFF" w:sz="1"/>
              <w:left w:val="single" w:color="FFFFFF" w:sz="1"/>
              <w:bottom w:val="single" w:color="FFFFFF" w:sz="1"/>
              <w:right w:val="single" w:color="FFFFFF" w:sz="1"/>
            </w:tcBorders>
            <w:shd w:fill="EEF1F7" w:val="clear"/>
            <w:tcMar>
              <w:top w:type="dxa" w:w="120"/>
              <w:left w:type="dxa" w:w="80"/>
              <w:bottom w:type="dxa" w:w="120"/>
              <w:right w:type="dxa" w:w="80"/>
            </w:tcMar>
            <w:vAlign w:val="center"/>
          </w:tcPr>
          <w:p>
            <w:pPr>
              <w:spacing w:after="40" w:before="0"/>
              <w:jc w:val="center"/>
            </w:pPr>
            <w:r>
              <w:rPr>
                <w:rFonts w:ascii="Arial" w:cs="Arial" w:eastAsia="Arial" w:hAnsi="Arial"/>
                <w:b/>
                <w:bCs/>
                <w:color w:val="C0392B"/>
                <w:sz w:val="36"/>
                <w:szCs w:val="36"/>
              </w:rPr>
              <w:t xml:space="preserve">Not Ready</w:t>
            </w:r>
          </w:p>
          <w:p>
            <w:pPr>
              <w:spacing w:after="40" w:before="0"/>
              <w:jc w:val="center"/>
            </w:pPr>
            <w:r>
              <w:rPr>
                <w:rFonts w:ascii="Arial" w:cs="Arial" w:eastAsia="Arial" w:hAnsi="Arial"/>
                <w:b/>
                <w:bCs/>
                <w:color w:val="1B2A4A"/>
                <w:sz w:val="16"/>
                <w:szCs w:val="16"/>
              </w:rPr>
              <w:t xml:space="preserve">SOC 2
Readiness</w:t>
            </w:r>
          </w:p>
          <w:p>
            <w:pPr>
              <w:spacing w:after="0" w:before="0"/>
              <w:jc w:val="center"/>
            </w:pPr>
            <w:r>
              <w:rPr>
                <w:rFonts w:ascii="Arial" w:cs="Arial" w:eastAsia="Arial" w:hAnsi="Arial"/>
                <w:color w:val="666666"/>
                <w:sz w:val="15"/>
                <w:szCs w:val="15"/>
              </w:rPr>
              <w:t xml:space="preserve">0 of 30 criteria fully met</w:t>
            </w:r>
          </w:p>
        </w:tc>
        <w:tc>
          <w:tcPr>
            <w:tcW w:type="dxa" w:w="1606"/>
            <w:tcBorders>
              <w:top w:val="single" w:color="FFFFFF" w:sz="1"/>
              <w:left w:val="single" w:color="FFFFFF" w:sz="1"/>
              <w:bottom w:val="single" w:color="FFFFFF" w:sz="1"/>
              <w:right w:val="single" w:color="FFFFFF" w:sz="1"/>
            </w:tcBorders>
            <w:shd w:fill="EEF1F7" w:val="clear"/>
            <w:tcMar>
              <w:top w:type="dxa" w:w="120"/>
              <w:left w:type="dxa" w:w="80"/>
              <w:bottom w:type="dxa" w:w="120"/>
              <w:right w:type="dxa" w:w="80"/>
            </w:tcMar>
            <w:vAlign w:val="center"/>
          </w:tcPr>
          <w:p>
            <w:pPr>
              <w:spacing w:after="40" w:before="0"/>
              <w:jc w:val="center"/>
            </w:pPr>
            <w:r>
              <w:rPr>
                <w:rFonts w:ascii="Arial" w:cs="Arial" w:eastAsia="Arial" w:hAnsi="Arial"/>
                <w:b/>
                <w:bCs/>
                <w:color w:val="1B2A4A"/>
                <w:sz w:val="36"/>
                <w:szCs w:val="36"/>
              </w:rPr>
              <w:t xml:space="preserve">34</w:t>
            </w:r>
          </w:p>
          <w:p>
            <w:pPr>
              <w:spacing w:after="40" w:before="0"/>
              <w:jc w:val="center"/>
            </w:pPr>
            <w:r>
              <w:rPr>
                <w:rFonts w:ascii="Arial" w:cs="Arial" w:eastAsia="Arial" w:hAnsi="Arial"/>
                <w:b/>
                <w:bCs/>
                <w:color w:val="1B2A4A"/>
                <w:sz w:val="16"/>
                <w:szCs w:val="16"/>
              </w:rPr>
              <w:t xml:space="preserve">Remediation
Actions</w:t>
            </w:r>
          </w:p>
          <w:p>
            <w:pPr>
              <w:spacing w:after="0" w:before="0"/>
              <w:jc w:val="center"/>
            </w:pPr>
            <w:r>
              <w:rPr>
                <w:rFonts w:ascii="Arial" w:cs="Arial" w:eastAsia="Arial" w:hAnsi="Arial"/>
                <w:color w:val="666666"/>
                <w:sz w:val="15"/>
                <w:szCs w:val="15"/>
              </w:rPr>
              <w:t xml:space="preserve">Feb 2024 – Feb 2025</w:t>
            </w:r>
          </w:p>
        </w:tc>
        <w:tc>
          <w:tcPr>
            <w:tcW w:type="dxa" w:w="1608"/>
            <w:tcBorders>
              <w:top w:val="single" w:color="FFFFFF" w:sz="1"/>
              <w:left w:val="single" w:color="FFFFFF" w:sz="1"/>
              <w:bottom w:val="single" w:color="FFFFFF" w:sz="1"/>
              <w:right w:val="single" w:color="FFFFFF" w:sz="1"/>
            </w:tcBorders>
            <w:shd w:fill="EEF1F7" w:val="clear"/>
            <w:tcMar>
              <w:top w:type="dxa" w:w="120"/>
              <w:left w:type="dxa" w:w="80"/>
              <w:bottom w:type="dxa" w:w="120"/>
              <w:right w:type="dxa" w:w="80"/>
            </w:tcMar>
            <w:vAlign w:val="center"/>
          </w:tcPr>
          <w:p>
            <w:pPr>
              <w:spacing w:after="40" w:before="0"/>
              <w:jc w:val="center"/>
            </w:pPr>
            <w:r>
              <w:rPr>
                <w:rFonts w:ascii="Arial" w:cs="Arial" w:eastAsia="Arial" w:hAnsi="Arial"/>
                <w:b/>
                <w:bCs/>
                <w:color w:val="1E8449"/>
                <w:sz w:val="36"/>
                <w:szCs w:val="36"/>
              </w:rPr>
              <w:t xml:space="preserve">9–12 mo</w:t>
            </w:r>
          </w:p>
          <w:p>
            <w:pPr>
              <w:spacing w:after="40" w:before="0"/>
              <w:jc w:val="center"/>
            </w:pPr>
            <w:r>
              <w:rPr>
                <w:rFonts w:ascii="Arial" w:cs="Arial" w:eastAsia="Arial" w:hAnsi="Arial"/>
                <w:b/>
                <w:bCs/>
                <w:color w:val="1B2A4A"/>
                <w:sz w:val="16"/>
                <w:szCs w:val="16"/>
              </w:rPr>
              <w:t xml:space="preserve">Estimated Time
to Cert Readiness</w:t>
            </w:r>
          </w:p>
          <w:p>
            <w:pPr>
              <w:spacing w:after="0" w:before="0"/>
              <w:jc w:val="center"/>
            </w:pPr>
            <w:r>
              <w:rPr>
                <w:rFonts w:ascii="Arial" w:cs="Arial" w:eastAsia="Arial" w:hAnsi="Arial"/>
                <w:color w:val="666666"/>
                <w:sz w:val="15"/>
                <w:szCs w:val="15"/>
              </w:rPr>
              <w:t xml:space="preserve">ISO 27001:2022 Stage 1</w:t>
            </w:r>
          </w:p>
        </w:tc>
      </w:tr>
    </w:tbl>
    <w:p>
      <w:pPr>
        <w:spacing w:after="0" w:before="0" w:line="320"/>
      </w:pPr>
      <w:r>
        <w:t xml:space="preserve"/>
      </w:r>
    </w:p>
    <w:p>
      <w:pPr>
        <w:spacing w:after="140" w:before="0"/>
        <w:jc w:val="both"/>
      </w:pPr>
      <w:r>
        <w:rPr>
          <w:rFonts w:ascii="Arial" w:cs="Arial" w:eastAsia="Arial" w:hAnsi="Arial"/>
          <w:color w:val="1A1A1A"/>
          <w:sz w:val="20"/>
          <w:szCs w:val="20"/>
        </w:rPr>
        <w:t xml:space="preserve">The figures above summarise the overall outcome of this engagement. Brightpath demonstrates foundational IT capability — the infrastructure, personnel, and operational intent are in place. What is absent is the formal governance layer: documented policies, a risk-driven approach to security decisions, and the management oversight structures required by both frameworks.</w:t>
      </w:r>
    </w:p>
    <w:p>
      <w:pPr>
        <w:spacing w:after="140" w:before="0"/>
        <w:jc w:val="both"/>
      </w:pPr>
      <w:r>
        <w:rPr>
          <w:rFonts w:ascii="Arial" w:cs="Arial" w:eastAsia="Arial" w:hAnsi="Arial"/>
          <w:color w:val="1A1A1A"/>
          <w:sz w:val="20"/>
          <w:szCs w:val="20"/>
        </w:rPr>
        <w:t xml:space="preserve">This is a common profile for a technology organisation at this stage of its compliance journey. The gap is closable within the timeframe proposed in the Remediation Roadmap (RCA-P1-006), provided management commitment and resource allocation are secured promptly.</w:t>
      </w:r>
    </w:p>
    <w:p>
      <w:pPr>
        <w:pStyle w:val="Heading1"/>
        <w:spacing w:after="120" w:before="320"/>
      </w:pPr>
      <w:r>
        <w:rPr>
          <w:rFonts w:ascii="Arial" w:cs="Arial" w:eastAsia="Arial" w:hAnsi="Arial"/>
          <w:b/>
          <w:bCs/>
          <w:color w:val="1B2A4A"/>
          <w:sz w:val="26"/>
          <w:szCs w:val="26"/>
        </w:rPr>
        <w:t xml:space="preserve">3.   ISO 27001:2022 Assessment Summary</w:t>
      </w:r>
    </w:p>
    <w:p>
      <w:pPr>
        <w:pStyle w:val="Heading2"/>
        <w:spacing w:after="80" w:before="240"/>
      </w:pPr>
      <w:r>
        <w:rPr>
          <w:rFonts w:ascii="Arial" w:cs="Arial" w:eastAsia="Arial" w:hAnsi="Arial"/>
          <w:b/>
          <w:bCs/>
          <w:color w:val="1B2A4A"/>
          <w:sz w:val="22"/>
          <w:szCs w:val="22"/>
        </w:rPr>
        <w:t xml:space="preserve">3.1   Overall Conformance</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38"/>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9"/>
                <w:szCs w:val="19"/>
              </w:rPr>
              <w:t xml:space="preserve">Control Theme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Total</w:t>
            </w:r>
          </w:p>
        </w:tc>
        <w:tc>
          <w:tcPr>
            <w:tcW w:type="dxa" w:w="16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Non-Conformant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Partial</w:t>
            </w:r>
          </w:p>
        </w:tc>
        <w:tc>
          <w:tcPr>
            <w:tcW w:type="dxa" w:w="1638"/>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Conformant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Organisational Controls (A.5)</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B2A4A"/>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C0392B"/>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D35400"/>
                <w:sz w:val="20"/>
                <w:szCs w:val="20"/>
              </w:rPr>
              <w:t xml:space="preserve">18</w:t>
            </w:r>
          </w:p>
        </w:tc>
        <w:tc>
          <w:tcPr>
            <w:tcW w:type="dxa" w:w="163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8449"/>
                <w:sz w:val="20"/>
                <w:szCs w:val="20"/>
              </w:rPr>
              <w:t xml:space="preserve">11</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People Controls (A.6)</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1B2A4A"/>
                <w:sz w:val="20"/>
                <w:szCs w:val="20"/>
              </w:rPr>
              <w:t xml:space="preserve">8</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C0392B"/>
                <w:sz w:val="20"/>
                <w:szCs w:val="20"/>
              </w:rPr>
              <w:t xml:space="preserve">1</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D35400"/>
                <w:sz w:val="20"/>
                <w:szCs w:val="20"/>
              </w:rPr>
              <w:t xml:space="preserve">4</w:t>
            </w:r>
          </w:p>
        </w:tc>
        <w:tc>
          <w:tcPr>
            <w:tcW w:type="dxa" w:w="16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1E8449"/>
                <w:sz w:val="20"/>
                <w:szCs w:val="20"/>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Physical Controls (A.7)</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B2A4A"/>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C0392B"/>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D35400"/>
                <w:sz w:val="20"/>
                <w:szCs w:val="20"/>
              </w:rPr>
              <w:t xml:space="preserve">6</w:t>
            </w:r>
          </w:p>
        </w:tc>
        <w:tc>
          <w:tcPr>
            <w:tcW w:type="dxa" w:w="163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8449"/>
                <w:sz w:val="20"/>
                <w:szCs w:val="20"/>
              </w:rPr>
              <w:t xml:space="preserve">6</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Technological Controls (A.8)</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1B2A4A"/>
                <w:sz w:val="20"/>
                <w:szCs w:val="20"/>
              </w:rPr>
              <w:t xml:space="preserve">34</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C0392B"/>
                <w:sz w:val="20"/>
                <w:szCs w:val="20"/>
              </w:rPr>
              <w:t xml:space="preserve">5</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D35400"/>
                <w:sz w:val="20"/>
                <w:szCs w:val="20"/>
              </w:rPr>
              <w:t xml:space="preserve">14</w:t>
            </w:r>
          </w:p>
        </w:tc>
        <w:tc>
          <w:tcPr>
            <w:tcW w:type="dxa" w:w="16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1E8449"/>
                <w:sz w:val="20"/>
                <w:szCs w:val="20"/>
              </w:rPr>
              <w:t xml:space="preserve">15</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TOTAL</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b/>
                <w:bCs/>
                <w:color w:val="1B2A4A"/>
                <w:sz w:val="20"/>
                <w:szCs w:val="20"/>
              </w:rPr>
              <w:t xml:space="preserve">93</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b/>
                <w:bCs/>
                <w:color w:val="C0392B"/>
                <w:sz w:val="20"/>
                <w:szCs w:val="20"/>
              </w:rPr>
              <w:t xml:space="preserve">16</w:t>
            </w:r>
          </w:p>
        </w:tc>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b/>
                <w:bCs/>
                <w:color w:val="D35400"/>
                <w:sz w:val="20"/>
                <w:szCs w:val="20"/>
              </w:rPr>
              <w:t xml:space="preserve">42</w:t>
            </w:r>
          </w:p>
        </w:tc>
        <w:tc>
          <w:tcPr>
            <w:tcW w:type="dxa" w:w="16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b/>
                <w:bCs/>
                <w:color w:val="1E8449"/>
                <w:sz w:val="20"/>
                <w:szCs w:val="20"/>
              </w:rPr>
              <w:t xml:space="preserve">35</w:t>
            </w:r>
          </w:p>
        </w:tc>
      </w:tr>
    </w:tbl>
    <w:p>
      <w:pPr>
        <w:spacing w:after="0" w:before="0" w:line="240"/>
      </w:pPr>
      <w:r>
        <w:t xml:space="preserve"/>
      </w:r>
    </w:p>
    <w:p>
      <w:pPr>
        <w:spacing w:after="140" w:before="0"/>
        <w:jc w:val="both"/>
      </w:pPr>
      <w:r>
        <w:rPr>
          <w:rFonts w:ascii="Arial" w:cs="Arial" w:eastAsia="Arial" w:hAnsi="Arial"/>
          <w:color w:val="1A1A1A"/>
          <w:sz w:val="20"/>
          <w:szCs w:val="20"/>
        </w:rPr>
        <w:t xml:space="preserve">Of the 93 Annex A controls assessed, 35 are Conformant, 42 are Partial (partially implemented with identified gaps), and 16 are Non-Conformant (no implementation evidence). The overall conformance rate of 37.6% reflects an organisation that has basic IT practices in place but has not yet formalised them into a structured Information Security Management System.</w:t>
      </w:r>
    </w:p>
    <w:p>
      <w:pPr>
        <w:pStyle w:val="Heading2"/>
        <w:spacing w:after="80" w:before="240"/>
      </w:pPr>
      <w:r>
        <w:rPr>
          <w:rFonts w:ascii="Arial" w:cs="Arial" w:eastAsia="Arial" w:hAnsi="Arial"/>
          <w:b/>
          <w:bCs/>
          <w:color w:val="1B2A4A"/>
          <w:sz w:val="22"/>
          <w:szCs w:val="22"/>
        </w:rPr>
        <w:t xml:space="preserve">3.2   Six Critical Findings</w:t>
      </w:r>
    </w:p>
    <w:p>
      <w:pPr>
        <w:spacing w:after="140" w:before="0"/>
        <w:jc w:val="both"/>
      </w:pPr>
      <w:r>
        <w:rPr>
          <w:rFonts w:ascii="Arial" w:cs="Arial" w:eastAsia="Arial" w:hAnsi="Arial"/>
          <w:color w:val="1A1A1A"/>
          <w:sz w:val="20"/>
          <w:szCs w:val="20"/>
        </w:rPr>
        <w:t xml:space="preserve">The following six findings represent foundational gaps. Each would independently result in a major non-conformity at a Stage 1 or Stage 2 certification audit. All six must be addressed before Brightpath commences the certification process.</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4238"/>
      </w:tblGrid>
      <w:tr>
        <w:tc>
          <w:tcPr>
            <w:tcW w:type="dxa" w:w="10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r>
              <w:rPr>
                <w:rFonts w:ascii="Arial" w:cs="Arial" w:eastAsia="Arial" w:hAnsi="Arial"/>
                <w:b/>
                <w:bCs/>
                <w:color w:val="FFFFFF"/>
                <w:sz w:val="18"/>
                <w:szCs w:val="18"/>
              </w:rPr>
              <w:t xml:space="preserve">Ref</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Finding</w:t>
            </w:r>
          </w:p>
        </w:tc>
        <w:tc>
          <w:tcPr>
            <w:tcW w:type="dxa" w:w="42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Recommended Action</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F-001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No Information Security Policy or ISMS Framework</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both"/>
            </w:pPr>
            <w:r>
              <w:rPr>
                <w:rFonts w:ascii="Arial" w:cs="Arial" w:eastAsia="Arial" w:hAnsi="Arial"/>
                <w:color w:val="666666"/>
                <w:sz w:val="18"/>
                <w:szCs w:val="18"/>
              </w:rPr>
              <w:t xml:space="preserve">Develop and sign-off IS Policy; define ISMS scope under Clause 4.3</w:t>
            </w:r>
          </w:p>
        </w:tc>
      </w:tr>
      <w:tr>
        <w:tc>
          <w:tcPr>
            <w:tcW w:type="dxa" w:w="1000"/>
            <w:tcBorders>
              <w:top w:val="single" w:color="CCCCCC" w:sz="1"/>
              <w:left w:val="single" w:color="CCCCCC" w:sz="1"/>
              <w:bottom w:val="single" w:color="CCCCCC" w:sz="1"/>
              <w:right w:val="single" w:color="CCCCCC" w:sz="1"/>
            </w:tcBorders>
            <w:shd w:fill="F9EB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F-002</w:t>
            </w:r>
          </w:p>
        </w:tc>
        <w:tc>
          <w:tcPr>
            <w:tcW w:type="dxa" w:w="4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A1A1A"/>
                <w:sz w:val="18"/>
                <w:szCs w:val="18"/>
              </w:rPr>
              <w:t xml:space="preserve">No Information Asset Inventory</w:t>
            </w:r>
          </w:p>
        </w:tc>
        <w:tc>
          <w:tcPr>
            <w:tcW w:type="dxa" w:w="42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both"/>
            </w:pPr>
            <w:r>
              <w:rPr>
                <w:rFonts w:ascii="Arial" w:cs="Arial" w:eastAsia="Arial" w:hAnsi="Arial"/>
                <w:color w:val="666666"/>
                <w:sz w:val="18"/>
                <w:szCs w:val="18"/>
              </w:rPr>
              <w:t xml:space="preserve">Build formal asset inventory; assign owners; classify by sensitivity</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F-003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No Risk Assessment Process</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both"/>
            </w:pPr>
            <w:r>
              <w:rPr>
                <w:rFonts w:ascii="Arial" w:cs="Arial" w:eastAsia="Arial" w:hAnsi="Arial"/>
                <w:color w:val="666666"/>
                <w:sz w:val="18"/>
                <w:szCs w:val="18"/>
              </w:rPr>
              <w:t xml:space="preserve">Define methodology; conduct risk assessment; produce Risk Treatment Plan</w:t>
            </w:r>
          </w:p>
        </w:tc>
      </w:tr>
      <w:tr>
        <w:tc>
          <w:tcPr>
            <w:tcW w:type="dxa" w:w="1000"/>
            <w:tcBorders>
              <w:top w:val="single" w:color="CCCCCC" w:sz="1"/>
              <w:left w:val="single" w:color="CCCCCC" w:sz="1"/>
              <w:bottom w:val="single" w:color="CCCCCC" w:sz="1"/>
              <w:right w:val="single" w:color="CCCCCC" w:sz="1"/>
            </w:tcBorders>
            <w:shd w:fill="F9EB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F-004</w:t>
            </w:r>
          </w:p>
        </w:tc>
        <w:tc>
          <w:tcPr>
            <w:tcW w:type="dxa" w:w="4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A1A1A"/>
                <w:sz w:val="18"/>
                <w:szCs w:val="18"/>
              </w:rPr>
              <w:t xml:space="preserve">No Access Control Policy + Unmanaged Privileged Access</w:t>
            </w:r>
          </w:p>
        </w:tc>
        <w:tc>
          <w:tcPr>
            <w:tcW w:type="dxa" w:w="42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both"/>
            </w:pPr>
            <w:r>
              <w:rPr>
                <w:rFonts w:ascii="Arial" w:cs="Arial" w:eastAsia="Arial" w:hAnsi="Arial"/>
                <w:color w:val="666666"/>
                <w:sz w:val="18"/>
                <w:szCs w:val="18"/>
              </w:rPr>
              <w:t xml:space="preserve">Implement AC Policy; enforce least-privilege; revoke former-employee access now</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F-005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18"/>
                <w:szCs w:val="18"/>
              </w:rPr>
              <w:t xml:space="preserve">No Supplier Security Management Framework</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both"/>
            </w:pPr>
            <w:r>
              <w:rPr>
                <w:rFonts w:ascii="Arial" w:cs="Arial" w:eastAsia="Arial" w:hAnsi="Arial"/>
                <w:color w:val="666666"/>
                <w:sz w:val="18"/>
                <w:szCs w:val="18"/>
              </w:rPr>
              <w:t xml:space="preserve">Vendor register; security assessments; IS clauses in all contracts</w:t>
            </w:r>
          </w:p>
        </w:tc>
      </w:tr>
      <w:tr>
        <w:tc>
          <w:tcPr>
            <w:tcW w:type="dxa" w:w="1000"/>
            <w:tcBorders>
              <w:top w:val="single" w:color="CCCCCC" w:sz="1"/>
              <w:left w:val="single" w:color="CCCCCC" w:sz="1"/>
              <w:bottom w:val="single" w:color="CCCCCC" w:sz="1"/>
              <w:right w:val="single" w:color="CCCCCC" w:sz="1"/>
            </w:tcBorders>
            <w:shd w:fill="F9EB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F-006</w:t>
            </w:r>
          </w:p>
        </w:tc>
        <w:tc>
          <w:tcPr>
            <w:tcW w:type="dxa" w:w="4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A1A1A"/>
                <w:sz w:val="18"/>
                <w:szCs w:val="18"/>
              </w:rPr>
              <w:t xml:space="preserve">No Incident Response Capability</w:t>
            </w:r>
          </w:p>
        </w:tc>
        <w:tc>
          <w:tcPr>
            <w:tcW w:type="dxa" w:w="42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both"/>
            </w:pPr>
            <w:r>
              <w:rPr>
                <w:rFonts w:ascii="Arial" w:cs="Arial" w:eastAsia="Arial" w:hAnsi="Arial"/>
                <w:color w:val="666666"/>
                <w:sz w:val="18"/>
                <w:szCs w:val="18"/>
              </w:rPr>
              <w:t xml:space="preserve">Develop IRP with defined roles, severity levels, and escalation procedures</w:t>
            </w:r>
          </w:p>
        </w:tc>
      </w:tr>
    </w:tbl>
    <w:p>
      <w:pPr>
        <w:spacing w:after="0" w:before="0" w:line="160"/>
      </w:pPr>
      <w:r>
        <w:t xml:space="preserve"/>
      </w:r>
    </w:p>
    <w:p>
      <w:r>
        <w:br w:type="page"/>
      </w:r>
    </w:p>
    <w:p>
      <w:pPr>
        <w:pStyle w:val="Heading1"/>
        <w:spacing w:after="120" w:before="320"/>
      </w:pPr>
      <w:r>
        <w:rPr>
          <w:rFonts w:ascii="Arial" w:cs="Arial" w:eastAsia="Arial" w:hAnsi="Arial"/>
          <w:b/>
          <w:bCs/>
          <w:color w:val="1B2A4A"/>
          <w:sz w:val="26"/>
          <w:szCs w:val="26"/>
        </w:rPr>
        <w:t xml:space="preserve">4.   SOC 2 Readiness Assessment Summary</w:t>
      </w:r>
    </w:p>
    <w:p>
      <w:pPr>
        <w:pStyle w:val="Heading2"/>
        <w:spacing w:after="80" w:before="240"/>
      </w:pPr>
      <w:r>
        <w:rPr>
          <w:rFonts w:ascii="Arial" w:cs="Arial" w:eastAsia="Arial" w:hAnsi="Arial"/>
          <w:b/>
          <w:bCs/>
          <w:color w:val="1B2A4A"/>
          <w:sz w:val="22"/>
          <w:szCs w:val="22"/>
        </w:rPr>
        <w:t xml:space="preserve">4.1   Readiness by Category</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838"/>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Criteria</w:t>
            </w:r>
          </w:p>
        </w:tc>
        <w:tc>
          <w:tcPr>
            <w:tcW w:type="dxa" w:w="3838"/>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Audit Readiness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Common Criteria (CC1–CC9)</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666666"/>
                <w:sz w:val="20"/>
                <w:szCs w:val="20"/>
              </w:rPr>
              <w:t xml:space="preserve">Security</w:t>
            </w:r>
          </w:p>
        </w:tc>
        <w:tc>
          <w:tcPr>
            <w:tcW w:type="dxa" w:w="3838"/>
            <w:tcBorders>
              <w:top w:val="single" w:color="CCCCCC" w:sz="1"/>
              <w:left w:val="single" w:color="CCCCCC" w:sz="1"/>
              <w:bottom w:val="single" w:color="CCCCCC" w:sz="1"/>
              <w:right w:val="single" w:color="CCCCCC" w:sz="1"/>
            </w:tcBorders>
            <w:shd w:fill="D35400" w:val="clear"/>
            <w:tcMar>
              <w:top w:type="dxa" w:w="80"/>
              <w:left w:type="dxa" w:w="120"/>
              <w:bottom w:type="dxa" w:w="80"/>
              <w:right w:type="dxa" w:w="80"/>
            </w:tcMar>
          </w:tcPr>
          <w:p>
            <w:r>
              <w:rPr>
                <w:rFonts w:ascii="Arial" w:cs="Arial" w:eastAsia="Arial" w:hAnsi="Arial"/>
                <w:b/>
                <w:bCs/>
                <w:color w:val="FFFFFF"/>
                <w:sz w:val="20"/>
                <w:szCs w:val="20"/>
              </w:rPr>
              <w:t xml:space="preserve">Partially Ready</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Availability (A1.1–A1.3)</w:t>
            </w:r>
          </w:p>
        </w:tc>
        <w:tc>
          <w:tcPr>
            <w:tcW w:type="dxa" w:w="20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666666"/>
                <w:sz w:val="20"/>
                <w:szCs w:val="20"/>
              </w:rPr>
              <w:t xml:space="preserve">Availability</w:t>
            </w:r>
          </w:p>
        </w:tc>
        <w:tc>
          <w:tcPr>
            <w:tcW w:type="dxa" w:w="38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Not Ready</w:t>
            </w:r>
          </w:p>
        </w:tc>
      </w:tr>
    </w:tbl>
    <w:p>
      <w:pPr>
        <w:spacing w:after="0" w:before="0" w:line="240"/>
      </w:pPr>
      <w:r>
        <w:t xml:space="preserve"/>
      </w:r>
    </w:p>
    <w:p>
      <w:pPr>
        <w:spacing w:after="140" w:before="0"/>
        <w:jc w:val="both"/>
      </w:pPr>
      <w:r>
        <w:rPr>
          <w:rFonts w:ascii="Arial" w:cs="Arial" w:eastAsia="Arial" w:hAnsi="Arial"/>
          <w:color w:val="1A1A1A"/>
          <w:sz w:val="20"/>
          <w:szCs w:val="20"/>
        </w:rPr>
        <w:t xml:space="preserve">Neither of the two in-scope Trust Services categories — Security (CC1–CC9) and Availability (A1.1–A1.3) — is currently in a state of audit readiness. The Security category is assessed as Partially Ready due to the existence of basic controls in some areas; however, critical gaps in risk assessment (CC3), access management (CC6), and incident response (CC7) represent standalone audit failure points.</w:t>
      </w:r>
    </w:p>
    <w:p>
      <w:pPr>
        <w:spacing w:after="140" w:before="0"/>
        <w:jc w:val="both"/>
      </w:pPr>
      <w:r>
        <w:rPr>
          <w:rFonts w:ascii="Arial" w:cs="Arial" w:eastAsia="Arial" w:hAnsi="Arial"/>
          <w:color w:val="1A1A1A"/>
          <w:sz w:val="20"/>
          <w:szCs w:val="20"/>
        </w:rPr>
        <w:t xml:space="preserve">The Availability category is assessed as Not Ready. As a managed IT services provider, Brightpath has implicit and contractual obligations to maintain service availability for its US-based clients. The absence of defined SLAs, capacity management controls, and a tested Disaster Recovery Plan means the organisation cannot currently demonstrate meeting these obligations to a SOC 2 auditor.</w:t>
      </w:r>
    </w:p>
    <w:p>
      <w:pPr>
        <w:pStyle w:val="Heading2"/>
        <w:spacing w:after="80" w:before="240"/>
      </w:pPr>
      <w:r>
        <w:rPr>
          <w:rFonts w:ascii="Arial" w:cs="Arial" w:eastAsia="Arial" w:hAnsi="Arial"/>
          <w:b/>
          <w:bCs/>
          <w:color w:val="1B2A4A"/>
          <w:sz w:val="22"/>
          <w:szCs w:val="22"/>
        </w:rPr>
        <w:t xml:space="preserve">4.2   Commercial Significance</w:t>
      </w:r>
    </w:p>
    <w:p>
      <w:pPr>
        <w:spacing w:after="140" w:before="0"/>
        <w:jc w:val="both"/>
      </w:pPr>
      <w:r>
        <w:rPr>
          <w:rFonts w:ascii="Arial" w:cs="Arial" w:eastAsia="Arial" w:hAnsi="Arial"/>
          <w:color w:val="1A1A1A"/>
          <w:sz w:val="20"/>
          <w:szCs w:val="20"/>
        </w:rPr>
        <w:t xml:space="preserve">SOC 2 compliance is increasingly a baseline contractual requirement for technology service providers to US enterprises. The absence of a SOC 2 report currently limits Brightpath's addressable market and creates a competitive disadvantage relative to peers who hold SOC 2 Type II attestations. The investment required to achieve SOC 2 Type I readiness runs largely parallel to the ISO 27001 remediation effort — the two programmes share approximately 70% of their control requirements.</w:t>
      </w:r>
    </w:p>
    <w:p>
      <w:r>
        <w:br w:type="page"/>
      </w:r>
    </w:p>
    <w:p>
      <w:pPr>
        <w:pStyle w:val="Heading1"/>
        <w:spacing w:after="120" w:before="320"/>
      </w:pPr>
      <w:r>
        <w:rPr>
          <w:rFonts w:ascii="Arial" w:cs="Arial" w:eastAsia="Arial" w:hAnsi="Arial"/>
          <w:b/>
          <w:bCs/>
          <w:color w:val="1B2A4A"/>
          <w:sz w:val="26"/>
          <w:szCs w:val="26"/>
        </w:rPr>
        <w:t xml:space="preserve">5.   Risk Summary</w:t>
      </w:r>
    </w:p>
    <w:p>
      <w:pPr>
        <w:pStyle w:val="Heading2"/>
        <w:spacing w:after="80" w:before="240"/>
      </w:pPr>
      <w:r>
        <w:rPr>
          <w:rFonts w:ascii="Arial" w:cs="Arial" w:eastAsia="Arial" w:hAnsi="Arial"/>
          <w:b/>
          <w:bCs/>
          <w:color w:val="1B2A4A"/>
          <w:sz w:val="22"/>
          <w:szCs w:val="22"/>
        </w:rPr>
        <w:t xml:space="preserve">5.1   Risk Distribution</w:t>
      </w:r>
    </w:p>
    <w:p>
      <w:pPr>
        <w:spacing w:after="140" w:before="0"/>
        <w:jc w:val="both"/>
      </w:pPr>
      <w:r>
        <w:rPr>
          <w:rFonts w:ascii="Arial" w:cs="Arial" w:eastAsia="Arial" w:hAnsi="Arial"/>
          <w:color w:val="1A1A1A"/>
          <w:sz w:val="20"/>
          <w:szCs w:val="20"/>
        </w:rPr>
        <w:t xml:space="preserve">The Risk Register (RCA-P1-005) documents 27 information security risks across 9 domains. The distribution by inherent risk rating is as follows:</w:t>
      </w:r>
    </w:p>
    <w:p>
      <w:pPr>
        <w:pStyle w:val="ListParagraph"/>
        <w:numPr>
          <w:ilvl w:val="0"/>
          <w:numId w:val="2"/>
        </w:numPr>
        <w:spacing w:after="60" w:before="60"/>
      </w:pPr>
      <w:r>
        <w:rPr>
          <w:rFonts w:ascii="Arial" w:cs="Arial" w:eastAsia="Arial" w:hAnsi="Arial"/>
          <w:color w:val="1A1A1A"/>
          <w:sz w:val="20"/>
          <w:szCs w:val="20"/>
        </w:rPr>
        <w:t xml:space="preserve">Critical (score 20–25): 8 risks — require immediate escalation to senior management</w:t>
      </w:r>
    </w:p>
    <w:p>
      <w:pPr>
        <w:pStyle w:val="ListParagraph"/>
        <w:numPr>
          <w:ilvl w:val="0"/>
          <w:numId w:val="2"/>
        </w:numPr>
        <w:spacing w:after="60" w:before="60"/>
      </w:pPr>
      <w:r>
        <w:rPr>
          <w:rFonts w:ascii="Arial" w:cs="Arial" w:eastAsia="Arial" w:hAnsi="Arial"/>
          <w:color w:val="1A1A1A"/>
          <w:sz w:val="20"/>
          <w:szCs w:val="20"/>
        </w:rPr>
        <w:t xml:space="preserve">High (score 12–19): 14 risks — require remediation within 90 days</w:t>
      </w:r>
    </w:p>
    <w:p>
      <w:pPr>
        <w:pStyle w:val="ListParagraph"/>
        <w:numPr>
          <w:ilvl w:val="0"/>
          <w:numId w:val="2"/>
        </w:numPr>
        <w:spacing w:after="60" w:before="60"/>
      </w:pPr>
      <w:r>
        <w:rPr>
          <w:rFonts w:ascii="Arial" w:cs="Arial" w:eastAsia="Arial" w:hAnsi="Arial"/>
          <w:color w:val="1A1A1A"/>
          <w:sz w:val="20"/>
          <w:szCs w:val="20"/>
        </w:rPr>
        <w:t xml:space="preserve">Medium (score 6–11): 5 risks — require remediation within 180 days</w:t>
      </w:r>
    </w:p>
    <w:p>
      <w:pPr>
        <w:pStyle w:val="ListParagraph"/>
        <w:numPr>
          <w:ilvl w:val="0"/>
          <w:numId w:val="2"/>
        </w:numPr>
        <w:spacing w:after="60" w:before="60"/>
      </w:pPr>
      <w:r>
        <w:rPr>
          <w:rFonts w:ascii="Arial" w:cs="Arial" w:eastAsia="Arial" w:hAnsi="Arial"/>
          <w:color w:val="1A1A1A"/>
          <w:sz w:val="20"/>
          <w:szCs w:val="20"/>
        </w:rPr>
        <w:t xml:space="preserve">Low (score 1–5): 0 risks at this stage</w:t>
      </w:r>
    </w:p>
    <w:p>
      <w:pPr>
        <w:spacing w:after="0" w:before="0" w:line="200"/>
      </w:pPr>
      <w:r>
        <w:t xml:space="preserve"/>
      </w:r>
    </w:p>
    <w:p>
      <w:pPr>
        <w:pStyle w:val="Heading2"/>
        <w:spacing w:after="80" w:before="240"/>
      </w:pPr>
      <w:r>
        <w:rPr>
          <w:rFonts w:ascii="Arial" w:cs="Arial" w:eastAsia="Arial" w:hAnsi="Arial"/>
          <w:b/>
          <w:bCs/>
          <w:color w:val="1B2A4A"/>
          <w:sz w:val="22"/>
          <w:szCs w:val="22"/>
        </w:rPr>
        <w:t xml:space="preserve">5.2   Risk Heat Map</w:t>
      </w:r>
    </w:p>
    <w:p>
      <w:pPr>
        <w:spacing w:after="140" w:before="0"/>
        <w:jc w:val="both"/>
      </w:pPr>
      <w:r>
        <w:rPr>
          <w:rFonts w:ascii="Arial" w:cs="Arial" w:eastAsia="Arial" w:hAnsi="Arial"/>
          <w:color w:val="1A1A1A"/>
          <w:sz w:val="20"/>
          <w:szCs w:val="20"/>
        </w:rPr>
        <w:t xml:space="preserve">The map below plots the 14 highest-priority risks by Likelihood (L1–L5, horizontal) and Impact (I1–I5, vertical). Red = Critical, Amber = High, Gold = Medium, Green = Low.</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87"/>
        <w:gridCol w:w="1687"/>
        <w:gridCol w:w="1687"/>
        <w:gridCol w:w="1687"/>
        <w:gridCol w:w="1687"/>
      </w:tblGrid>
      <w:tr>
        <w:tc>
          <w:tcPr>
            <w:tcW w:type="dxa" w:w="1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Impact \ L→</w:t>
            </w:r>
          </w:p>
        </w:tc>
        <w:tc>
          <w:tcPr>
            <w:tcW w:type="dxa" w:w="1687"/>
            <w:tcBorders>
              <w:top w:val="single" w:color="CCCCCC" w:sz="1"/>
              <w:left w:val="single" w:color="CCCCCC" w:sz="1"/>
              <w:bottom w:val="single" w:color="CCCCCC" w:sz="1"/>
              <w:right w:val="single" w:color="CCCCCC" w:sz="1"/>
            </w:tcBorders>
            <w:shd w:fill="1B2A4A" w:val="clear"/>
            <w:tcMar>
              <w:top w:type="dxa" w:w="60"/>
              <w:left w:type="dxa" w:w="40"/>
              <w:bottom w:type="dxa" w:w="60"/>
              <w:right w:type="dxa" w:w="40"/>
            </w:tcMar>
          </w:tcPr>
          <w:p>
            <w:pPr>
              <w:jc w:val="center"/>
            </w:pPr>
            <w:r>
              <w:rPr>
                <w:rFonts w:ascii="Arial" w:cs="Arial" w:eastAsia="Arial" w:hAnsi="Arial"/>
                <w:b/>
                <w:bCs/>
                <w:color w:val="FFFFFF"/>
                <w:sz w:val="17"/>
                <w:szCs w:val="17"/>
              </w:rPr>
              <w:t xml:space="preserve">L1</w:t>
            </w:r>
          </w:p>
        </w:tc>
        <w:tc>
          <w:tcPr>
            <w:tcW w:type="dxa" w:w="1687"/>
            <w:tcBorders>
              <w:top w:val="single" w:color="CCCCCC" w:sz="1"/>
              <w:left w:val="single" w:color="CCCCCC" w:sz="1"/>
              <w:bottom w:val="single" w:color="CCCCCC" w:sz="1"/>
              <w:right w:val="single" w:color="CCCCCC" w:sz="1"/>
            </w:tcBorders>
            <w:shd w:fill="1B2A4A" w:val="clear"/>
            <w:tcMar>
              <w:top w:type="dxa" w:w="60"/>
              <w:left w:type="dxa" w:w="40"/>
              <w:bottom w:type="dxa" w:w="60"/>
              <w:right w:type="dxa" w:w="40"/>
            </w:tcMar>
          </w:tcPr>
          <w:p>
            <w:pPr>
              <w:jc w:val="center"/>
            </w:pPr>
            <w:r>
              <w:rPr>
                <w:rFonts w:ascii="Arial" w:cs="Arial" w:eastAsia="Arial" w:hAnsi="Arial"/>
                <w:b/>
                <w:bCs/>
                <w:color w:val="FFFFFF"/>
                <w:sz w:val="17"/>
                <w:szCs w:val="17"/>
              </w:rPr>
              <w:t xml:space="preserve">L2</w:t>
            </w:r>
          </w:p>
        </w:tc>
        <w:tc>
          <w:tcPr>
            <w:tcW w:type="dxa" w:w="1687"/>
            <w:tcBorders>
              <w:top w:val="single" w:color="CCCCCC" w:sz="1"/>
              <w:left w:val="single" w:color="CCCCCC" w:sz="1"/>
              <w:bottom w:val="single" w:color="CCCCCC" w:sz="1"/>
              <w:right w:val="single" w:color="CCCCCC" w:sz="1"/>
            </w:tcBorders>
            <w:shd w:fill="1B2A4A" w:val="clear"/>
            <w:tcMar>
              <w:top w:type="dxa" w:w="60"/>
              <w:left w:type="dxa" w:w="40"/>
              <w:bottom w:type="dxa" w:w="60"/>
              <w:right w:type="dxa" w:w="40"/>
            </w:tcMar>
          </w:tcPr>
          <w:p>
            <w:pPr>
              <w:jc w:val="center"/>
            </w:pPr>
            <w:r>
              <w:rPr>
                <w:rFonts w:ascii="Arial" w:cs="Arial" w:eastAsia="Arial" w:hAnsi="Arial"/>
                <w:b/>
                <w:bCs/>
                <w:color w:val="FFFFFF"/>
                <w:sz w:val="17"/>
                <w:szCs w:val="17"/>
              </w:rPr>
              <w:t xml:space="preserve">L3</w:t>
            </w:r>
          </w:p>
        </w:tc>
        <w:tc>
          <w:tcPr>
            <w:tcW w:type="dxa" w:w="1687"/>
            <w:tcBorders>
              <w:top w:val="single" w:color="CCCCCC" w:sz="1"/>
              <w:left w:val="single" w:color="CCCCCC" w:sz="1"/>
              <w:bottom w:val="single" w:color="CCCCCC" w:sz="1"/>
              <w:right w:val="single" w:color="CCCCCC" w:sz="1"/>
            </w:tcBorders>
            <w:shd w:fill="1B2A4A" w:val="clear"/>
            <w:tcMar>
              <w:top w:type="dxa" w:w="60"/>
              <w:left w:type="dxa" w:w="40"/>
              <w:bottom w:type="dxa" w:w="60"/>
              <w:right w:type="dxa" w:w="40"/>
            </w:tcMar>
          </w:tcPr>
          <w:p>
            <w:pPr>
              <w:jc w:val="center"/>
            </w:pPr>
            <w:r>
              <w:rPr>
                <w:rFonts w:ascii="Arial" w:cs="Arial" w:eastAsia="Arial" w:hAnsi="Arial"/>
                <w:b/>
                <w:bCs/>
                <w:color w:val="FFFFFF"/>
                <w:sz w:val="17"/>
                <w:szCs w:val="17"/>
              </w:rPr>
              <w:t xml:space="preserve">L4</w:t>
            </w:r>
          </w:p>
        </w:tc>
        <w:tc>
          <w:tcPr>
            <w:tcW w:type="dxa" w:w="1687"/>
            <w:tcBorders>
              <w:top w:val="single" w:color="CCCCCC" w:sz="1"/>
              <w:left w:val="single" w:color="CCCCCC" w:sz="1"/>
              <w:bottom w:val="single" w:color="CCCCCC" w:sz="1"/>
              <w:right w:val="single" w:color="CCCCCC" w:sz="1"/>
            </w:tcBorders>
            <w:shd w:fill="1B2A4A" w:val="clear"/>
            <w:tcMar>
              <w:top w:type="dxa" w:w="60"/>
              <w:left w:type="dxa" w:w="40"/>
              <w:bottom w:type="dxa" w:w="60"/>
              <w:right w:type="dxa" w:w="40"/>
            </w:tcMar>
          </w:tcPr>
          <w:p>
            <w:pPr>
              <w:jc w:val="center"/>
            </w:pPr>
            <w:r>
              <w:rPr>
                <w:rFonts w:ascii="Arial" w:cs="Arial" w:eastAsia="Arial" w:hAnsi="Arial"/>
                <w:b/>
                <w:bCs/>
                <w:color w:val="FFFFFF"/>
                <w:sz w:val="17"/>
                <w:szCs w:val="17"/>
              </w:rPr>
              <w:t xml:space="preserve">L5</w:t>
            </w:r>
          </w:p>
        </w:tc>
      </w:tr>
      <w:tr>
        <w:trPr>
          <w:trHeight w:val="480" w:hRule="atLeast"/>
        </w:trPr>
        <w:tc>
          <w:tcPr>
            <w:tcW w:type="dxa" w:w="1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I5</w:t>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C8A951" w:val="clear"/>
            <w:tcMar>
              <w:top w:type="dxa" w:w="40"/>
              <w:left w:type="dxa" w:w="40"/>
              <w:bottom w:type="dxa" w:w="40"/>
              <w:right w:type="dxa" w:w="40"/>
            </w:tcMar>
          </w:tcPr>
          <w:p>
            <w:pPr>
              <w:jc w:val="center"/>
            </w:pPr>
            <w:r>
              <w:rPr>
                <w:rFonts w:ascii="Arial" w:cs="Arial" w:eastAsia="Arial" w:hAnsi="Arial"/>
                <w:b/>
                <w:bCs/>
                <w:color w:val="FFFFFF"/>
                <w:sz w:val="14"/>
                <w:szCs w:val="14"/>
              </w:rPr>
              <w:t xml:space="preserve">R-016</w:t>
            </w:r>
          </w:p>
        </w:tc>
        <w:tc>
          <w:tcPr>
            <w:tcW w:type="dxa" w:w="1687"/>
            <w:tcBorders>
              <w:top w:val="single" w:color="FFFFFF" w:sz="1"/>
              <w:left w:val="single" w:color="FFFFFF" w:sz="1"/>
              <w:bottom w:val="single" w:color="FFFFFF" w:sz="1"/>
              <w:right w:val="single" w:color="FFFFFF" w:sz="1"/>
            </w:tcBorders>
            <w:shd w:fill="D35400" w:val="clear"/>
            <w:tcMar>
              <w:top w:type="dxa" w:w="40"/>
              <w:left w:type="dxa" w:w="40"/>
              <w:bottom w:type="dxa" w:w="40"/>
              <w:right w:type="dxa" w:w="40"/>
            </w:tcMar>
          </w:tcPr>
          <w:p>
            <w:pPr>
              <w:jc w:val="center"/>
            </w:pPr>
            <w:r>
              <w:rPr>
                <w:rFonts w:ascii="Arial" w:cs="Arial" w:eastAsia="Arial" w:hAnsi="Arial"/>
                <w:b/>
                <w:bCs/>
                <w:color w:val="FFFFFF"/>
                <w:sz w:val="14"/>
                <w:szCs w:val="14"/>
              </w:rPr>
              <w:t xml:space="preserve">R-008
R-009
R-012
R-018
R-021
R-024</w:t>
            </w:r>
          </w:p>
        </w:tc>
        <w:tc>
          <w:tcPr>
            <w:tcW w:type="dxa" w:w="1687"/>
            <w:tcBorders>
              <w:top w:val="single" w:color="FFFFFF" w:sz="1"/>
              <w:left w:val="single" w:color="FFFFFF" w:sz="1"/>
              <w:bottom w:val="single" w:color="FFFFFF" w:sz="1"/>
              <w:right w:val="single" w:color="FFFFFF" w:sz="1"/>
            </w:tcBorders>
            <w:shd w:fill="C0392B" w:val="clear"/>
            <w:tcMar>
              <w:top w:type="dxa" w:w="40"/>
              <w:left w:type="dxa" w:w="40"/>
              <w:bottom w:type="dxa" w:w="40"/>
              <w:right w:type="dxa" w:w="40"/>
            </w:tcMar>
          </w:tcPr>
          <w:p>
            <w:pPr>
              <w:jc w:val="center"/>
            </w:pPr>
            <w:r>
              <w:rPr>
                <w:rFonts w:ascii="Arial" w:cs="Arial" w:eastAsia="Arial" w:hAnsi="Arial"/>
                <w:b/>
                <w:bCs/>
                <w:color w:val="FFFFFF"/>
                <w:sz w:val="14"/>
                <w:szCs w:val="14"/>
              </w:rPr>
              <w:t xml:space="preserve">R-001
R-003
R-005</w:t>
            </w:r>
          </w:p>
        </w:tc>
        <w:tc>
          <w:tcPr>
            <w:tcW w:type="dxa" w:w="1687"/>
            <w:tcBorders>
              <w:top w:val="single" w:color="FFFFFF" w:sz="1"/>
              <w:left w:val="single" w:color="FFFFFF" w:sz="1"/>
              <w:bottom w:val="single" w:color="FFFFFF" w:sz="1"/>
              <w:right w:val="single" w:color="FFFFFF" w:sz="1"/>
            </w:tcBorders>
            <w:shd w:fill="C0392B" w:val="clear"/>
            <w:tcMar>
              <w:top w:type="dxa" w:w="40"/>
              <w:left w:type="dxa" w:w="40"/>
              <w:bottom w:type="dxa" w:w="40"/>
              <w:right w:type="dxa" w:w="40"/>
            </w:tcMar>
          </w:tcPr>
          <w:p>
            <w:pPr>
              <w:jc w:val="center"/>
            </w:pPr>
            <w:r>
              <w:rPr>
                <w:rFonts w:ascii="Arial" w:cs="Arial" w:eastAsia="Arial" w:hAnsi="Arial"/>
                <w:b/>
                <w:bCs/>
                <w:color w:val="FFFFFF"/>
                <w:sz w:val="14"/>
                <w:szCs w:val="14"/>
              </w:rPr>
              <w:t xml:space="preserve">R-006</w:t>
            </w:r>
          </w:p>
        </w:tc>
      </w:tr>
      <w:tr>
        <w:trPr>
          <w:trHeight w:val="480" w:hRule="atLeast"/>
        </w:trPr>
        <w:tc>
          <w:tcPr>
            <w:tcW w:type="dxa" w:w="1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I4</w:t>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C8A951"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D35400" w:val="clear"/>
            <w:tcMar>
              <w:top w:type="dxa" w:w="40"/>
              <w:left w:type="dxa" w:w="40"/>
              <w:bottom w:type="dxa" w:w="40"/>
              <w:right w:type="dxa" w:w="40"/>
            </w:tcMar>
          </w:tcPr>
          <w:p>
            <w:pPr>
              <w:jc w:val="center"/>
            </w:pPr>
            <w:r>
              <w:rPr>
                <w:rFonts w:ascii="Arial" w:cs="Arial" w:eastAsia="Arial" w:hAnsi="Arial"/>
                <w:b/>
                <w:bCs/>
                <w:color w:val="FFFFFF"/>
                <w:sz w:val="14"/>
                <w:szCs w:val="14"/>
              </w:rPr>
              <w:t xml:space="preserve">R-007</w:t>
            </w:r>
          </w:p>
        </w:tc>
        <w:tc>
          <w:tcPr>
            <w:tcW w:type="dxa" w:w="1687"/>
            <w:tcBorders>
              <w:top w:val="single" w:color="FFFFFF" w:sz="1"/>
              <w:left w:val="single" w:color="FFFFFF" w:sz="1"/>
              <w:bottom w:val="single" w:color="FFFFFF" w:sz="1"/>
              <w:right w:val="single" w:color="FFFFFF" w:sz="1"/>
            </w:tcBorders>
            <w:shd w:fill="D35400" w:val="clear"/>
            <w:tcMar>
              <w:top w:type="dxa" w:w="40"/>
              <w:left w:type="dxa" w:w="40"/>
              <w:bottom w:type="dxa" w:w="40"/>
              <w:right w:type="dxa" w:w="40"/>
            </w:tcMar>
          </w:tcPr>
          <w:p>
            <w:pPr>
              <w:jc w:val="center"/>
            </w:pPr>
            <w:r>
              <w:rPr>
                <w:rFonts w:ascii="Arial" w:cs="Arial" w:eastAsia="Arial" w:hAnsi="Arial"/>
                <w:b/>
                <w:bCs/>
                <w:color w:val="FFFFFF"/>
                <w:sz w:val="14"/>
                <w:szCs w:val="14"/>
              </w:rPr>
              <w:t xml:space="preserve">R-002
R-015</w:t>
            </w:r>
          </w:p>
        </w:tc>
        <w:tc>
          <w:tcPr>
            <w:tcW w:type="dxa" w:w="1687"/>
            <w:tcBorders>
              <w:top w:val="single" w:color="FFFFFF" w:sz="1"/>
              <w:left w:val="single" w:color="FFFFFF" w:sz="1"/>
              <w:bottom w:val="single" w:color="FFFFFF" w:sz="1"/>
              <w:right w:val="single" w:color="FFFFFF" w:sz="1"/>
            </w:tcBorders>
            <w:shd w:fill="C0392B"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r>
      <w:tr>
        <w:trPr>
          <w:trHeight w:val="480" w:hRule="atLeast"/>
        </w:trPr>
        <w:tc>
          <w:tcPr>
            <w:tcW w:type="dxa" w:w="1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I3</w:t>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C8A951"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C8A951"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D35400"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D35400"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r>
      <w:tr>
        <w:trPr>
          <w:trHeight w:val="480" w:hRule="atLeast"/>
        </w:trPr>
        <w:tc>
          <w:tcPr>
            <w:tcW w:type="dxa" w:w="1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I2</w:t>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C8A951"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C8A951"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C8A951"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r>
      <w:tr>
        <w:trPr>
          <w:trHeight w:val="480" w:hRule="atLeast"/>
        </w:trPr>
        <w:tc>
          <w:tcPr>
            <w:tcW w:type="dxa" w:w="1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I1</w:t>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c>
          <w:tcPr>
            <w:tcW w:type="dxa" w:w="1687"/>
            <w:tcBorders>
              <w:top w:val="single" w:color="FFFFFF" w:sz="1"/>
              <w:left w:val="single" w:color="FFFFFF" w:sz="1"/>
              <w:bottom w:val="single" w:color="FFFFFF" w:sz="1"/>
              <w:right w:val="single" w:color="FFFFFF" w:sz="1"/>
            </w:tcBorders>
            <w:shd w:fill="1E8449" w:val="clear"/>
            <w:tcMar>
              <w:top w:type="dxa" w:w="40"/>
              <w:left w:type="dxa" w:w="40"/>
              <w:bottom w:type="dxa" w:w="40"/>
              <w:right w:type="dxa" w:w="40"/>
            </w:tcMar>
          </w:tcPr>
          <w:p>
            <w:pPr>
              <w:jc w:val="center"/>
            </w:pPr>
            <w:r>
              <w:rPr>
                <w:rFonts w:ascii="Arial" w:cs="Arial" w:eastAsia="Arial" w:hAnsi="Arial"/>
                <w:b w:val="false"/>
                <w:bCs w:val="false"/>
                <w:color w:val="FFFFFF"/>
                <w:sz w:val="14"/>
                <w:szCs w:val="14"/>
              </w:rPr>
              <w:t xml:space="preserve"/>
            </w:r>
          </w:p>
        </w:tc>
      </w:tr>
    </w:tbl>
    <w:p>
      <w:pPr>
        <w:spacing w:after="0" w:before="0" w:line="240"/>
      </w:pPr>
      <w:r>
        <w:t xml:space="preserve"/>
      </w:r>
    </w:p>
    <w:p>
      <w:pPr>
        <w:spacing w:after="80" w:before="0"/>
      </w:pPr>
      <w:r>
        <w:rPr>
          <w:rFonts w:ascii="Arial" w:cs="Arial" w:eastAsia="Arial" w:hAnsi="Arial"/>
          <w:color w:val="C0392B"/>
          <w:sz w:val="18"/>
          <w:szCs w:val="18"/>
        </w:rPr>
        <w:t xml:space="preserve">R-006 (former employee credentials — live risk) is plotted at L5 × I5 and represents the most immediately critical risk identified during this assessment. This must be addressed before any other action.</w:t>
      </w:r>
    </w:p>
    <w:p>
      <w:r>
        <w:br w:type="page"/>
      </w:r>
    </w:p>
    <w:p>
      <w:pPr>
        <w:pStyle w:val="Heading1"/>
        <w:spacing w:after="120" w:before="320"/>
      </w:pPr>
      <w:r>
        <w:rPr>
          <w:rFonts w:ascii="Arial" w:cs="Arial" w:eastAsia="Arial" w:hAnsi="Arial"/>
          <w:b/>
          <w:bCs/>
          <w:color w:val="1B2A4A"/>
          <w:sz w:val="26"/>
          <w:szCs w:val="26"/>
        </w:rPr>
        <w:t xml:space="preserve">6.   Remediation Roadmap Summary</w:t>
      </w:r>
    </w:p>
    <w:p>
      <w:pPr>
        <w:spacing w:after="140" w:before="0"/>
        <w:jc w:val="both"/>
      </w:pPr>
      <w:r>
        <w:rPr>
          <w:rFonts w:ascii="Arial" w:cs="Arial" w:eastAsia="Arial" w:hAnsi="Arial"/>
          <w:color w:val="1A1A1A"/>
          <w:sz w:val="20"/>
          <w:szCs w:val="20"/>
        </w:rPr>
        <w:t xml:space="preserve">The Remediation Roadmap (RCA-P1-006) defines 34 prioritised actions across four phases spanning February 2024 to February 2025. The phasing reflects both urgency and logical dependency — foundational governance actions must precede technical control implementation.</w:t>
      </w:r>
    </w:p>
    <w:p>
      <w:pPr>
        <w:pStyle w:val="ListParagraph"/>
        <w:numPr>
          <w:ilvl w:val="0"/>
          <w:numId w:val="2"/>
        </w:numPr>
        <w:spacing w:after="60" w:before="60"/>
      </w:pPr>
      <w:r>
        <w:rPr>
          <w:rFonts w:ascii="Arial" w:cs="Arial" w:eastAsia="Arial" w:hAnsi="Arial"/>
          <w:color w:val="1A1A1A"/>
          <w:sz w:val="20"/>
          <w:szCs w:val="20"/>
        </w:rPr>
        <w:t xml:space="preserve">Phase 1 — Immediate (Feb–Mar 2024): 5 actions. Governance foundation, live risk remediation. Non-negotiable starting point.</w:t>
      </w:r>
    </w:p>
    <w:p>
      <w:pPr>
        <w:pStyle w:val="ListParagraph"/>
        <w:numPr>
          <w:ilvl w:val="0"/>
          <w:numId w:val="2"/>
        </w:numPr>
        <w:spacing w:after="60" w:before="60"/>
      </w:pPr>
      <w:r>
        <w:rPr>
          <w:rFonts w:ascii="Arial" w:cs="Arial" w:eastAsia="Arial" w:hAnsi="Arial"/>
          <w:color w:val="1A1A1A"/>
          <w:sz w:val="20"/>
          <w:szCs w:val="20"/>
        </w:rPr>
        <w:t xml:space="preserve">Phase 2 — Short-Term (Mar–Jun 2024): 11 actions. Risk assessment, access controls, IRP, vulnerability management, vendor contracts.</w:t>
      </w:r>
    </w:p>
    <w:p>
      <w:pPr>
        <w:pStyle w:val="ListParagraph"/>
        <w:numPr>
          <w:ilvl w:val="0"/>
          <w:numId w:val="2"/>
        </w:numPr>
        <w:spacing w:after="60" w:before="60"/>
      </w:pPr>
      <w:r>
        <w:rPr>
          <w:rFonts w:ascii="Arial" w:cs="Arial" w:eastAsia="Arial" w:hAnsi="Arial"/>
          <w:color w:val="1A1A1A"/>
          <w:sz w:val="20"/>
          <w:szCs w:val="20"/>
        </w:rPr>
        <w:t xml:space="preserve">Phase 3 — Medium-Term (Jun–Sep 2024): 12 actions. Network segmentation, SDLC security, BCP/DRP, data protection controls.</w:t>
      </w:r>
    </w:p>
    <w:p>
      <w:pPr>
        <w:pStyle w:val="ListParagraph"/>
        <w:numPr>
          <w:ilvl w:val="0"/>
          <w:numId w:val="2"/>
        </w:numPr>
        <w:spacing w:after="60" w:before="60"/>
      </w:pPr>
      <w:r>
        <w:rPr>
          <w:rFonts w:ascii="Arial" w:cs="Arial" w:eastAsia="Arial" w:hAnsi="Arial"/>
          <w:color w:val="1A1A1A"/>
          <w:sz w:val="20"/>
          <w:szCs w:val="20"/>
        </w:rPr>
        <w:t xml:space="preserve">Phase 4 — Long-Term (Sep 2024–Feb 2025): 6 actions. Internal audit, management review, Stage 1 certification audit, SOC 2 readiness review.</w:t>
      </w:r>
    </w:p>
    <w:p>
      <w:pPr>
        <w:spacing w:after="0" w:before="0" w:line="160"/>
      </w:pPr>
      <w:r>
        <w:t xml:space="preserve"/>
      </w:r>
    </w:p>
    <w:p>
      <w:pPr>
        <w:spacing w:after="140" w:before="0"/>
        <w:jc w:val="both"/>
      </w:pPr>
      <w:r>
        <w:rPr>
          <w:rFonts w:ascii="Arial" w:cs="Arial" w:eastAsia="Arial" w:hAnsi="Arial"/>
          <w:color w:val="1A1A1A"/>
          <w:sz w:val="20"/>
          <w:szCs w:val="20"/>
        </w:rPr>
        <w:t xml:space="preserve">The roadmap has been designed to be deliverable by Brightpath's existing IT and HR teams with targeted external advisory support at key milestones. The certification audit (Phase 4) requires engagement with an accredited Certification Body and should be procured in advance of the Phase 3 completion target.</w:t>
      </w:r>
    </w:p>
    <w:p>
      <w:r>
        <w:br w:type="page"/>
      </w:r>
    </w:p>
    <w:p>
      <w:pPr>
        <w:pStyle w:val="Heading1"/>
        <w:spacing w:after="120" w:before="320"/>
      </w:pPr>
      <w:r>
        <w:rPr>
          <w:rFonts w:ascii="Arial" w:cs="Arial" w:eastAsia="Arial" w:hAnsi="Arial"/>
          <w:b/>
          <w:bCs/>
          <w:color w:val="1B2A4A"/>
          <w:sz w:val="26"/>
          <w:szCs w:val="26"/>
        </w:rPr>
        <w:t xml:space="preserve">7.   Certification and Attestation Pathway</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9"/>
                <w:szCs w:val="19"/>
              </w:rPr>
              <w:t xml:space="preserve">Timeline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9"/>
                <w:szCs w:val="19"/>
              </w:rPr>
              <w:t xml:space="preserve">Milestone</w:t>
            </w:r>
          </w:p>
        </w:tc>
        <w:tc>
          <w:tcPr>
            <w:tcW w:type="dxa" w:w="50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9"/>
                <w:szCs w:val="19"/>
              </w:rPr>
              <w:t xml:space="preserve">Key Activities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19"/>
                <w:szCs w:val="19"/>
              </w:rPr>
              <w:t xml:space="preserve">Feb – Mar 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19"/>
                <w:szCs w:val="19"/>
              </w:rPr>
              <w:t xml:space="preserve">Immediate Actions</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both"/>
            </w:pPr>
            <w:r>
              <w:rPr>
                <w:rFonts w:ascii="Arial" w:cs="Arial" w:eastAsia="Arial" w:hAnsi="Arial"/>
                <w:color w:val="1A1A1A"/>
                <w:sz w:val="19"/>
                <w:szCs w:val="19"/>
              </w:rPr>
              <w:t xml:space="preserve">Policy framework, ISMS scope, access revocation, risk methodology defined</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Mar – Jun 2024</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A1A1A"/>
                <w:sz w:val="19"/>
                <w:szCs w:val="19"/>
              </w:rPr>
              <w:t xml:space="preserve">Short-Term Remediation</w:t>
            </w:r>
          </w:p>
        </w:tc>
        <w:tc>
          <w:tcPr>
            <w:tcW w:type="dxa" w:w="50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both"/>
            </w:pPr>
            <w:r>
              <w:rPr>
                <w:rFonts w:ascii="Arial" w:cs="Arial" w:eastAsia="Arial" w:hAnsi="Arial"/>
                <w:color w:val="1A1A1A"/>
                <w:sz w:val="19"/>
                <w:szCs w:val="19"/>
              </w:rPr>
              <w:t xml:space="preserve">Asset inventory, risk assessment, access controls, IRP, vendor addenda, awareness training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19"/>
                <w:szCs w:val="19"/>
              </w:rPr>
              <w:t xml:space="preserve">Jun – Sep 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19"/>
                <w:szCs w:val="19"/>
              </w:rPr>
              <w:t xml:space="preserve">Medium-Term Remediation</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both"/>
            </w:pPr>
            <w:r>
              <w:rPr>
                <w:rFonts w:ascii="Arial" w:cs="Arial" w:eastAsia="Arial" w:hAnsi="Arial"/>
                <w:color w:val="1A1A1A"/>
                <w:sz w:val="19"/>
                <w:szCs w:val="19"/>
              </w:rPr>
              <w:t xml:space="preserve">Vulnerability management, network segmentation, secure SDLC, BCP/DRP development</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Sep – Nov 2024</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A1A1A"/>
                <w:sz w:val="19"/>
                <w:szCs w:val="19"/>
              </w:rPr>
              <w:t xml:space="preserve">Internal Audit &amp; Review</w:t>
            </w:r>
          </w:p>
        </w:tc>
        <w:tc>
          <w:tcPr>
            <w:tcW w:type="dxa" w:w="50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both"/>
            </w:pPr>
            <w:r>
              <w:rPr>
                <w:rFonts w:ascii="Arial" w:cs="Arial" w:eastAsia="Arial" w:hAnsi="Arial"/>
                <w:color w:val="1A1A1A"/>
                <w:sz w:val="19"/>
                <w:szCs w:val="19"/>
              </w:rPr>
              <w:t xml:space="preserve">ISO 27001:2022 internal audit (Clause 9.2) + Management Review (Clause 9.3)</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E8449"/>
                <w:sz w:val="19"/>
                <w:szCs w:val="19"/>
              </w:rPr>
              <w:t xml:space="preserve">Dec 2024</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E8449"/>
                <w:sz w:val="19"/>
                <w:szCs w:val="19"/>
              </w:rPr>
              <w:t xml:space="preserve">Stage 1 Audit Ready</w:t>
            </w:r>
          </w:p>
        </w:tc>
        <w:tc>
          <w:tcPr>
            <w:tcW w:type="dxa" w:w="50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both"/>
            </w:pPr>
            <w:r>
              <w:rPr>
                <w:rFonts w:ascii="Arial" w:cs="Arial" w:eastAsia="Arial" w:hAnsi="Arial"/>
                <w:color w:val="1E8449"/>
                <w:sz w:val="19"/>
                <w:szCs w:val="19"/>
              </w:rPr>
              <w:t xml:space="preserve">Documentation review by accredited Certification Body — target: no major non-conformities</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E8449"/>
                <w:sz w:val="19"/>
                <w:szCs w:val="19"/>
              </w:rPr>
              <w:t xml:space="preserve">Feb 2025</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E8449"/>
                <w:sz w:val="19"/>
                <w:szCs w:val="19"/>
              </w:rPr>
              <w:t xml:space="preserve">Stage 2 Audit Target</w:t>
            </w:r>
          </w:p>
        </w:tc>
        <w:tc>
          <w:tcPr>
            <w:tcW w:type="dxa" w:w="50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both"/>
            </w:pPr>
            <w:r>
              <w:rPr>
                <w:rFonts w:ascii="Arial" w:cs="Arial" w:eastAsia="Arial" w:hAnsi="Arial"/>
                <w:color w:val="1E8449"/>
                <w:sz w:val="19"/>
                <w:szCs w:val="19"/>
              </w:rPr>
              <w:t xml:space="preserve">Implementation audit — certification decision expected Q1 2025</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E8449"/>
                <w:sz w:val="19"/>
                <w:szCs w:val="19"/>
              </w:rPr>
              <w:t xml:space="preserve">H2 2025</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E8449"/>
                <w:sz w:val="19"/>
                <w:szCs w:val="19"/>
              </w:rPr>
              <w:t xml:space="preserve">SOC 2 Type I Target</w:t>
            </w:r>
          </w:p>
        </w:tc>
        <w:tc>
          <w:tcPr>
            <w:tcW w:type="dxa" w:w="50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both"/>
            </w:pPr>
            <w:r>
              <w:rPr>
                <w:rFonts w:ascii="Arial" w:cs="Arial" w:eastAsia="Arial" w:hAnsi="Arial"/>
                <w:color w:val="1E8449"/>
                <w:sz w:val="19"/>
                <w:szCs w:val="19"/>
              </w:rPr>
              <w:t xml:space="preserve">Commission SOC 2 Type I audit once control environment is stable for 6+ months</w:t>
            </w:r>
          </w:p>
        </w:tc>
      </w:tr>
    </w:tbl>
    <w:p>
      <w:pPr>
        <w:spacing w:after="0" w:before="0" w:line="240"/>
      </w:pPr>
      <w:r>
        <w:t xml:space="preserve"/>
      </w:r>
    </w:p>
    <w:p>
      <w:pPr>
        <w:spacing w:after="140" w:before="0"/>
        <w:jc w:val="both"/>
      </w:pPr>
      <w:r>
        <w:rPr>
          <w:rFonts w:ascii="Arial" w:cs="Arial" w:eastAsia="Arial" w:hAnsi="Arial"/>
          <w:color w:val="1A1A1A"/>
          <w:sz w:val="20"/>
          <w:szCs w:val="20"/>
        </w:rPr>
        <w:t xml:space="preserve">The pathway above reflects a realistic but demanding schedule. The 9–12 month timeline to Stage 1 audit assumes active management commitment, dedicated resource allocation, and timely completion of Phase 1 and Phase 2 actions. Slippage in Phases 1 or 2 will delay the certification timeline proportionally.</w:t>
      </w:r>
    </w:p>
    <w:p>
      <w:pPr>
        <w:spacing w:after="140" w:before="0"/>
        <w:jc w:val="both"/>
      </w:pPr>
      <w:r>
        <w:rPr>
          <w:rFonts w:ascii="Arial" w:cs="Arial" w:eastAsia="Arial" w:hAnsi="Arial"/>
          <w:color w:val="1A1A1A"/>
          <w:sz w:val="20"/>
          <w:szCs w:val="20"/>
        </w:rPr>
        <w:t xml:space="preserve">SOC 2 Type II certification — which covers a minimum 6-month observation period of operating effectiveness — is targeted for 2026 subject to Type I completion. Brightpath should plan for this as a 24–30 month total journey from the commencement of this remediation programme.</w:t>
      </w:r>
    </w:p>
    <w:p>
      <w:r>
        <w:br w:type="page"/>
      </w:r>
    </w:p>
    <w:p>
      <w:pPr>
        <w:pStyle w:val="Heading1"/>
        <w:spacing w:after="120" w:before="320"/>
      </w:pPr>
      <w:r>
        <w:rPr>
          <w:rFonts w:ascii="Arial" w:cs="Arial" w:eastAsia="Arial" w:hAnsi="Arial"/>
          <w:b/>
          <w:bCs/>
          <w:color w:val="1B2A4A"/>
          <w:sz w:val="26"/>
          <w:szCs w:val="26"/>
        </w:rPr>
        <w:t xml:space="preserve">8.   Management Recommendations</w:t>
      </w:r>
    </w:p>
    <w:p>
      <w:pPr>
        <w:spacing w:after="140" w:before="0"/>
        <w:jc w:val="both"/>
      </w:pPr>
      <w:r>
        <w:rPr>
          <w:rFonts w:ascii="Arial" w:cs="Arial" w:eastAsia="Arial" w:hAnsi="Arial"/>
          <w:color w:val="1A1A1A"/>
          <w:sz w:val="20"/>
          <w:szCs w:val="20"/>
        </w:rPr>
        <w:t xml:space="preserve">Resolute Compliance Advisory LLP presents the following five recommendations for the consideration of Brightpath's senior management and Board:</w:t>
      </w:r>
    </w:p>
    <w:p>
      <w:pPr>
        <w:spacing w:after="0" w:before="0" w:line="160"/>
      </w:pPr>
      <w:r>
        <w:t xml:space="preserve"/>
      </w:r>
    </w:p>
    <w:p>
      <w:pPr>
        <w:pStyle w:val="ListParagraph"/>
        <w:numPr>
          <w:ilvl w:val="0"/>
          <w:numId w:val="2"/>
        </w:numPr>
        <w:spacing w:after="60" w:before="60"/>
      </w:pPr>
      <w:r>
        <w:rPr>
          <w:rFonts w:ascii="Arial" w:cs="Arial" w:eastAsia="Arial" w:hAnsi="Arial"/>
          <w:b/>
          <w:bCs/>
          <w:color w:val="1A1A1A"/>
          <w:sz w:val="20"/>
          <w:szCs w:val="20"/>
        </w:rPr>
        <w:t xml:space="preserve">1.  </w:t>
      </w:r>
      <w:r>
        <w:rPr>
          <w:rFonts w:ascii="Arial" w:cs="Arial" w:eastAsia="Arial" w:hAnsi="Arial"/>
          <w:color w:val="1A1A1A"/>
          <w:sz w:val="20"/>
          <w:szCs w:val="20"/>
        </w:rPr>
        <w:t xml:space="preserve">Appoint an Information Security Officer immediately. Remediation without clear ownership will stall. This does not require a new hire — a senior IT or operations leader can be designated as accountable while the function is being built.</w:t>
      </w:r>
    </w:p>
    <w:p>
      <w:pPr>
        <w:spacing w:after="0" w:before="0" w:line="120"/>
      </w:pPr>
      <w:r>
        <w:t xml:space="preserve"/>
      </w:r>
    </w:p>
    <w:p>
      <w:pPr>
        <w:pStyle w:val="ListParagraph"/>
        <w:numPr>
          <w:ilvl w:val="0"/>
          <w:numId w:val="2"/>
        </w:numPr>
        <w:spacing w:after="60" w:before="60"/>
      </w:pPr>
      <w:r>
        <w:rPr>
          <w:rFonts w:ascii="Arial" w:cs="Arial" w:eastAsia="Arial" w:hAnsi="Arial"/>
          <w:b/>
          <w:bCs/>
          <w:color w:val="1A1A1A"/>
          <w:sz w:val="20"/>
          <w:szCs w:val="20"/>
        </w:rPr>
        <w:t xml:space="preserve">2.  </w:t>
      </w:r>
      <w:r>
        <w:rPr>
          <w:rFonts w:ascii="Arial" w:cs="Arial" w:eastAsia="Arial" w:hAnsi="Arial"/>
          <w:color w:val="1A1A1A"/>
          <w:sz w:val="20"/>
          <w:szCs w:val="20"/>
        </w:rPr>
        <w:t xml:space="preserve">Treat former-employee credential revocation as a Board-level action item for this week. R-006 is a live risk identified during this assessment. Two former employees retain active system access. This must be resolved before any other remediation activity begins.</w:t>
      </w:r>
    </w:p>
    <w:p>
      <w:pPr>
        <w:spacing w:after="0" w:before="0" w:line="120"/>
      </w:pPr>
      <w:r>
        <w:t xml:space="preserve"/>
      </w:r>
    </w:p>
    <w:p>
      <w:pPr>
        <w:pStyle w:val="ListParagraph"/>
        <w:numPr>
          <w:ilvl w:val="0"/>
          <w:numId w:val="2"/>
        </w:numPr>
        <w:spacing w:after="60" w:before="60"/>
      </w:pPr>
      <w:r>
        <w:rPr>
          <w:rFonts w:ascii="Arial" w:cs="Arial" w:eastAsia="Arial" w:hAnsi="Arial"/>
          <w:b/>
          <w:bCs/>
          <w:color w:val="1A1A1A"/>
          <w:sz w:val="20"/>
          <w:szCs w:val="20"/>
        </w:rPr>
        <w:t xml:space="preserve">3.  </w:t>
      </w:r>
      <w:r>
        <w:rPr>
          <w:rFonts w:ascii="Arial" w:cs="Arial" w:eastAsia="Arial" w:hAnsi="Arial"/>
          <w:color w:val="1A1A1A"/>
          <w:sz w:val="20"/>
          <w:szCs w:val="20"/>
        </w:rPr>
        <w:t xml:space="preserve">Commit to the Remediation Roadmap as a funded programme. The 34 actions in RCA-P1-006 require budget, time, and people. Treating compliance as a background activity will not achieve certification readiness within the proposed timeline. A formal programme with a named sponsor, quarterly reviews, and board visibility is recommended.</w:t>
      </w:r>
    </w:p>
    <w:p>
      <w:pPr>
        <w:spacing w:after="0" w:before="0" w:line="120"/>
      </w:pPr>
      <w:r>
        <w:t xml:space="preserve"/>
      </w:r>
    </w:p>
    <w:p>
      <w:pPr>
        <w:pStyle w:val="ListParagraph"/>
        <w:numPr>
          <w:ilvl w:val="0"/>
          <w:numId w:val="2"/>
        </w:numPr>
        <w:spacing w:after="60" w:before="60"/>
      </w:pPr>
      <w:r>
        <w:rPr>
          <w:rFonts w:ascii="Arial" w:cs="Arial" w:eastAsia="Arial" w:hAnsi="Arial"/>
          <w:b/>
          <w:bCs/>
          <w:color w:val="1A1A1A"/>
          <w:sz w:val="20"/>
          <w:szCs w:val="20"/>
        </w:rPr>
        <w:t xml:space="preserve">4.  </w:t>
      </w:r>
      <w:r>
        <w:rPr>
          <w:rFonts w:ascii="Arial" w:cs="Arial" w:eastAsia="Arial" w:hAnsi="Arial"/>
          <w:color w:val="1A1A1A"/>
          <w:sz w:val="20"/>
          <w:szCs w:val="20"/>
        </w:rPr>
        <w:t xml:space="preserve">Leverage the ISO 27001 and SOC 2 programmes as a single initiative. The two frameworks share approximately 70% of their control requirements. Running them as separate projects wastes resource. The Remediation Roadmap (RCA-P1-006) is designed as a unified programme — adopt it as such.</w:t>
      </w:r>
    </w:p>
    <w:p>
      <w:pPr>
        <w:spacing w:after="0" w:before="0" w:line="120"/>
      </w:pPr>
      <w:r>
        <w:t xml:space="preserve"/>
      </w:r>
    </w:p>
    <w:p>
      <w:pPr>
        <w:pStyle w:val="ListParagraph"/>
        <w:numPr>
          <w:ilvl w:val="0"/>
          <w:numId w:val="2"/>
        </w:numPr>
        <w:spacing w:after="60" w:before="60"/>
      </w:pPr>
      <w:r>
        <w:rPr>
          <w:rFonts w:ascii="Arial" w:cs="Arial" w:eastAsia="Arial" w:hAnsi="Arial"/>
          <w:b/>
          <w:bCs/>
          <w:color w:val="1A1A1A"/>
          <w:sz w:val="20"/>
          <w:szCs w:val="20"/>
        </w:rPr>
        <w:t xml:space="preserve">5.  </w:t>
      </w:r>
      <w:r>
        <w:rPr>
          <w:rFonts w:ascii="Arial" w:cs="Arial" w:eastAsia="Arial" w:hAnsi="Arial"/>
          <w:color w:val="1A1A1A"/>
          <w:sz w:val="20"/>
          <w:szCs w:val="20"/>
        </w:rPr>
        <w:t xml:space="preserve">Communicate the compliance programme to US clients as a competitive differentiator. Clients who require ISO 27001 or SOC 2 will view the in-progress programme positively if communicated proactively. Brightpath can reference this engagement and the remediation timeline as evidence of commitment to security without waiting for the final certificate.</w:t>
      </w:r>
    </w:p>
    <w:p>
      <w:pPr>
        <w:spacing w:after="0" w:before="0" w:line="400"/>
      </w:pPr>
      <w:r>
        <w:t xml:space="preserve"/>
      </w:r>
    </w:p>
    <w:p>
      <w:pPr>
        <w:pBdr>
          <w:bottom w:val="single" w:color="C8A951" w:sz="6" w:space="1"/>
        </w:pBdr>
        <w:spacing w:after="80" w:before="0"/>
      </w:pPr>
      <w:r>
        <w:t xml:space="preserve"/>
      </w:r>
    </w:p>
    <w:p>
      <w:pPr>
        <w:spacing w:after="0" w:before="0" w:line="160"/>
      </w:pPr>
      <w:r>
        <w:t xml:space="preserve"/>
      </w:r>
    </w:p>
    <w:p>
      <w:pPr>
        <w:spacing w:after="140" w:before="0"/>
        <w:jc w:val="both"/>
      </w:pPr>
      <w:r>
        <w:rPr>
          <w:rFonts w:ascii="Arial" w:cs="Arial" w:eastAsia="Arial" w:hAnsi="Arial"/>
          <w:color w:val="1A1A1A"/>
          <w:sz w:val="20"/>
          <w:szCs w:val="20"/>
        </w:rPr>
        <w:t xml:space="preserve">This Executive Summary has been prepared by Resolute Compliance Advisory LLP based on the findings of the gap assessment conducted between October 2023 and January 2024. All findings are based on information available at the time of assessment.</w:t>
      </w:r>
    </w:p>
    <w:p>
      <w:pPr>
        <w:spacing w:after="0" w:before="0" w:line="320"/>
      </w:pPr>
      <w:r>
        <w:t xml:space="preserve"/>
      </w:r>
    </w:p>
    <w:tbl>
      <w:tblPr>
        <w:tblW w:type="dxa" w:w="9638"/>
        <w:tblBorders>
          <w:top w:val="none"/>
          <w:left w:val="none"/>
          <w:bottom w:val="none"/>
          <w:right w:val="none"/>
          <w:insideH w:val="single" w:color="auto" w:sz="4"/>
          <w:insideV w:val="single" w:color="auto" w:sz="4"/>
        </w:tblBorders>
      </w:tblPr>
      <w:tblGrid>
        <w:gridCol w:w="4619"/>
        <w:gridCol w:w="5019"/>
      </w:tblGrid>
      <w:tr>
        <w:tc>
          <w:tcPr>
            <w:tcW w:type="dxa" w:w="4619"/>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1B2A4A" w:sz="6" w:space="1"/>
              </w:pBdr>
              <w:spacing w:after="80" w:before="560"/>
            </w:pPr>
            <w:r>
              <w:t xml:space="preserve"/>
            </w:r>
          </w:p>
          <w:p>
            <w:r>
              <w:rPr>
                <w:rFonts w:ascii="Arial" w:cs="Arial" w:eastAsia="Arial" w:hAnsi="Arial"/>
                <w:b/>
                <w:bCs/>
                <w:color w:val="1B2A4A"/>
                <w:sz w:val="20"/>
                <w:szCs w:val="20"/>
              </w:rPr>
              <w:t xml:space="preserve">kay Shahbaaz</w:t>
            </w:r>
          </w:p>
          <w:p>
            <w:r>
              <w:rPr>
                <w:rFonts w:ascii="Arial" w:cs="Arial" w:eastAsia="Arial" w:hAnsi="Arial"/>
                <w:color w:val="666666"/>
                <w:sz w:val="19"/>
                <w:szCs w:val="19"/>
              </w:rPr>
              <w:t xml:space="preserve">GRC Analyst</w:t>
            </w:r>
          </w:p>
          <w:p>
            <w:r>
              <w:rPr>
                <w:rFonts w:ascii="Arial" w:cs="Arial" w:eastAsia="Arial" w:hAnsi="Arial"/>
                <w:color w:val="666666"/>
                <w:sz w:val="19"/>
                <w:szCs w:val="19"/>
              </w:rPr>
              <w:t xml:space="preserve">Resolute Compliance Advisory LLP</w:t>
            </w:r>
          </w:p>
          <w:p>
            <w:r>
              <w:rPr>
                <w:rFonts w:ascii="Arial" w:cs="Arial" w:eastAsia="Arial" w:hAnsi="Arial"/>
                <w:color w:val="666666"/>
                <w:sz w:val="19"/>
                <w:szCs w:val="19"/>
              </w:rPr>
              <w:t xml:space="preserve">28 February 2024</w:t>
            </w:r>
          </w:p>
        </w:tc>
        <w:tc>
          <w:tcPr>
            <w:tcW w:type="dxa" w:w="5019"/>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r>
    </w:tbl>
    <w:sectPr>
      <w:headerReference w:type="default" r:id="rId7"/>
      <w:footerReference w:type="default" r:id="rId8"/>
      <w:pgSz w:w="11906" w:h="16838" w:orient="portrait"/>
      <w:pgMar w:top="1800" w:right="1134" w:bottom="16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8A951" w:sz="6" w:space="1"/>
      </w:pBdr>
      <w:spacing w:after="80" w:before="0"/>
    </w:pPr>
    <w:r>
      <w:t xml:space="preserve"/>
    </w:r>
  </w:p>
  <w:p>
    <w:pPr>
      <w:tabs>
        <w:tab w:val="center" w:pos="4819"/>
        <w:tab w:val="right" w:pos="9638"/>
      </w:tabs>
      <w:spacing w:after="0" w:before="40"/>
    </w:pPr>
    <w:r>
      <w:rPr>
        <w:rFonts w:ascii="Arial" w:cs="Arial" w:eastAsia="Arial" w:hAnsi="Arial"/>
        <w:color w:val="666666"/>
        <w:sz w:val="16"/>
        <w:szCs w:val="16"/>
      </w:rPr>
      <w:t xml:space="preserve">Resolute Compliance Advisory LLP  ·  RCA-P1-007  ·  v1.0</w:t>
    </w:r>
    <w:r>
      <w:rPr>
        <w:rFonts w:ascii="Arial" w:cs="Arial" w:eastAsia="Arial" w:hAnsi="Arial"/>
        <w:color w:val="1A1A1A"/>
        <w:sz w:val="16"/>
        <w:szCs w:val="16"/>
      </w:rPr>
      <w:t xml:space="preserve">	</w:t>
    </w:r>
    <w:r>
      <w:rPr>
        <w:rFonts w:ascii="Arial" w:cs="Arial" w:eastAsia="Arial" w:hAnsi="Arial"/>
        <w:b/>
        <w:bCs/>
        <w:color w:val="1B2A4A"/>
        <w:sz w:val="16"/>
        <w:szCs w:val="16"/>
      </w:rPr>
      <w:t xml:space="preserve">CONFIDENTIAL</w:t>
    </w:r>
    <w:r>
      <w:rPr>
        <w:rFonts w:ascii="Arial" w:cs="Arial" w:eastAsia="Arial" w:hAnsi="Arial"/>
        <w:color w:val="1A1A1A"/>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left w:val="none"/>
        <w:bottom w:val="none"/>
        <w:right w:val="none"/>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B2A4A" w:val="clear"/>
          <w:tcMar>
            <w:top w:type="dxa" w:w="100"/>
            <w:left w:type="dxa" w:w="160"/>
            <w:bottom w:type="dxa" w:w="100"/>
            <w:right w:type="dxa" w:w="80"/>
          </w:tcMar>
          <w:vAlign w:val="center"/>
        </w:tcPr>
        <w:p>
          <w:r>
            <w:rPr>
              <w:rFonts w:ascii="Arial" w:cs="Arial" w:eastAsia="Arial" w:hAnsi="Arial"/>
              <w:b/>
              <w:bCs/>
              <w:color w:val="C8A951"/>
              <w:sz w:val="26"/>
              <w:szCs w:val="26"/>
            </w:rPr>
            <w:t xml:space="preserve">RESOLUTE</w:t>
          </w:r>
        </w:p>
        <w:p>
          <w:r>
            <w:rPr>
              <w:rFonts w:ascii="Arial" w:cs="Arial" w:eastAsia="Arial" w:hAnsi="Arial"/>
              <w:b/>
              <w:bCs/>
              <w:color w:val="FFFFFF"/>
              <w:sz w:val="18"/>
              <w:szCs w:val="18"/>
            </w:rPr>
            <w:t xml:space="preserve">COMPLIANCE ADVISORY  LLP</w:t>
          </w:r>
        </w:p>
      </w:tc>
      <w:tc>
        <w:tcPr>
          <w:tcW w:type="dxa" w:w="2800"/>
          <w:tcBorders>
            <w:top w:val="none" w:color="FFFFFF" w:sz="0"/>
            <w:left w:val="none" w:color="FFFFFF" w:sz="0"/>
            <w:bottom w:val="none" w:color="FFFFFF" w:sz="0"/>
            <w:right w:val="none" w:color="FFFFFF" w:sz="0"/>
          </w:tcBorders>
          <w:shd w:fill="C8A951" w:val="clear"/>
          <w:tcMar>
            <w:top w:type="dxa" w:w="100"/>
            <w:left w:type="dxa" w:w="120"/>
            <w:bottom w:type="dxa" w:w="100"/>
            <w:right w:type="dxa" w:w="120"/>
          </w:tcMar>
          <w:vAlign w:val="center"/>
        </w:tcPr>
        <w:p>
          <w:pPr>
            <w:jc w:val="center"/>
          </w:pPr>
          <w:r>
            <w:rPr>
              <w:rFonts w:ascii="Arial" w:cs="Arial" w:eastAsia="Arial" w:hAnsi="Arial"/>
              <w:color w:val="1B2A4A"/>
              <w:sz w:val="16"/>
              <w:szCs w:val="16"/>
            </w:rPr>
            <w:t xml:space="preserve">Governance · Risk · Compliance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2026-06-20T18:31:19.948Z</dcterms:created>
  <dcterms:modified xsi:type="dcterms:W3CDTF">2026-06-20T18:31:19.961Z</dcterms:modified>
</cp:coreProperties>
</file>

<file path=docProps/custom.xml><?xml version="1.0" encoding="utf-8"?>
<Properties xmlns="http://schemas.openxmlformats.org/officeDocument/2006/custom-properties" xmlns:vt="http://schemas.openxmlformats.org/officeDocument/2006/docPropsVTypes"/>
</file>