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FPGA V0 実装仕様書 v1.0（本体）レビュー指摘書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fpga_v0_body_review_v1_0.docx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対象文書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fpga_v0_impl_spec_v1_0.md（V0実装仕様書 本体・初版）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位置づけ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V0本体（V1以降のRTL実装が拠る土台）。承認済骨子 v1.2 の本文化。RTL実コードは含まない（正しいスコープ）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レビュー日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2026-06-27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照合Ref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emu23_v108.c（行番号付き実照合）／ ISA2_3_v231.docx §2.4/§3/§8.1 ／ yuios_memmap_design_v2_4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判定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承認（M無し）。N-1の1行補足を推奨、C-1〜3はV1/V2への申し送り。修正は任意で本体クローズ可</w:t>
            </w:r>
          </w:p>
        </w:tc>
      </w:tr>
    </w:tbl>
    <w:p>
      <w:pPr>
        <w:pStyle w:val="Heading1"/>
      </w:pPr>
      <w:r>
        <w:t xml:space="preserve">0. 文書の位置づけ確認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ご依頼は「V1の設計書」だが、ファイル名・内容ともV0実装仕様書 本体（v1.0）であり、RTL実コードを含まない土台確定文書である（スコープ§1.2に明記）。V1（CPUコア実装FSM）はこの本体承認後に着手する後続フェーズ（§10.5表）。本指摘書はV0本体として評価した。V1のRTL設計書をご希望なら別途お申し付けいただきたい。</w:t>
      </w:r>
    </w:p>
    <w:p>
      <w:pPr>
        <w:pStyle w:val="Heading1"/>
      </w:pPr>
      <w:r>
        <w:t xml:space="preserve">1. 総評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骨子v1.2の確定事項を過不足なく本文化し、保留論点(L-3/L-4/L-6)を実照合根拠つきで決着させた完成度の高い本体である。特に評価する点：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L-6（cycle除外）をemu23 L1112『CPI=1固定』の実コードで根拠づけた点。多サイクルFPGAとの定義不一致を論理的に説明しており、回帰ゲートを『完走＋論理結果一致』に絞る判断は正しい。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L-4（byte-enable）を8bit LDB/STB命令の実在（任意アドレス1バイトアクセス）から導いた点。16bitワードBRAMだとSTB[odd]でread-modify-writeが要る、という論証は的確。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メモリ＝PSRAM／BSRAM温存の判断と、多サイクル方式との噛み合わせ（可変レイテンシを状態で吸収）が一貫。MC6809機の外部メモリ思想との対応づけも筋が通っている。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§5（emu⇔RTL非対称）が骨子の到達点（irq_pending基準確定・align・timer_in_service非写像）を正確に保持。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実照合の結果、本体の主要なRef引用はすべて実ソースと一致した（次節）。Mレベルの指摘は無い。</w:t>
      </w:r>
    </w:p>
    <w:p>
      <w:pPr>
        <w:pStyle w:val="Heading1"/>
      </w:pPr>
      <w:r>
        <w:t xml:space="preserve">2. 実照合結果（KY34）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本体の新規確定事項・主要引用を emu23_v108.c / ISA2_3_v231 / memmap で照合した。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60"/>
        <w:gridCol w:w="150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本体の記述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実照合元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§10.4 cycle CPI=1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emu23_v108.c L1112 『cpu.cycle++; ここのみインクリメント』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9"/>
                <w:szCs w:val="19"/>
              </w:rPr>
              <w:t xml:space="preserve">一致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§7.4 LDB/STB存在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emu23_v108.c 0x10-0x17 rd8/wr8（L1180-）／ISA§3 sub-opcode表 L245-252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9"/>
                <w:szCs w:val="19"/>
              </w:rPr>
              <w:t xml:space="preserve">一致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§7.4 rd16合成LE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emu23_v108.c lo=rd8(a)|hi=rd8(a+1)&lt;&lt;8（L556近傍）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9"/>
                <w:szCs w:val="19"/>
              </w:rPr>
              <w:t xml:space="preserve">一致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§5.4 align=ID3 r/w双方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emu23_v108.c L498(READ)/L567(WRITE) irq_pending=3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9"/>
                <w:szCs w:val="19"/>
              </w:rPr>
              <w:t xml:space="preserve">一致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§5.2 irq_pending体系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ISA§8.1 ID表(irq0=1..syscall=4)／vec=rd16(id*2)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9"/>
                <w:szCs w:val="19"/>
              </w:rPr>
              <w:t xml:space="preserve">一致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§8.2 reset間接ベクタ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emu23_v108.c L1809 cpu.pc=rd16(0x0000)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9"/>
                <w:szCs w:val="19"/>
              </w:rPr>
              <w:t xml:space="preserve">一致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§4.1/§4.3 領域・MMIO境界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yuios_memmap_design_v2_4（MMIO $FC80-$FFFF/896B 他）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19"/>
                <w:szCs w:val="19"/>
              </w:rPr>
              <w:t xml:space="preserve">一致</w:t>
            </w:r>
          </w:p>
        </w:tc>
      </w:tr>
    </w:tbl>
    <w:p>
      <w:pPr>
        <w:pStyle w:val="Heading1"/>
      </w:pPr>
      <w:r>
        <w:t xml:space="preserve">3. 指摘明細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000"/>
        <w:gridCol w:w="4540"/>
        <w:gridCol w:w="1000"/>
      </w:tblGrid>
      <w:tr>
        <w:trPr>
          <w:tblHeader/>
        </w:trP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件名・該当箇所</w:t>
            </w:r>
          </w:p>
        </w:tc>
        <w:tc>
          <w:tcPr>
            <w:tcW w:type="dxa" w:w="4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指摘内容・根拠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分類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N-1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§3.4 opcodeグループ表とLDB/STB位置の対応が読者に見えにくい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§3.4 / §7.4</w:t>
            </w:r>
          </w:p>
        </w:tc>
        <w:tc>
          <w:tcPr>
            <w:tcW w:type="dxa" w:w="4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§3.4は DataTransfer=0x20–0x3F とする（ISA§2.4と一致＝正）。一方§7.4はLDB/STBを『L1180-1212＝0x10台』として引く。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実照合：LDB/STB(0x10-0x17)・PUSH/POP(0x00-0x05)は ISA§3『Control/System(0x00–0x1F)』配下のsub-opcode表（ISA L237-252）に定義され、emu23もそこに実装。MOV(0x20)等のレジスタ間16bit転送のみがDataTransfer帯。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従って§3.4表は誤りではないが、『8bit転送LDB/STBはCtrl/System帯のsub-opcode、16bit MOV系がDataTransfer帯』という棲み分けが本文に無く、§7.4の0x10台参照と§3.4表が齟齬して見える。§3.3または§3.4に1行補足を推奨（KY39読者の取り違え防止）。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22"/>
                <w:szCs w:val="22"/>
              </w:rPr>
              <w:t xml:space="preserve">N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C-1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§6.2/§7.4 16bitアクセスを『偶数アドレス隣接2バイト』と限定する根拠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§6.2 / §7.4 / §7.5</w:t>
            </w:r>
          </w:p>
        </w:tc>
        <w:tc>
          <w:tcPr>
            <w:tcW w:type="dxa" w:w="4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本体は16bitアクセスを偶数アドレス限定（奇数はalign例外）とし、RTLで隣接2バイトを多サイクル処理とする。これはemu23 align例外(§5.4)と整合し妥当。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確認：emu23のrd16は『lo=mem[a], hi=mem[a+1]』（L556-559実照合）で、a偶数前提。RTLで2バイトを1トランザクションに束ねる際、byte-enable方式（§7.4）との制御線設計（2回の8bitアクセスか、16bit BE一括か）はV2(メモリ/バス)で確定する論点。本体では方針記載で可だが、§7.2 PSRAM ctrl設計(V1/V2)へ申し送る論点として明記推奨。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7700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C-2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§8.2 reset vector $0000 とwrite禁止領域の初期化順序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§8.2 / §7.3 / §4.2</w:t>
            </w:r>
          </w:p>
        </w:tc>
        <w:tc>
          <w:tcPr>
            <w:tcW w:type="dxa" w:w="4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resetは rd16($0000)＝ベクタ間接（実照合L1809・正）。一方$0000-$3FFFはwrite禁止前提(§4.2)かつ初期イメージは起動時PSRAM展開(§7.3)。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論点：reset解除時点でベクタ($0000)が既に正しい値で読める必要がある。SPI Flash→PSRAMコピー方式(§7.3 L-2)だと『コピー完了前にCPUがreset vectorをフェッチする』競合が起きうる。起動シーケンス(reset hold→ロード完了→CPU解放)の順序制約をV7/V8(L-2)で必ず扱う論点として§7.3に1行申し送り推奨。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7700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C-3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§2.2/§8.1 CPU 4MHzとPSRAMレイテンシの整合は未検証前提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§2.2 / §7.2 / §8.1</w:t>
            </w:r>
          </w:p>
        </w:tc>
        <w:tc>
          <w:tcPr>
            <w:tcW w:type="dxa" w:w="4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4MHzは想定値でV末期実測確定、と適切に留保されている。ただしPSRAMの実効レイテンシ次第では、多サイクルのメモリ待ち状態数が命令スループットを律速し、Dhrystone完走時間に大きく効く。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本体の判断は妥当。念のため§7.2に『PSRAMレイテンシ実測値が4MHz動作の命令完了サイクルに与える影響をV2で定量化し、必要なら分周比を見直す』旨をV2完了条件(§10.5)へ紐付けると、後戻りが防げる。設計判断のためC止まり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7700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N-2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§10.4 cycle除外の根拠引用は正確（確認のみ）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§10.4</w:t>
            </w:r>
          </w:p>
        </w:tc>
        <w:tc>
          <w:tcPr>
            <w:tcW w:type="dxa" w:w="4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『emu23はL1112で cpu.cycle を一律+1＝CPI=1固定』は実照合一致（L1112『ここのみインクリメント』）。多サイクルFPGAとcycle不一致は定義上不可避、ゆえに完走＋論理結果(MD5)一致に限定、は論理的に正しい。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指摘ではなく確認。DPSを実機実測の別記録とする整理も妥当。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22"/>
                <w:szCs w:val="22"/>
              </w:rPr>
              <w:t xml:space="preserve">N</w:t>
            </w:r>
          </w:p>
        </w:tc>
      </w:tr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N-3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§7.4 rd16合成の引用行『L556-559』の精度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§7.4</w:t>
            </w:r>
          </w:p>
        </w:tc>
        <w:tc>
          <w:tcPr>
            <w:tcW w:type="dxa" w:w="4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d16のリトルエンディアン合成『lo=rd8(a)|hi=rd8(a+1)&lt;&lt;8』は実在を確認。引用行レンジは概ね妥当だが、MMU経由パス(phys_rd8(mmu_translate))も同関数内に併存するため、本体が指す『通常メモリ合成』の行を厳密化(例:該当行のみ)するとKY34行番号精度が上がる。軽微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A3A"/>
                <w:sz w:val="22"/>
                <w:szCs w:val="22"/>
              </w:rPr>
              <w:t xml:space="preserve">N</w:t>
            </w:r>
          </w:p>
        </w:tc>
      </w:tr>
    </w:tbl>
    <w:p>
      <w:pPr>
        <w:pStyle w:val="Heading1"/>
      </w:pPr>
      <w:r>
        <w:t xml:space="preserve">4. N-1 補足の具体案（§3.4近傍に1行）</w:t>
      </w:r>
    </w:p>
    <w:p>
      <w:pPr>
        <w:spacing w:after="0"/>
      </w:pPr>
      <w:r>
        <w:rPr>
          <w:rFonts w:ascii="Arial" w:cs="Arial" w:eastAsia="Arial" w:hAnsi="Arial"/>
          <w:sz w:val="21"/>
          <w:szCs w:val="21"/>
        </w:rPr>
        <w:t xml:space="preserve">『8bitロード/ストア LDB/STB（0x10–0x17）とスタック操作 PUSH/POP（0x00–0x05）は、Control/System帯（0x00–0x1F）内のsub-opcode命令として符号化される（ISA§3）。DataTransfer帯（0x20–0x3F）はMOV等のレジスタ間16bit転送を担う。』——この1行で§7.4の0x10台参照と§3.4表の齟齬が解消する。</w:t>
      </w:r>
    </w:p>
    <w:p>
      <w:pPr>
        <w:pStyle w:val="Heading1"/>
      </w:pPr>
      <w:r>
        <w:t xml:space="preserve">5. 判定とクローズ条件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判定：</w:t>
      </w:r>
      <w:r>
        <w:rPr>
          <w:rFonts w:ascii="Arial" w:cs="Arial" w:eastAsia="Arial" w:hAnsi="Arial"/>
          <w:b/>
          <w:bCs/>
          <w:color w:val="0A7A3A"/>
          <w:sz w:val="22"/>
          <w:szCs w:val="22"/>
        </w:rPr>
        <w:t xml:space="preserve">承認（Mレベル指摘なし）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本体は承認に値する。N-1（opcode棲み分けの1行補足）を反映すれば文書の自己完結性が上がる。C-1〜C-3はV0本体で解く必要はなく、それぞれV1/V2/V7-V8の論点として申し送れば足りる（§7.2/§7.3/§10.5へ1行ずつ追記推奨）。N-2/N-3は確認・軽微。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以上より、N-1反映（任意でC-1〜3の申し送り追記）をもって本体クローズとし、原則43に則りV1（CPUコア実装FSM）の設計フェーズへ進んでよい。V1ではISA2_3_v231全命令の単体TBがemu23と一致することが完了条件（§10.5）。</w:t>
      </w:r>
    </w:p>
    <w:p>
      <w:pPr>
        <w:pStyle w:val="Heading1"/>
      </w:pPr>
      <w:r>
        <w:t xml:space="preserve">6. V1着手前の申し送り（参考）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V1完了条件は全命令の単体TB×emu23突合（§10.5）。命令ごとにTBを量産する都合上、emu23を『1命令実行して状態ダンプ』できる突合ハーネス（既存 -it モード活用）の整備を先行させると効率的。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D-3（分岐Z/N網羅）はV1のうちに、D-1（1段ラッチ）・D-2（align）はV2/V3で消化（§10.3）。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C-2のreset/ロード競合は、V1のreset FSM設計時に『reset hold中はロード未完』を前提に置くと、V7/V8で破綻しない。</w:t>
      </w:r>
    </w:p>
    <w:p>
      <w:pPr>
        <w:pStyle w:val="Heading1"/>
      </w:pPr>
      <w:r>
        <w:t xml:space="preserve">7. 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2026-06-27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fpga_v0_impl_spec_v1_0.md（V0本体）の初回レビュー。新規確定事項（L-3 Tang Nano 9K/4MHz・L-4 byte-enable・L-6 cycle除外・PSRAM選定）をemu23_v108.c/ISA2_3_v231/memmapで実照合し全一致を確認。Mレベル指摘なし＝承認。N-1（opcodeグループとLDB/STB位置の棲み分け1行補足）推奨、C-1〜3はV1/V2/V7-V8への申し送り。文書はV0本体でありV1 RTL設計書ではない旨を§0で明示。</w:t>
            </w:r>
          </w:p>
        </w:tc>
      </w:tr>
    </w:tbl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3C5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A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2026-06-27T04:26:38.958Z</dcterms:created>
  <dcterms:modified xsi:type="dcterms:W3CDTF">2026-06-27T04:26:38.976Z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