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7"/>
          <w:szCs w:val="27"/>
        </w:rPr>
        <w:t xml:space="preserve">V2-b (C2即値ALU / C3比較)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v2b_design_review_reply_v1_0.docx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v2b_design_memo_v0_1.md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FPGA V2 CPUコア単体検証 V2-b(C2即値ALU群/C3比較群)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emu23_v108.c(実体・CMP L1326/CMPI L1333/ADDI L1300/XORI L1355/SUB L1310/set_zn L1018)／ISA2_3_v231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承認(Q1/Q3/Q4承認・Q2条件付き)。論点1核心を実照合で確定。N-1(v109版数)継続是正しつつ実装着手可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V2-bの核心である『CMPのrD不変検証で偽合格を塞ぐ』設計(論点1)は、実照合で妥当性を確定できた。CMP/CMPIがset_znのみ・rD非代入である一方、SUBは同じZ/N結果を出しつつrDへ代入するため、rD不変チェックが無ければCMPをSUB誤実装で偽合格しうる——この問題意識と対策が的確。エンコーダ一般化(論点2)・build_code分岐(論点3)も実装と整合す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指摘はベクタ象限網羅の微調整(Q2/C-1)、符号付き比較のwrap境界追加(C-2)、v109版数の継続課題(N-1)に留まり、設計の骨格に問題はない。実装(TB作成)へ進んでよい。</w:t>
      </w:r>
    </w:p>
    <w:p>
      <w:pPr>
        <w:pStyle w:val="Heading1"/>
      </w:pPr>
      <w:r>
        <w:t xml:space="preserve">2. 実照合サマリ (KY34)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実照合元・内容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CMP(0x44) rD不変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set_zn(*rd-*rs)のみ・*rd非代入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CMPI(0x45) rD不変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set_zn(*rd-imm)のみ・*rd非代入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SUB(0x42)との差分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*rd-=*rs; set_zn(*rd) =rDへ代入あり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偽合格根拠確認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ADDI(0x41)エンコード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rb=fetch8→rd=rb&gt;&gt;4→imm=fetch16 (4B)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XORI(0x55)同型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ADDIと同型[op,rd&lt;&lt;4|0,lo,hi]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set_zn基準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Z=(v==0)/N=(v&amp;0x8000) 到達象限3種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確認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emu23_v109実体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ナレッジ不在(v108のみ・行番号相違)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00020"/>
                <w:sz w:val="17"/>
                <w:szCs w:val="17"/>
              </w:rPr>
              <w:t xml:space="preserve">不在(N-1)</w:t>
            </w:r>
          </w:p>
        </w:tc>
      </w:tr>
    </w:tbl>
    <w:p>
      <w:pPr>
        <w:pStyle w:val="Heading1"/>
      </w:pPr>
      <w:r>
        <w:t xml:space="preserve">3. 論点への判定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47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論点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論点1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C3のレジスタ不変検証(本V2-b核心)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実照合で妥当性を確定。CMP(0x44):set_zn(*rd-*rs)のみ・*rd非代入。CMPI(0x45):set_zn(*rd-imm)のみ・*rd非代入。対してSUB(0x42)は *rd-=*rs; set_zn(*rd) で*rdへ代入。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CMPとSUBはZ/N結果が同一のため、rD不変チェック無しではCMPをSUB誤実装しても偽合格する。kind='cmp'でrD不変+FLAGS両assertする設計は、この偽合格を的確に塞ぐ。核心設計として承認。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承認(実照合済)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論点2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エンコーダ追加(ISAに無い命令を作らない)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実照合:ADDI(0x41)/XORI(0x55)ともrb=fetch8→rd=get_reg_ptr(rb&gt;&gt;4)→imm=fetch16の4B同型。C2の5命令とCMPI(0x45)は全て[op, rd&lt;&lt;4|0, lo, hi]で一致。alu_imm(op,rd,imm)を1つ作りop差し替えで全対応する方針は実装と整合。CMP(0x44)のalu_rr流用も正。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承認(実照合済)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論点3/5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build_code一般化・段階承認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末尾命令をkindで分岐('alu2'→alu_imm rd更新 / 'cmp'→0x44 alu_rr・0x45 alu_imm)する一般化は妥当。init=ldw_imm群踏襲も可。段階承認(V2-b ALL PASS+V2-a回帰維持→V2-c)はV2-aの実績に沿う。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承認</w:t>
            </w:r>
          </w:p>
        </w:tc>
      </w:tr>
    </w:tbl>
    <w:p>
      <w:pPr>
        <w:pStyle w:val="Heading1"/>
      </w:pPr>
      <w:r>
        <w:t xml:space="preserve">4. 依頼事項への回答 (Q1〜Q4)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360"/>
        <w:gridCol w:w="10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確認事項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Q1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CMPの実行前rD不変の期待値を初期化LDW値を真とし、emu23黄金の最終rDと二重突合する方針でよいか。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承認。CMP/CMPIはrDへ非代入(実照合:set_znのみ)ゆえ、実行後rD=初期化LDW値。emu23黄金の最終rDも同値になるため、二重突合(初期値==黄金最終rD==実測rD)は健全で偽合格に強い。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初期化LDW値を『既知の真』とする設計は、rD不変の検証を『黄金依存』でなく『TB自身の既知値』でも縛れる点で優れる(golden故障時も検出可)。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Q2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C2=11/C3=6 計17本のベクタ過不足。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概ね妥当だが、ビット演算のZ/N網羅に非対称あり。set_zn基準はZ=(v==0)/N=(v&amp;0x8000)で到達可能象限は{Z0N0,Z1N0,Z0N1}の3種(Z1N1不可)。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I/SUBIはpos/zero/negの3象限を持つが、ANDIはzero/negのみ(pos欠)、ORIはpos/negのみ(zero欠)。理想は各命令3象限。ただしORIでZ=1(結果0)は両オペランド0が必要で作為的、ANDIでpos(Z0N0)は容易。最低限ANDIにpos(Z0N0)を1本追加推奨。詳細はC-1参照。過不足はこの1本のみ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条件付き承認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Q3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TBをV2-a別ファイル(tb_cpu_v2b)にするか統合か。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承認(別ファイル推奨に同意)。V2-aと別ファイル(tb_cpu_v2b_v0_1.sv)がkind='cmp'分岐やrD不変assertを局所化でき、V2-a回帰は既存TBのまま維持できる。回帰は両TB実行で担保(論点5)。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Q4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SP不変チェック(C2/C3はSP非対象)をV2-a同様に付けるか。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承認・付与推奨。C2/C3はSP非対象ゆえSP不変は自明だが、V2-a同様にSP不変assertを入れておくと、デコーダ誤りでSP(reg3)を誤書込する事故(rd&lt;&lt;4のニブル取り違え等)を回帰で検出できる。低コスト高リターン。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</w:tbl>
    <w:p>
      <w:pPr>
        <w:pStyle w:val="Heading1"/>
      </w:pPr>
      <w:r>
        <w:t xml:space="preserve">5. 追加指摘 (C/N)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9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件名・該当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ベクタZ/N象限の網羅バランス(Q2詳細)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§3 論点4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到達可能象限{Z0N0(pos)/Z1N0(zero)/Z0N1(neg)}を各命令でできるだけ揃えるのが網羅の指標(Z1N1は数学的に不可)。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ANDIにpos(Z0N0)を1本追加推奨(例:0x0F0F &amp; 0x00FF=0x000F→Z0N0)。ORIのzero欠は作為的なので必須でない。ADDI/SUBIの3象限は良好。CMP/CMPIの3ケースも妥当。この調整で象限網羅が均等化する。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CMP/CMPIのN判定は符号ビット(bit15)依存=符号付き比較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§1 C3 / §3 論点4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set_znのN=(結果&amp;0x8000)ゆえ、CMPのN=1は『減算結果のbit15=1』であり符号付き大小(BLT/BGE)と結びつく(V0本体§3.9で確定)。メモの『rD&lt;rS→負(Z0N1)』は符号付き文脈では正しいが、符号なし大小や0x8000跨ぎ(例 0x0000-0x0001=0xFFFF→N1)の境界を1本入れると、N=符号ビットの意味がTBで明示される。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特にwrap(0x0000-0x0001=0xFFFF, Z0N1)ケースは、CMPが符号付き減算のZ/Nを立てることの良い実証になる。推奨。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emu23_v109参照・行番号L1402/1409がv108実体と不整合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§1 C3脚注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メモは『CMP/CMPI rD不変を L1402/1409 で確認済』とするが、ナレッジ実体emu23_v108ではCMP=L1326付近/CMPI=L1333付近。内容(set_znのみ・非代入)は完全一致だが行番号がv109基準でズレ。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前段レビュー(stage5_3/5_3c)から続くv109ナレッジ不在の継続課題。期待値取得(§2-2『emu23 v1.09黄金から自動取得』)に使うemu実体を確定させるため、v109登録+版数台帳更新を。KY39。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要是正(継続)</w:t>
            </w:r>
          </w:p>
        </w:tc>
      </w:tr>
    </w:tbl>
    <w:p>
      <w:pPr>
        <w:pStyle w:val="Heading1"/>
      </w:pPr>
      <w:r>
        <w:t xml:space="preserve">6. 総合判定とクローズ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</w:t>
      </w:r>
      <w:r>
        <w:rPr>
          <w:rFonts w:ascii="Yu Gothic" w:cs="Yu Gothic" w:eastAsia="Yu Gothic" w:hAnsi="Yu Gothic"/>
          <w:sz w:val="22"/>
          <w:szCs w:val="22"/>
        </w:rPr>
        <w:t xml:space="preserve">（Q1/Q3/Q4承認・Q2条件付き承認。原則43によりTB作成着手可）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論点1(核心):実照合で承認。CMP/CMPIのrD不変+FLAGS両assertで偽合格を的確に塞ぐ。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Q2/C-1:ANDIにpos(Z0N0)を1本追加し象限網羅を均等化(C2=11→12)。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C-2:CMP/CMPIにwrap境界(0x0000-0x0001=0xFFFF,Z0N1)を推奨、符号ビット=Nの実証。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N-1:emu23_v109をナレッジ登録+版数台帳更新(黄金自動取得に使うemu実体の確定・継続課題)。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成果物(gen_v2_vectors_v2b.py/tb_cpu_v2b_v0_1.sv/v2b一式)の_poc先行(KY38)方針も適切。以上、TB作成へ進んでよい。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2026-07-09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V2-b(C2即値ALU/C3比較)設計メモの初回レビュー。核心の論点1(CMP rD不変検証)をemu23_v108で実照合しCMP/CMPIのset_znのみ・非代入、SUBとの差分(rD代入有無)を確定、偽合格防止設計を承認。論点2(エンコーダ)/3(build_code)/5(段階承認)承認。Q1(二重突合)/Q3(別TB)/Q4(SP不変)承認、Q2(ベクタ)条件付き=ANDIにpos追加推奨。C-1(象限網羅)/C-2(wrap境界)/N-1(v109版数継続)。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2026-07-09T11:36:02.906Z</dcterms:created>
  <dcterms:modified xsi:type="dcterms:W3CDTF">2026-07-09T11:36:02.919Z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