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B22729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b/>
          <w:sz w:val="24"/>
          <w:szCs w:val="24"/>
        </w:rPr>
      </w:r>
    </w:p>
    <w:p w14:paraId="3A56E27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«РОССИЙСКАЯ АКАДЕМИЯ НАРОДНОГО ХОЗЯЙСТВА и</w:t>
      </w:r>
      <w:r>
        <w:rPr>
          <w:rFonts w:ascii="Times New Roman" w:hAnsi="Times New Roman" w:cs="Times New Roman"/>
          <w:b/>
          <w:sz w:val="24"/>
          <w:szCs w:val="24"/>
        </w:rPr>
      </w:r>
    </w:p>
    <w:p w14:paraId="374697AC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ГОСУДАРСТВЕННОЙ СЛУЖБЫ</w:t>
      </w:r>
      <w:r>
        <w:rPr>
          <w:rFonts w:ascii="Times New Roman" w:hAnsi="Times New Roman" w:cs="Times New Roman"/>
          <w:b/>
          <w:sz w:val="24"/>
          <w:szCs w:val="24"/>
        </w:rPr>
      </w:r>
    </w:p>
    <w:p w14:paraId="3270CE7E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при Президенте Российской Федерации»</w:t>
      </w:r>
      <w:r>
        <w:rPr>
          <w:rFonts w:ascii="Times New Roman" w:hAnsi="Times New Roman" w:cs="Times New Roman"/>
          <w:b/>
          <w:sz w:val="24"/>
          <w:szCs w:val="24"/>
        </w:rPr>
      </w:r>
    </w:p>
    <w:p w14:paraId="0E30991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4C82BFE1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КОЛЛЕДЖ МНОГОУРОВНЕВОГО ПРОФЕССИОНАЛЬНОГО ОБРАЗОВАНИЯ</w:t>
      </w:r>
      <w:r>
        <w:rPr>
          <w:rFonts w:ascii="Times New Roman" w:hAnsi="Times New Roman" w:cs="Times New Roman"/>
          <w:b/>
          <w:sz w:val="24"/>
          <w:szCs w:val="24"/>
        </w:rPr>
      </w:r>
    </w:p>
    <w:p w14:paraId="3FF08BFA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4380CD61">
      <w:pPr>
        <w:widowControl w:val="false"/>
        <w:pBdr/>
        <w:shd w:val="clear" w:color="auto" w:fill="ffffff"/>
        <w:tabs>
          <w:tab w:val="left" w:leader="underscore" w:pos="2486"/>
          <w:tab w:val="left" w:leader="underscore" w:pos="5203"/>
          <w:tab w:val="left" w:leader="underscore" w:pos="7450"/>
          <w:tab w:val="left" w:leader="underscore" w:pos="10147"/>
        </w:tabs>
        <w:spacing w:after="0" w:line="360" w:lineRule="auto"/>
        <w:ind w:left="5"/>
        <w:jc w:val="center"/>
        <w:rPr>
          <w:rFonts w:ascii="Times New Roman" w:hAnsi="Times New Roman" w:cs="Arial"/>
          <w:b/>
          <w:sz w:val="28"/>
          <w:szCs w:val="28"/>
        </w:rPr>
      </w:pPr>
      <w:r>
        <w:rPr>
          <w:rFonts w:ascii="Times New Roman" w:hAnsi="Times New Roman" w:cs="Arial"/>
          <w:b/>
          <w:spacing w:val="-12"/>
          <w:sz w:val="28"/>
          <w:szCs w:val="28"/>
        </w:rPr>
        <w:t xml:space="preserve">Специальность </w:t>
      </w:r>
      <w:r>
        <w:rPr>
          <w:rFonts w:ascii="Times New Roman" w:hAnsi="Times New Roman" w:cs="Arial"/>
          <w:spacing w:val="-12"/>
          <w:sz w:val="28"/>
          <w:szCs w:val="28"/>
          <w:u w:val="single"/>
        </w:rPr>
        <w:t xml:space="preserve">09.02.07 Информационные системы и программирование</w:t>
      </w:r>
      <w:r>
        <w:rPr>
          <w:rFonts w:ascii="Times New Roman" w:hAnsi="Times New Roman" w:cs="Arial"/>
          <w:b/>
          <w:sz w:val="28"/>
          <w:szCs w:val="28"/>
        </w:rPr>
      </w:r>
      <w:r>
        <w:rPr>
          <w:rFonts w:ascii="Times New Roman" w:hAnsi="Times New Roman" w:cs="Arial"/>
          <w:b/>
          <w:sz w:val="28"/>
          <w:szCs w:val="28"/>
        </w:rPr>
      </w:r>
    </w:p>
    <w:p w14:paraId="55A4C953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3FD3EA53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15023AFE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279E331A">
      <w:pPr>
        <w:widowControl w:val="false"/>
        <w:pBdr/>
        <w:spacing w:after="0" w:line="240" w:lineRule="auto"/>
        <w:ind/>
        <w:jc w:val="right"/>
        <w:rPr>
          <w:rFonts w:ascii="Times New Roman" w:hAnsi="Times New Roman" w:cs="Arial"/>
          <w:sz w:val="28"/>
          <w:szCs w:val="28"/>
        </w:rPr>
      </w:pPr>
      <w:r>
        <w:rPr>
          <w:rFonts w:ascii="Times New Roman" w:hAnsi="Times New Roman" w:cs="Arial"/>
          <w:sz w:val="28"/>
          <w:szCs w:val="28"/>
        </w:rPr>
        <w:t xml:space="preserve">УТВЕРЖДАЮ</w:t>
      </w:r>
      <w:r>
        <w:rPr>
          <w:rFonts w:ascii="Times New Roman" w:hAnsi="Times New Roman" w:cs="Arial"/>
          <w:sz w:val="28"/>
          <w:szCs w:val="28"/>
        </w:rPr>
      </w:r>
    </w:p>
    <w:p w14:paraId="39C26C16">
      <w:pPr>
        <w:widowControl w:val="false"/>
        <w:pBdr/>
        <w:tabs>
          <w:tab w:val="right" w:leader="none" w:pos="9355"/>
        </w:tabs>
        <w:spacing w:after="0" w:line="240" w:lineRule="auto"/>
        <w:ind/>
        <w:rPr>
          <w:rFonts w:ascii="Times New Roman" w:hAnsi="Times New Roman" w:cs="Arial"/>
          <w:sz w:val="28"/>
          <w:szCs w:val="28"/>
        </w:rPr>
      </w:pPr>
      <w:r>
        <w:rPr>
          <w:rFonts w:ascii="Times New Roman" w:hAnsi="Times New Roman" w:cs="Arial"/>
          <w:sz w:val="28"/>
          <w:szCs w:val="28"/>
        </w:rPr>
        <w:tab/>
        <w:t xml:space="preserve">Зам. директора КМПО РАНХиГС</w:t>
      </w:r>
      <w:r>
        <w:rPr>
          <w:rFonts w:ascii="Times New Roman" w:hAnsi="Times New Roman" w:cs="Arial"/>
          <w:sz w:val="28"/>
          <w:szCs w:val="28"/>
        </w:rPr>
      </w:r>
    </w:p>
    <w:p w14:paraId="75E61CD7">
      <w:pPr>
        <w:widowControl w:val="false"/>
        <w:pBdr/>
        <w:spacing w:after="0" w:line="240" w:lineRule="auto"/>
        <w:ind/>
        <w:jc w:val="right"/>
        <w:rPr>
          <w:rFonts w:ascii="Times New Roman" w:hAnsi="Times New Roman" w:cs="Arial"/>
          <w:sz w:val="28"/>
          <w:szCs w:val="28"/>
        </w:rPr>
      </w:pPr>
      <w:r>
        <w:rPr>
          <w:rFonts w:ascii="Times New Roman" w:hAnsi="Times New Roman" w:cs="Arial"/>
          <w:sz w:val="28"/>
          <w:szCs w:val="28"/>
        </w:rPr>
        <w:t xml:space="preserve">_________________С.Ф. Гасанов</w:t>
      </w:r>
      <w:r>
        <w:rPr>
          <w:rFonts w:ascii="Times New Roman" w:hAnsi="Times New Roman" w:cs="Arial"/>
          <w:sz w:val="28"/>
          <w:szCs w:val="28"/>
        </w:rPr>
      </w:r>
    </w:p>
    <w:p w14:paraId="16489EB4">
      <w:pPr>
        <w:widowControl w:val="false"/>
        <w:pBdr/>
        <w:spacing w:after="0" w:line="240" w:lineRule="auto"/>
        <w:ind/>
        <w:jc w:val="right"/>
        <w:rPr>
          <w:rFonts w:ascii="Times New Roman" w:hAnsi="Times New Roman" w:cs="Arial"/>
          <w:sz w:val="28"/>
          <w:szCs w:val="28"/>
        </w:rPr>
      </w:pPr>
      <w:r>
        <w:rPr>
          <w:rFonts w:ascii="Times New Roman" w:hAnsi="Times New Roman" w:cs="Arial"/>
          <w:sz w:val="28"/>
          <w:szCs w:val="28"/>
        </w:rPr>
        <w:t xml:space="preserve">«_____» _______________ 2026 г.</w:t>
      </w:r>
      <w:r>
        <w:rPr>
          <w:rFonts w:ascii="Times New Roman" w:hAnsi="Times New Roman" w:cs="Arial"/>
          <w:sz w:val="28"/>
          <w:szCs w:val="28"/>
        </w:rPr>
      </w:r>
    </w:p>
    <w:p w14:paraId="3C2AC0BF">
      <w:pPr>
        <w:widowControl w:val="false"/>
        <w:pBdr/>
        <w:tabs>
          <w:tab w:val="left" w:leader="none" w:pos="6255"/>
        </w:tabs>
        <w:spacing w:after="0" w:line="240" w:lineRule="auto"/>
        <w:ind/>
        <w:jc w:val="center"/>
        <w:rPr>
          <w:rFonts w:ascii="Times New Roman" w:hAnsi="Times New Roman" w:cs="Arial"/>
          <w:b/>
          <w:sz w:val="28"/>
          <w:szCs w:val="28"/>
        </w:rPr>
      </w:pPr>
      <w:r>
        <w:rPr>
          <w:rFonts w:ascii="Times New Roman" w:hAnsi="Times New Roman" w:cs="Arial"/>
          <w:b/>
          <w:sz w:val="28"/>
          <w:szCs w:val="28"/>
        </w:rPr>
      </w:r>
      <w:r>
        <w:rPr>
          <w:rFonts w:ascii="Times New Roman" w:hAnsi="Times New Roman" w:cs="Arial"/>
          <w:b/>
          <w:sz w:val="28"/>
          <w:szCs w:val="28"/>
        </w:rPr>
      </w:r>
    </w:p>
    <w:p w14:paraId="3AA0E521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37C31411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7A39B1F2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74A13172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ДИПЛОМНЫЙ ПРОЕКТ</w:t>
      </w:r>
      <w:r>
        <w:rPr>
          <w:rFonts w:ascii="Times New Roman" w:hAnsi="Times New Roman" w:cs="Times New Roman"/>
          <w:b/>
          <w:sz w:val="40"/>
          <w:szCs w:val="40"/>
        </w:rPr>
      </w:r>
    </w:p>
    <w:p w14:paraId="6FF261C2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 w14:paraId="60E285F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на тему: «Кроссплатформенный клиент-сервис для обмена сообщениями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 xml:space="preserve">. Подсистема хранения данных, поиска и медиа-файлов</w:t>
      </w:r>
      <w:r>
        <w:rPr>
          <w:rFonts w:ascii="Times New Roman" w:hAnsi="Times New Roman" w:cs="Times New Roman"/>
          <w:b/>
          <w:sz w:val="36"/>
          <w:szCs w:val="36"/>
        </w:rPr>
        <w:t xml:space="preserve">»</w:t>
      </w:r>
      <w:r>
        <w:rPr>
          <w:rFonts w:ascii="Times New Roman" w:hAnsi="Times New Roman" w:cs="Times New Roman"/>
          <w:b/>
          <w:sz w:val="36"/>
          <w:szCs w:val="36"/>
        </w:rPr>
      </w:r>
    </w:p>
    <w:p w14:paraId="5A342CAA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</w:r>
      <w:r>
        <w:rPr>
          <w:rFonts w:ascii="Times New Roman" w:hAnsi="Times New Roman" w:cs="Times New Roman"/>
          <w:b/>
          <w:sz w:val="36"/>
          <w:szCs w:val="36"/>
        </w:rPr>
      </w:r>
    </w:p>
    <w:p w14:paraId="02DAA670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</w:r>
      <w:r>
        <w:rPr>
          <w:rFonts w:ascii="Times New Roman" w:hAnsi="Times New Roman" w:cs="Times New Roman"/>
          <w:b/>
          <w:sz w:val="36"/>
          <w:szCs w:val="36"/>
        </w:rPr>
      </w:r>
    </w:p>
    <w:p w14:paraId="74040459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</w:r>
      <w:r>
        <w:rPr>
          <w:rFonts w:ascii="Times New Roman" w:hAnsi="Times New Roman" w:cs="Times New Roman"/>
          <w:b/>
          <w:sz w:val="36"/>
          <w:szCs w:val="36"/>
        </w:rPr>
      </w:r>
    </w:p>
    <w:p w14:paraId="38CA779C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</w:r>
      <w:r>
        <w:rPr>
          <w:rFonts w:ascii="Times New Roman" w:hAnsi="Times New Roman" w:cs="Times New Roman"/>
          <w:b/>
          <w:sz w:val="36"/>
          <w:szCs w:val="36"/>
        </w:rPr>
      </w:r>
    </w:p>
    <w:tbl>
      <w:tblPr>
        <w:tblInd w:w="5" w:type="dxa"/>
        <w:tblW w:w="0" w:type="auto"/>
        <w:tblBorders/>
        <w:tblLook w:val="04A0" w:firstRow="1" w:lastRow="0" w:firstColumn="1" w:lastColumn="0" w:noHBand="0" w:noVBand="1"/>
      </w:tblPr>
      <w:tblGrid>
        <w:gridCol w:w="4526"/>
        <w:gridCol w:w="2552"/>
        <w:gridCol w:w="2261"/>
      </w:tblGrid>
      <w:tr>
        <w:trPr/>
        <w:tc>
          <w:tcPr>
            <w:shd w:val="clear" w:color="ffffff" w:fill="ffffff"/>
            <w:tcBorders/>
            <w:tcW w:w="4526" w:type="dxa"/>
          </w:tcPr>
          <w:p w14:paraId="46B59218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rPr>
                <w:rFonts w:ascii="Times New Roman" w:hAnsi="Times New Roman" w:cs="Arial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  <w:t xml:space="preserve">Выполнил студент группы </w:t>
            </w:r>
            <w:r>
              <w:rPr>
                <w:rFonts w:ascii="Times New Roman" w:hAnsi="Times New Roman" w:cs="Arial"/>
                <w:color w:val="auto"/>
                <w:sz w:val="24"/>
                <w:szCs w:val="24"/>
                <w:lang w:val="ru-RU"/>
              </w:rPr>
              <w:t xml:space="preserve">403</w:t>
            </w:r>
            <w:r>
              <w:rPr>
                <w:rFonts w:ascii="Times New Roman" w:hAnsi="Times New Roman" w:cs="Arial"/>
                <w:color w:val="auto"/>
                <w:sz w:val="24"/>
                <w:szCs w:val="24"/>
              </w:rPr>
              <w:t xml:space="preserve">ИС-2</w:t>
            </w:r>
            <w:r>
              <w:rPr>
                <w:rFonts w:ascii="Times New Roman" w:hAnsi="Times New Roman" w:cs="Arial"/>
                <w:color w:val="auto"/>
                <w:sz w:val="24"/>
                <w:szCs w:val="24"/>
                <w:lang w:val="en-US"/>
              </w:rPr>
              <w:t xml:space="preserve">2</w:t>
            </w:r>
            <w:r>
              <w:rPr>
                <w:rFonts w:ascii="Times New Roman" w:hAnsi="Times New Roman" w:cs="Arial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Arial"/>
                <w:sz w:val="24"/>
                <w:szCs w:val="24"/>
                <w:lang w:val="en-US"/>
              </w:rPr>
            </w:r>
          </w:p>
          <w:p w14:paraId="607B12A9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552" w:type="dxa"/>
          </w:tcPr>
          <w:p w14:paraId="18F1D8A5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jc w:val="both"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  <w:t xml:space="preserve">___________________</w:t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261" w:type="dxa"/>
          </w:tcPr>
          <w:p w14:paraId="3A9B4A2C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jc w:val="center"/>
              <w:rPr>
                <w:rFonts w:ascii="Times New Roman" w:hAnsi="Times New Roman" w:cs="Arial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Arial"/>
                <w:color w:val="auto"/>
                <w:sz w:val="24"/>
                <w:szCs w:val="24"/>
                <w:lang w:val="ru-RU"/>
              </w:rPr>
              <w:t xml:space="preserve">А. Г. Мишенин</w:t>
            </w:r>
            <w:r>
              <w:rPr>
                <w:rFonts w:ascii="Times New Roman" w:hAnsi="Times New Roman" w:cs="Arial"/>
                <w:color w:val="auto"/>
                <w:sz w:val="24"/>
                <w:szCs w:val="24"/>
              </w:rPr>
            </w:r>
            <w:r>
              <w:rPr>
                <w:rFonts w:ascii="Times New Roman" w:hAnsi="Times New Roman" w:cs="Arial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fill="ffffff"/>
            <w:tcBorders/>
            <w:tcW w:w="4526" w:type="dxa"/>
          </w:tcPr>
          <w:p w14:paraId="6F2DBBBF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  <w:t xml:space="preserve">Руководитель</w:t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  <w:p w14:paraId="7E02BE36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552" w:type="dxa"/>
          </w:tcPr>
          <w:p w14:paraId="6908875E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  <w:t xml:space="preserve">___________________</w:t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261" w:type="dxa"/>
          </w:tcPr>
          <w:p w14:paraId="0AA6ECF5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ind/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 xml:space="preserve">Ю.Г. Грибова</w:t>
            </w:r>
            <w:r>
              <w:rPr>
                <w:rFonts w:cs="Arial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fill="ffffff"/>
            <w:tcBorders/>
            <w:tcW w:w="4526" w:type="dxa"/>
          </w:tcPr>
          <w:p w14:paraId="593DC22C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  <w:t xml:space="preserve">Нормоконтролер</w:t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  <w:p w14:paraId="75D807D2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552" w:type="dxa"/>
          </w:tcPr>
          <w:p w14:paraId="2ADAFD11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  <w:t xml:space="preserve">___________________</w:t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261" w:type="dxa"/>
          </w:tcPr>
          <w:p w14:paraId="511EEE4B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ind/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 xml:space="preserve">Ю.Г. Грибова</w:t>
            </w:r>
            <w:r>
              <w:rPr>
                <w:rFonts w:cs="Arial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fill="ffffff"/>
            <w:tcBorders/>
            <w:tcW w:w="4526" w:type="dxa"/>
          </w:tcPr>
          <w:p w14:paraId="512CDAD8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  <w:t xml:space="preserve">Консультант по технико-экономическому обоснованию проекта</w:t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  <w:p w14:paraId="0FD1F7AA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552" w:type="dxa"/>
          </w:tcPr>
          <w:p w14:paraId="40E2679D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  <w:p w14:paraId="649B614B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  <w:t xml:space="preserve">___________________</w:t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261" w:type="dxa"/>
          </w:tcPr>
          <w:p w14:paraId="7CDCCBB4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jc w:val="left"/>
              <w:rPr>
                <w:rFonts w:ascii="Times New Roman" w:hAnsi="Times New Roman" w:cs="Arial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Arial"/>
                <w:color w:val="000000" w:themeColor="text1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Arial"/>
                <w:color w:val="000000" w:themeColor="text1"/>
                <w:sz w:val="24"/>
                <w:szCs w:val="24"/>
              </w:rPr>
            </w:r>
          </w:p>
          <w:p w14:paraId="6BAC3904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jc w:val="center"/>
              <w:rPr>
                <w:rFonts w:ascii="Times New Roman" w:hAnsi="Times New Roman" w:cs="Arial"/>
                <w:color w:val="000000" w:themeColor="text1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cs="Arial"/>
                <w:color w:val="000000" w:themeColor="text1"/>
                <w:sz w:val="24"/>
                <w:szCs w:val="24"/>
                <w:lang w:val="ru-RU"/>
              </w:rPr>
              <w:t xml:space="preserve">М. В. Вартанова</w:t>
            </w:r>
            <w:r>
              <w:rPr>
                <w:rFonts w:ascii="Times New Roman" w:hAnsi="Times New Roman" w:cs="Arial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Arial"/>
                <w:color w:val="000000" w:themeColor="text1"/>
                <w:sz w:val="24"/>
                <w:szCs w:val="24"/>
                <w:highlight w:val="none"/>
                <w:lang w:val="ru-RU"/>
              </w:rPr>
            </w:r>
          </w:p>
        </w:tc>
      </w:tr>
      <w:tr>
        <w:trPr>
          <w:trHeight w:val="629"/>
        </w:trPr>
        <w:tc>
          <w:tcPr>
            <w:shd w:val="clear" w:color="ffffff" w:fill="ffffff"/>
            <w:tcBorders/>
            <w:tcW w:w="4526" w:type="dxa"/>
          </w:tcPr>
          <w:p w14:paraId="11C614D0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  <w:t xml:space="preserve">Старший консультант</w:t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  <w:p w14:paraId="69EC16D4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552" w:type="dxa"/>
          </w:tcPr>
          <w:p w14:paraId="4D0AA17C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  <w:t xml:space="preserve">___________________</w:t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261" w:type="dxa"/>
          </w:tcPr>
          <w:p w14:paraId="6A0D2249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jc w:val="center"/>
              <w:rPr>
                <w:rFonts w:ascii="Times New Roman" w:hAnsi="Times New Roman" w:cs="Arial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Arial"/>
                <w:color w:val="ff0000"/>
                <w:sz w:val="24"/>
                <w:szCs w:val="24"/>
              </w:rPr>
            </w:r>
            <w:r>
              <w:rPr>
                <w:rFonts w:ascii="Times New Roman" w:hAnsi="Times New Roman" w:cs="Arial"/>
                <w:color w:val="000000" w:themeColor="text1"/>
                <w:sz w:val="24"/>
                <w:szCs w:val="24"/>
              </w:rPr>
              <w:t xml:space="preserve">Рудометкина М.Н.</w:t>
            </w:r>
            <w:r>
              <w:rPr>
                <w:rFonts w:ascii="Times New Roman" w:hAnsi="Times New Roman" w:cs="Arial"/>
                <w:color w:val="000000" w:themeColor="text1"/>
                <w:sz w:val="24"/>
                <w:szCs w:val="24"/>
              </w:rPr>
            </w:r>
          </w:p>
        </w:tc>
      </w:tr>
    </w:tbl>
    <w:p w14:paraId="1B19EBE5">
      <w:pPr>
        <w:pBdr/>
        <w:spacing w:after="0" w:line="240" w:lineRule="auto"/>
        <w:ind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 w14:paraId="58595D52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 w14:paraId="6E35FF5A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/>
      <w:bookmarkStart w:id="0" w:name="_GoBack"/>
      <w:r/>
      <w:bookmarkEnd w:id="0"/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 w14:paraId="65B983A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МОСКВА</w:t>
      </w:r>
      <w:r>
        <w:rPr>
          <w:rFonts w:ascii="Times New Roman" w:hAnsi="Times New Roman" w:cs="Times New Roman"/>
          <w:b/>
          <w:sz w:val="24"/>
          <w:szCs w:val="24"/>
        </w:rPr>
      </w:r>
    </w:p>
    <w:p w14:paraId="1A149323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202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6</w:t>
      </w:r>
      <w:r>
        <w:rPr>
          <w:rFonts w:ascii="Times New Roman" w:hAnsi="Times New Roman" w:cs="Times New Roman"/>
          <w:b/>
          <w:sz w:val="24"/>
          <w:szCs w:val="24"/>
        </w:rPr>
        <w:t xml:space="preserve"> г.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2CF3E41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681F6A2C">
      <w:pPr>
        <w:pBdr/>
        <w:spacing w:after="24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СОДЕРЖАНИЕ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 w14:paraId="45915404">
          <w:pPr>
            <w:pStyle w:val="918"/>
            <w:pBdr/>
            <w:tabs>
              <w:tab w:val="right" w:leader="dot" w:pos="9354"/>
            </w:tabs>
            <w:spacing w:after="0" w:line="360" w:lineRule="auto"/>
            <w:ind/>
            <w:rPr/>
          </w:pPr>
          <w:r>
            <w:fldChar w:fldCharType="begin"/>
            <w:instrText xml:space="preserve">TOC \o "1-9" \h </w:instrText>
            <w:fldChar w:fldCharType="separate"/>
          </w:r>
          <w:hyperlink w:tooltip="#_Toc1" w:anchor="_Toc1" w:history="1">
            <w:r>
              <w:rPr>
                <w:rStyle w:val="936"/>
              </w:rPr>
            </w:r>
            <w:r>
              <w:rPr>
                <w:rStyle w:val="936"/>
                <w:rFonts w:ascii="Times New Roman" w:hAnsi="Times New Roman" w:eastAsia="Times New Roman" w:cs="Times New Roman"/>
                <w:caps/>
              </w:rPr>
              <w:t xml:space="preserve">ВВЕДЕНИЕ</w:t>
            </w:r>
            <w:r>
              <w:rPr>
                <w:rStyle w:val="936"/>
              </w:rPr>
            </w:r>
            <w:r>
              <w:tab/>
              <w:fldChar w:fldCharType="begin"/>
              <w:instrText xml:space="preserve">PAGEREF _Toc1 \h</w:instrText>
              <w:fldChar w:fldCharType="separate"/>
            </w:r>
            <w:r>
              <w:rPr>
                <w:rStyle w:val="936"/>
              </w:rPr>
              <w:t xml:space="preserve">4</w:t>
            </w:r>
            <w:r/>
            <w:r>
              <w:fldChar w:fldCharType="end"/>
            </w:r>
          </w:hyperlink>
          <w:r/>
          <w:r/>
        </w:p>
        <w:p w14:paraId="26C60F3C">
          <w:pPr>
            <w:pStyle w:val="918"/>
            <w:pBdr/>
            <w:tabs>
              <w:tab w:val="right" w:leader="dot" w:pos="9354"/>
            </w:tabs>
            <w:spacing w:after="0" w:line="360" w:lineRule="auto"/>
            <w:ind/>
            <w:rPr/>
          </w:pPr>
          <w:r/>
          <w:hyperlink w:tooltip="#_Toc2" w:anchor="_Toc2" w:history="1">
            <w:r>
              <w:rPr>
                <w:rStyle w:val="936"/>
              </w:rPr>
            </w:r>
            <w:r>
              <w:rPr>
                <w:rStyle w:val="936"/>
                <w:rFonts w:ascii="Times New Roman" w:hAnsi="Times New Roman" w:eastAsia="Times New Roman" w:cs="Times New Roman"/>
                <w:caps/>
              </w:rPr>
              <w:t xml:space="preserve">1 Анализ предметной области</w:t>
            </w:r>
            <w:r>
              <w:rPr>
                <w:rStyle w:val="936"/>
              </w:rPr>
            </w:r>
            <w:r>
              <w:tab/>
              <w:fldChar w:fldCharType="begin"/>
              <w:instrText xml:space="preserve">PAGEREF _Toc2 \h</w:instrText>
              <w:fldChar w:fldCharType="separate"/>
            </w:r>
            <w:r>
              <w:rPr>
                <w:rStyle w:val="936"/>
              </w:rPr>
              <w:t xml:space="preserve">7</w:t>
            </w:r>
            <w:r/>
            <w:r>
              <w:fldChar w:fldCharType="end"/>
            </w:r>
          </w:hyperlink>
          <w:r/>
          <w:r/>
        </w:p>
        <w:p w14:paraId="22F75383">
          <w:pPr>
            <w:pStyle w:val="919"/>
            <w:pBdr/>
            <w:tabs>
              <w:tab w:val="right" w:leader="dot" w:pos="9354"/>
            </w:tabs>
            <w:spacing w:after="0" w:line="360" w:lineRule="auto"/>
            <w:ind/>
            <w:rPr/>
          </w:pPr>
          <w:r/>
          <w:hyperlink w:tooltip="#_Toc3" w:anchor="_Toc3" w:history="1">
            <w:r>
              <w:rPr>
                <w:rStyle w:val="936"/>
              </w:rPr>
            </w:r>
            <w:r>
              <w:rPr>
                <w:rStyle w:val="936"/>
                <w:rFonts w:ascii="Times New Roman" w:hAnsi="Times New Roman" w:eastAsia="Times New Roman" w:cs="Times New Roman"/>
              </w:rPr>
              <w:t xml:space="preserve">1.1 Понятие, сущность и основные виды программных продуктов класса мессенджеров. Системы хранения данных и поиска</w:t>
            </w:r>
            <w:r>
              <w:rPr>
                <w:rStyle w:val="936"/>
              </w:rPr>
            </w:r>
            <w:r>
              <w:tab/>
              <w:fldChar w:fldCharType="begin"/>
              <w:instrText xml:space="preserve">PAGEREF _Toc3 \h</w:instrText>
              <w:fldChar w:fldCharType="separate"/>
            </w:r>
            <w:r>
              <w:rPr>
                <w:rStyle w:val="936"/>
              </w:rPr>
              <w:t xml:space="preserve">7</w:t>
            </w:r>
            <w:r/>
            <w:r>
              <w:fldChar w:fldCharType="end"/>
            </w:r>
          </w:hyperlink>
          <w:r/>
          <w:r/>
        </w:p>
        <w:p w14:paraId="2F4D9256">
          <w:pPr>
            <w:pStyle w:val="919"/>
            <w:pBdr/>
            <w:tabs>
              <w:tab w:val="right" w:leader="dot" w:pos="9354"/>
            </w:tabs>
            <w:spacing w:after="0" w:line="360" w:lineRule="auto"/>
            <w:ind/>
            <w:rPr/>
          </w:pPr>
          <w:r/>
          <w:hyperlink w:tooltip="#_Toc4" w:anchor="_Toc4" w:history="1">
            <w:r>
              <w:rPr>
                <w:rStyle w:val="936"/>
              </w:rPr>
            </w:r>
            <w:r>
              <w:rPr>
                <w:rStyle w:val="936"/>
                <w:rFonts w:ascii="Times New Roman" w:hAnsi="Times New Roman" w:eastAsia="Times New Roman" w:cs="Times New Roman"/>
              </w:rPr>
              <w:t xml:space="preserve">1.2 Нормативно-правовое регулирование разработки программного продукта в России</w:t>
            </w:r>
            <w:r>
              <w:rPr>
                <w:rStyle w:val="936"/>
              </w:rPr>
            </w:r>
            <w:r>
              <w:tab/>
              <w:fldChar w:fldCharType="begin"/>
              <w:instrText xml:space="preserve">PAGEREF _Toc4 \h</w:instrText>
              <w:fldChar w:fldCharType="separate"/>
            </w:r>
            <w:r>
              <w:rPr>
                <w:rStyle w:val="936"/>
              </w:rPr>
              <w:t xml:space="preserve">11</w:t>
            </w:r>
            <w:r/>
            <w:r>
              <w:fldChar w:fldCharType="end"/>
            </w:r>
          </w:hyperlink>
          <w:r/>
          <w:r/>
        </w:p>
        <w:p w14:paraId="3C694063">
          <w:pPr>
            <w:pStyle w:val="919"/>
            <w:pBdr/>
            <w:tabs>
              <w:tab w:val="right" w:leader="dot" w:pos="9354"/>
            </w:tabs>
            <w:spacing w:after="0" w:line="360" w:lineRule="auto"/>
            <w:ind/>
            <w:rPr/>
          </w:pPr>
          <w:r/>
          <w:hyperlink w:tooltip="#_Toc5" w:anchor="_Toc5" w:history="1">
            <w:r>
              <w:rPr>
                <w:rStyle w:val="936"/>
              </w:rPr>
            </w:r>
            <w:r>
              <w:rPr>
                <w:rStyle w:val="936"/>
                <w:rFonts w:ascii="Times New Roman" w:hAnsi="Times New Roman" w:eastAsia="Times New Roman" w:cs="Times New Roman"/>
              </w:rPr>
              <w:t xml:space="preserve">1.3 Анализ систем хранения данных и поиска в существующих мессенджерах</w:t>
            </w:r>
            <w:r>
              <w:rPr>
                <w:rStyle w:val="936"/>
              </w:rPr>
            </w:r>
            <w:r>
              <w:tab/>
              <w:fldChar w:fldCharType="begin"/>
              <w:instrText xml:space="preserve">PAGEREF _Toc5 \h</w:instrText>
              <w:fldChar w:fldCharType="separate"/>
            </w:r>
            <w:r>
              <w:rPr>
                <w:rStyle w:val="936"/>
              </w:rPr>
              <w:t xml:space="preserve">14</w:t>
            </w:r>
            <w:r/>
            <w:r>
              <w:fldChar w:fldCharType="end"/>
            </w:r>
          </w:hyperlink>
          <w:r/>
          <w:r/>
        </w:p>
        <w:p w14:paraId="0CC59A3F">
          <w:pPr>
            <w:pStyle w:val="920"/>
            <w:pBdr/>
            <w:tabs>
              <w:tab w:val="right" w:leader="dot" w:pos="9354"/>
            </w:tabs>
            <w:spacing w:after="0" w:line="360" w:lineRule="auto"/>
            <w:ind/>
            <w:rPr/>
          </w:pPr>
          <w:r/>
          <w:hyperlink w:tooltip="#_Toc6" w:anchor="_Toc6" w:history="1">
            <w:r>
              <w:rPr>
                <w:rStyle w:val="936"/>
              </w:rPr>
            </w:r>
            <w:r>
              <w:rPr>
                <w:rStyle w:val="936"/>
                <w:rFonts w:ascii="Times New Roman" w:hAnsi="Times New Roman" w:eastAsia="Times New Roman" w:cs="Times New Roman"/>
              </w:rPr>
              <w:t xml:space="preserve">1.3.1 Архитектура хранения данных в Telegram</w:t>
            </w:r>
            <w:r>
              <w:rPr>
                <w:rStyle w:val="936"/>
              </w:rPr>
            </w:r>
            <w:r>
              <w:tab/>
              <w:fldChar w:fldCharType="begin"/>
              <w:instrText xml:space="preserve">PAGEREF _Toc6 \h</w:instrText>
              <w:fldChar w:fldCharType="separate"/>
            </w:r>
            <w:r>
              <w:rPr>
                <w:rStyle w:val="936"/>
              </w:rPr>
              <w:t xml:space="preserve">14</w:t>
            </w:r>
            <w:r/>
            <w:r>
              <w:fldChar w:fldCharType="end"/>
            </w:r>
          </w:hyperlink>
          <w:r/>
          <w:r/>
        </w:p>
        <w:p w14:paraId="4AD77DF4">
          <w:pPr>
            <w:pStyle w:val="920"/>
            <w:pBdr/>
            <w:tabs>
              <w:tab w:val="right" w:leader="dot" w:pos="9354"/>
            </w:tabs>
            <w:spacing w:after="0" w:line="360" w:lineRule="auto"/>
            <w:ind/>
            <w:rPr/>
          </w:pPr>
          <w:r/>
          <w:hyperlink w:tooltip="#_Toc7" w:anchor="_Toc7" w:history="1">
            <w:r>
              <w:rPr>
                <w:rStyle w:val="936"/>
              </w:rPr>
            </w:r>
            <w:r>
              <w:rPr>
                <w:rStyle w:val="936"/>
                <w:rFonts w:ascii="Times New Roman" w:hAnsi="Times New Roman" w:eastAsia="Times New Roman" w:cs="Times New Roman"/>
              </w:rPr>
              <w:t xml:space="preserve">1.3.2 Архитектура хранения данных в Signal</w:t>
            </w:r>
            <w:r>
              <w:rPr>
                <w:rStyle w:val="936"/>
              </w:rPr>
            </w:r>
            <w:r>
              <w:tab/>
              <w:fldChar w:fldCharType="begin"/>
              <w:instrText xml:space="preserve">PAGEREF _Toc7 \h</w:instrText>
              <w:fldChar w:fldCharType="separate"/>
            </w:r>
            <w:r>
              <w:rPr>
                <w:rStyle w:val="936"/>
              </w:rPr>
              <w:t xml:space="preserve">15</w:t>
            </w:r>
            <w:r/>
            <w:r>
              <w:fldChar w:fldCharType="end"/>
            </w:r>
          </w:hyperlink>
          <w:r/>
          <w:r/>
        </w:p>
        <w:p w14:paraId="4873291C">
          <w:pPr>
            <w:pStyle w:val="920"/>
            <w:pBdr/>
            <w:tabs>
              <w:tab w:val="right" w:leader="dot" w:pos="9354"/>
            </w:tabs>
            <w:spacing w:after="0" w:line="360" w:lineRule="auto"/>
            <w:ind/>
            <w:rPr>
              <w:highlight w:val="none"/>
            </w:rPr>
          </w:pPr>
          <w:r/>
          <w:hyperlink w:tooltip="#_Toc8" w:anchor="_Toc8" w:history="1">
            <w:r>
              <w:rPr>
                <w:rStyle w:val="936"/>
              </w:rPr>
            </w:r>
            <w:r>
              <w:rPr>
                <w:rStyle w:val="936"/>
                <w:rFonts w:ascii="Times New Roman" w:hAnsi="Times New Roman" w:eastAsia="Times New Roman" w:cs="Times New Roman"/>
              </w:rPr>
              <w:t xml:space="preserve">1.3.3 Сравнительный анализ подходов к хранению и поиску данных</w:t>
            </w:r>
            <w:r>
              <w:rPr>
                <w:rStyle w:val="936"/>
                <w:highlight w:val="none"/>
              </w:rPr>
            </w:r>
            <w:r>
              <w:tab/>
              <w:fldChar w:fldCharType="begin"/>
              <w:instrText xml:space="preserve">PAGEREF _Toc8 \h</w:instrText>
              <w:fldChar w:fldCharType="separate"/>
            </w:r>
            <w:r>
              <w:rPr>
                <w:rStyle w:val="936"/>
              </w:rPr>
              <w:t xml:space="preserve">16</w:t>
            </w:r>
            <w:r/>
            <w:r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919"/>
            <w:pBdr/>
            <w:tabs>
              <w:tab w:val="right" w:leader="dot" w:pos="9354"/>
            </w:tabs>
            <w:spacing w:after="0" w:line="360" w:lineRule="auto"/>
            <w:ind/>
            <w:rPr/>
          </w:pPr>
          <w:r/>
          <w:hyperlink w:tooltip="#_Toc34" w:anchor="_Toc34" w:history="1">
            <w:r>
              <w:rPr>
                <w:rStyle w:val="936"/>
              </w:rPr>
            </w:r>
            <w:r>
              <w:rPr>
                <w:rStyle w:val="936"/>
                <w:rFonts w:ascii="Times New Roman" w:hAnsi="Times New Roman" w:eastAsia="Times New Roman" w:cs="Times New Roman"/>
              </w:rPr>
              <w:t xml:space="preserve">Вывод по главе 1</w:t>
            </w:r>
            <w:r>
              <w:rPr>
                <w:rStyle w:val="936"/>
              </w:rPr>
            </w:r>
            <w:r>
              <w:tab/>
              <w:fldChar w:fldCharType="begin"/>
              <w:instrText xml:space="preserve">PAGEREF _Toc34 \h</w:instrText>
              <w:fldChar w:fldCharType="separate"/>
            </w:r>
            <w:r>
              <w:rPr>
                <w:rStyle w:val="936"/>
              </w:rPr>
              <w:t xml:space="preserve">19</w:t>
            </w:r>
            <w:r/>
            <w:r>
              <w:fldChar w:fldCharType="end"/>
            </w:r>
          </w:hyperlink>
          <w:r/>
          <w:r/>
        </w:p>
        <w:p w14:paraId="4FCD809A">
          <w:pPr>
            <w:pStyle w:val="918"/>
            <w:pBdr/>
            <w:tabs>
              <w:tab w:val="right" w:leader="dot" w:pos="9354"/>
            </w:tabs>
            <w:spacing w:after="0" w:line="360" w:lineRule="auto"/>
            <w:ind/>
            <w:rPr>
              <w:highlight w:val="none"/>
            </w:rPr>
          </w:pPr>
          <w:r/>
          <w:hyperlink w:tooltip="#_Toc9" w:anchor="_Toc9" w:history="1">
            <w:r>
              <w:rPr>
                <w:rStyle w:val="936"/>
              </w:rPr>
            </w:r>
            <w:r>
              <w:rPr>
                <w:rStyle w:val="936"/>
                <w:rFonts w:ascii="Times New Roman" w:hAnsi="Times New Roman" w:eastAsia="Times New Roman" w:cs="Times New Roman"/>
              </w:rPr>
              <w:t xml:space="preserve">2 ПРОЕКТИРОВАНИЕ, РЕАЛИЗАЦИЯ И ТЕСТИРОВАНИЕ АВТОМАТИЗИРОВАННОЙ СИСТЕМЫ</w:t>
            </w:r>
            <w:r>
              <w:rPr>
                <w:rStyle w:val="936"/>
              </w:rPr>
            </w:r>
            <w:r>
              <w:tab/>
              <w:fldChar w:fldCharType="begin"/>
              <w:instrText xml:space="preserve">PAGEREF _Toc9 \h</w:instrText>
              <w:fldChar w:fldCharType="separate"/>
            </w:r>
            <w:r>
              <w:rPr>
                <w:rStyle w:val="936"/>
              </w:rPr>
              <w:t xml:space="preserve">20</w:t>
            </w:r>
            <w:r/>
            <w:r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06E67002">
          <w:pPr>
            <w:pStyle w:val="919"/>
            <w:pBdr/>
            <w:tabs>
              <w:tab w:val="right" w:leader="dot" w:pos="9354"/>
            </w:tabs>
            <w:spacing w:after="0" w:line="360" w:lineRule="auto"/>
            <w:ind/>
            <w:rPr/>
          </w:pPr>
          <w:r/>
          <w:hyperlink w:tooltip="#_Toc10" w:anchor="_Toc10" w:history="1">
            <w:r>
              <w:rPr>
                <w:rStyle w:val="936"/>
              </w:rPr>
            </w:r>
            <w:r>
              <w:rPr>
                <w:rStyle w:val="936"/>
                <w:rFonts w:ascii="Times New Roman" w:hAnsi="Times New Roman" w:eastAsia="Times New Roman" w:cs="Times New Roman"/>
              </w:rPr>
              <w:t xml:space="preserve">2.1 Разработка предварительных проектных решений</w:t>
            </w:r>
            <w:r>
              <w:rPr>
                <w:rStyle w:val="936"/>
              </w:rPr>
            </w:r>
            <w:r>
              <w:tab/>
              <w:fldChar w:fldCharType="begin"/>
              <w:instrText xml:space="preserve">PAGEREF _Toc10 \h</w:instrText>
              <w:fldChar w:fldCharType="separate"/>
            </w:r>
            <w:r>
              <w:rPr>
                <w:rStyle w:val="936"/>
              </w:rPr>
              <w:t xml:space="preserve">20</w:t>
            </w:r>
            <w:r/>
            <w:r>
              <w:fldChar w:fldCharType="end"/>
            </w:r>
          </w:hyperlink>
          <w:r/>
          <w:r/>
        </w:p>
        <w:p w14:paraId="70519E72">
          <w:pPr>
            <w:pStyle w:val="920"/>
            <w:pBdr/>
            <w:tabs>
              <w:tab w:val="right" w:leader="dot" w:pos="9354"/>
            </w:tabs>
            <w:spacing w:after="0" w:line="360" w:lineRule="auto"/>
            <w:ind/>
            <w:rPr/>
          </w:pPr>
          <w:r/>
          <w:hyperlink w:tooltip="#_Toc11" w:anchor="_Toc11" w:history="1">
            <w:r>
              <w:rPr>
                <w:rStyle w:val="936"/>
              </w:rPr>
            </w:r>
            <w:r>
              <w:rPr>
                <w:rStyle w:val="936"/>
                <w:rFonts w:ascii="Times New Roman" w:hAnsi="Times New Roman" w:eastAsia="Times New Roman" w:cs="Times New Roman"/>
              </w:rPr>
              <w:t xml:space="preserve">2.1.1 Разработка диаграммы прецедентов</w:t>
            </w:r>
            <w:r>
              <w:rPr>
                <w:rStyle w:val="936"/>
              </w:rPr>
            </w:r>
            <w:r>
              <w:tab/>
              <w:fldChar w:fldCharType="begin"/>
              <w:instrText xml:space="preserve">PAGEREF _Toc11 \h</w:instrText>
              <w:fldChar w:fldCharType="separate"/>
            </w:r>
            <w:r>
              <w:rPr>
                <w:rStyle w:val="936"/>
              </w:rPr>
              <w:t xml:space="preserve">20</w:t>
            </w:r>
            <w:r/>
            <w:r>
              <w:fldChar w:fldCharType="end"/>
            </w:r>
          </w:hyperlink>
          <w:r/>
          <w:r/>
        </w:p>
        <w:p w14:paraId="665DF321">
          <w:pPr>
            <w:pStyle w:val="920"/>
            <w:pBdr/>
            <w:tabs>
              <w:tab w:val="right" w:leader="dot" w:pos="9354"/>
            </w:tabs>
            <w:spacing w:after="0" w:line="360" w:lineRule="auto"/>
            <w:ind/>
            <w:rPr/>
          </w:pPr>
          <w:r/>
          <w:hyperlink w:tooltip="#_Toc12" w:anchor="_Toc12" w:history="1">
            <w:r>
              <w:rPr>
                <w:rStyle w:val="936"/>
              </w:rPr>
            </w:r>
            <w:r>
              <w:rPr>
                <w:rStyle w:val="936"/>
                <w:rFonts w:ascii="Times New Roman" w:hAnsi="Times New Roman" w:eastAsia="Times New Roman" w:cs="Times New Roman"/>
              </w:rPr>
              <w:t xml:space="preserve">2.1.2 Выбор инструментальных средств реализации</w:t>
            </w:r>
            <w:r>
              <w:rPr>
                <w:rStyle w:val="936"/>
              </w:rPr>
            </w:r>
            <w:r>
              <w:tab/>
              <w:fldChar w:fldCharType="begin"/>
              <w:instrText xml:space="preserve">PAGEREF _Toc12 \h</w:instrText>
              <w:fldChar w:fldCharType="separate"/>
            </w:r>
            <w:r>
              <w:rPr>
                <w:rStyle w:val="936"/>
              </w:rPr>
              <w:t xml:space="preserve">22</w:t>
            </w:r>
            <w:r/>
            <w:r>
              <w:fldChar w:fldCharType="end"/>
            </w:r>
          </w:hyperlink>
          <w:r/>
          <w:r/>
        </w:p>
        <w:p w14:paraId="36942F41">
          <w:pPr>
            <w:pStyle w:val="919"/>
            <w:pBdr/>
            <w:tabs>
              <w:tab w:val="right" w:leader="dot" w:pos="9354"/>
            </w:tabs>
            <w:spacing w:after="0" w:line="360" w:lineRule="auto"/>
            <w:ind/>
            <w:rPr/>
          </w:pPr>
          <w:r/>
          <w:hyperlink w:tooltip="#_Toc13" w:anchor="_Toc13" w:history="1">
            <w:r>
              <w:rPr>
                <w:rStyle w:val="936"/>
              </w:rPr>
            </w:r>
            <w:r>
              <w:rPr>
                <w:rStyle w:val="936"/>
                <w:rFonts w:ascii="Times New Roman" w:hAnsi="Times New Roman" w:eastAsia="Times New Roman" w:cs="Times New Roman"/>
              </w:rPr>
              <w:t xml:space="preserve">2.2 Проектирование базы данных</w:t>
            </w:r>
            <w:r>
              <w:rPr>
                <w:rStyle w:val="936"/>
              </w:rPr>
            </w:r>
            <w:r>
              <w:tab/>
              <w:fldChar w:fldCharType="begin"/>
              <w:instrText xml:space="preserve">PAGEREF _Toc13 \h</w:instrText>
              <w:fldChar w:fldCharType="separate"/>
            </w:r>
            <w:r>
              <w:rPr>
                <w:rStyle w:val="936"/>
              </w:rPr>
              <w:t xml:space="preserve">26</w:t>
            </w:r>
            <w:r/>
            <w:r>
              <w:fldChar w:fldCharType="end"/>
            </w:r>
          </w:hyperlink>
          <w:r/>
          <w:r/>
        </w:p>
        <w:p w14:paraId="0A9294B4">
          <w:pPr>
            <w:pStyle w:val="920"/>
            <w:pBdr/>
            <w:tabs>
              <w:tab w:val="right" w:leader="dot" w:pos="9354"/>
            </w:tabs>
            <w:spacing w:after="0" w:line="360" w:lineRule="auto"/>
            <w:ind/>
            <w:rPr/>
          </w:pPr>
          <w:r/>
          <w:hyperlink w:tooltip="#_Toc14" w:anchor="_Toc14" w:history="1">
            <w:r>
              <w:rPr>
                <w:rStyle w:val="936"/>
              </w:rPr>
            </w:r>
            <w:r>
              <w:rPr>
                <w:rStyle w:val="936"/>
                <w:rFonts w:ascii="Times New Roman" w:hAnsi="Times New Roman" w:eastAsia="Times New Roman" w:cs="Times New Roman"/>
              </w:rPr>
              <w:t xml:space="preserve">2.2.1 Логическая модель данных</w:t>
            </w:r>
            <w:r>
              <w:rPr>
                <w:rStyle w:val="936"/>
              </w:rPr>
            </w:r>
            <w:r>
              <w:tab/>
              <w:fldChar w:fldCharType="begin"/>
              <w:instrText xml:space="preserve">PAGEREF _Toc14 \h</w:instrText>
              <w:fldChar w:fldCharType="separate"/>
            </w:r>
            <w:r>
              <w:rPr>
                <w:rStyle w:val="936"/>
              </w:rPr>
              <w:t xml:space="preserve">26</w:t>
            </w:r>
            <w:r/>
            <w:r>
              <w:fldChar w:fldCharType="end"/>
            </w:r>
          </w:hyperlink>
          <w:r/>
          <w:r/>
        </w:p>
        <w:p w14:paraId="5F38E3C6">
          <w:pPr>
            <w:pStyle w:val="920"/>
            <w:pBdr/>
            <w:tabs>
              <w:tab w:val="right" w:leader="dot" w:pos="9354"/>
            </w:tabs>
            <w:spacing w:after="0" w:line="360" w:lineRule="auto"/>
            <w:ind/>
            <w:rPr/>
          </w:pPr>
          <w:r/>
          <w:hyperlink w:tooltip="#_Toc15" w:anchor="_Toc15" w:history="1">
            <w:r>
              <w:rPr>
                <w:rStyle w:val="936"/>
              </w:rPr>
            </w:r>
            <w:r>
              <w:rPr>
                <w:rStyle w:val="936"/>
                <w:rFonts w:ascii="Times New Roman" w:hAnsi="Times New Roman" w:eastAsia="Times New Roman" w:cs="Times New Roman"/>
              </w:rPr>
              <w:t xml:space="preserve">2.2.2 Физическая схема базы данных</w:t>
            </w:r>
            <w:r>
              <w:rPr>
                <w:rStyle w:val="936"/>
              </w:rPr>
            </w:r>
            <w:r>
              <w:tab/>
              <w:fldChar w:fldCharType="begin"/>
              <w:instrText xml:space="preserve">PAGEREF _Toc15 \h</w:instrText>
              <w:fldChar w:fldCharType="separate"/>
            </w:r>
            <w:r>
              <w:rPr>
                <w:rStyle w:val="936"/>
              </w:rPr>
              <w:t xml:space="preserve">29</w:t>
            </w:r>
            <w:r/>
            <w:r>
              <w:fldChar w:fldCharType="end"/>
            </w:r>
          </w:hyperlink>
          <w:r/>
          <w:r/>
        </w:p>
        <w:p w14:paraId="630D8B6D">
          <w:pPr>
            <w:pStyle w:val="919"/>
            <w:pBdr/>
            <w:tabs>
              <w:tab w:val="right" w:leader="dot" w:pos="9354"/>
            </w:tabs>
            <w:spacing w:after="0" w:line="360" w:lineRule="auto"/>
            <w:ind/>
            <w:rPr/>
          </w:pPr>
          <w:r/>
          <w:hyperlink w:tooltip="#_Toc16" w:anchor="_Toc16" w:history="1">
            <w:r>
              <w:rPr>
                <w:rStyle w:val="936"/>
              </w:rPr>
            </w:r>
            <w:r>
              <w:rPr>
                <w:rStyle w:val="936"/>
                <w:rFonts w:ascii="Times New Roman" w:hAnsi="Times New Roman" w:eastAsia="Times New Roman" w:cs="Times New Roman"/>
              </w:rPr>
              <w:t xml:space="preserve">2.3 Проектирование архитектуры подсистемы</w:t>
            </w:r>
            <w:r>
              <w:rPr>
                <w:rStyle w:val="936"/>
              </w:rPr>
            </w:r>
            <w:r>
              <w:tab/>
              <w:fldChar w:fldCharType="begin"/>
              <w:instrText xml:space="preserve">PAGEREF _Toc16 \h</w:instrText>
              <w:fldChar w:fldCharType="separate"/>
            </w:r>
            <w:r>
              <w:rPr>
                <w:rStyle w:val="936"/>
              </w:rPr>
              <w:t xml:space="preserve">32</w:t>
            </w:r>
            <w:r/>
            <w:r>
              <w:fldChar w:fldCharType="end"/>
            </w:r>
          </w:hyperlink>
          <w:r/>
          <w:r/>
        </w:p>
        <w:p w14:paraId="2BE4019D">
          <w:pPr>
            <w:pStyle w:val="919"/>
            <w:pBdr/>
            <w:tabs>
              <w:tab w:val="right" w:leader="dot" w:pos="9354"/>
            </w:tabs>
            <w:spacing w:after="0" w:line="360" w:lineRule="auto"/>
            <w:ind/>
            <w:rPr/>
          </w:pPr>
          <w:r/>
          <w:hyperlink w:tooltip="#_Toc17" w:anchor="_Toc17" w:history="1">
            <w:r>
              <w:rPr>
                <w:rStyle w:val="936"/>
              </w:rPr>
            </w:r>
            <w:r>
              <w:rPr>
                <w:rStyle w:val="936"/>
                <w:rFonts w:ascii="Times New Roman" w:hAnsi="Times New Roman" w:eastAsia="Times New Roman" w:cs="Times New Roman"/>
              </w:rPr>
              <w:t xml:space="preserve">2.4 Реализация пула соединений с базой данных</w:t>
            </w:r>
            <w:r>
              <w:rPr>
                <w:rStyle w:val="936"/>
              </w:rPr>
            </w:r>
            <w:r>
              <w:tab/>
              <w:fldChar w:fldCharType="begin"/>
              <w:instrText xml:space="preserve">PAGEREF _Toc17 \h</w:instrText>
              <w:fldChar w:fldCharType="separate"/>
            </w:r>
            <w:r>
              <w:rPr>
                <w:rStyle w:val="936"/>
              </w:rPr>
              <w:t xml:space="preserve">35</w:t>
            </w:r>
            <w:r/>
            <w:r>
              <w:fldChar w:fldCharType="end"/>
            </w:r>
          </w:hyperlink>
          <w:r/>
          <w:r/>
        </w:p>
        <w:p w14:paraId="0958F7F8">
          <w:pPr>
            <w:pStyle w:val="919"/>
            <w:pBdr/>
            <w:tabs>
              <w:tab w:val="right" w:leader="dot" w:pos="9354"/>
            </w:tabs>
            <w:spacing w:after="0" w:line="360" w:lineRule="auto"/>
            <w:ind/>
            <w:rPr/>
          </w:pPr>
          <w:r/>
          <w:hyperlink w:tooltip="#_Toc18" w:anchor="_Toc18" w:history="1">
            <w:r>
              <w:rPr>
                <w:rStyle w:val="936"/>
              </w:rPr>
            </w:r>
            <w:r>
              <w:rPr>
                <w:rStyle w:val="936"/>
                <w:rFonts w:ascii="Times New Roman" w:hAnsi="Times New Roman" w:eastAsia="Times New Roman" w:cs="Times New Roman"/>
              </w:rPr>
              <w:t xml:space="preserve">2.5 Реализация модуля хранения и управления историей сообщений</w:t>
            </w:r>
            <w:r>
              <w:rPr>
                <w:rStyle w:val="936"/>
              </w:rPr>
            </w:r>
            <w:r>
              <w:tab/>
              <w:fldChar w:fldCharType="begin"/>
              <w:instrText xml:space="preserve">PAGEREF _Toc18 \h</w:instrText>
              <w:fldChar w:fldCharType="separate"/>
            </w:r>
            <w:r>
              <w:rPr>
                <w:rStyle w:val="936"/>
              </w:rPr>
              <w:t xml:space="preserve">37</w:t>
            </w:r>
            <w:r/>
            <w:r>
              <w:fldChar w:fldCharType="end"/>
            </w:r>
          </w:hyperlink>
          <w:r/>
          <w:r/>
        </w:p>
        <w:p w14:paraId="7BBEE4B2">
          <w:pPr>
            <w:pStyle w:val="920"/>
            <w:pBdr/>
            <w:tabs>
              <w:tab w:val="right" w:leader="dot" w:pos="9354"/>
            </w:tabs>
            <w:spacing w:after="0" w:line="360" w:lineRule="auto"/>
            <w:ind/>
            <w:rPr/>
          </w:pPr>
          <w:r/>
          <w:hyperlink w:tooltip="#_Toc19" w:anchor="_Toc19" w:history="1">
            <w:r>
              <w:rPr>
                <w:rStyle w:val="936"/>
              </w:rPr>
            </w:r>
            <w:r>
              <w:rPr>
                <w:rStyle w:val="936"/>
                <w:rFonts w:ascii="Times New Roman" w:hAnsi="Times New Roman" w:eastAsia="Times New Roman" w:cs="Times New Roman"/>
              </w:rPr>
              <w:t xml:space="preserve">2.5.1 Запись и чтение сообщений</w:t>
            </w:r>
            <w:r>
              <w:rPr>
                <w:rStyle w:val="936"/>
              </w:rPr>
            </w:r>
            <w:r>
              <w:tab/>
              <w:fldChar w:fldCharType="begin"/>
              <w:instrText xml:space="preserve">PAGEREF _Toc19 \h</w:instrText>
              <w:fldChar w:fldCharType="separate"/>
            </w:r>
            <w:r>
              <w:rPr>
                <w:rStyle w:val="936"/>
              </w:rPr>
              <w:t xml:space="preserve">37</w:t>
            </w:r>
            <w:r/>
            <w:r>
              <w:fldChar w:fldCharType="end"/>
            </w:r>
          </w:hyperlink>
          <w:r/>
          <w:r/>
        </w:p>
        <w:p w14:paraId="22F82AA0">
          <w:pPr>
            <w:pStyle w:val="920"/>
            <w:pBdr/>
            <w:tabs>
              <w:tab w:val="right" w:leader="dot" w:pos="9354"/>
            </w:tabs>
            <w:spacing w:after="0" w:line="360" w:lineRule="auto"/>
            <w:ind/>
            <w:rPr/>
          </w:pPr>
          <w:r/>
          <w:hyperlink w:tooltip="#_Toc20" w:anchor="_Toc20" w:history="1">
            <w:r>
              <w:rPr>
                <w:rStyle w:val="936"/>
              </w:rPr>
            </w:r>
            <w:r>
              <w:rPr>
                <w:rStyle w:val="936"/>
                <w:rFonts w:ascii="Times New Roman" w:hAnsi="Times New Roman" w:eastAsia="Times New Roman" w:cs="Times New Roman"/>
              </w:rPr>
              <w:t xml:space="preserve">2.5.2 Редактирование и удаление сообщений</w:t>
            </w:r>
            <w:r>
              <w:rPr>
                <w:rStyle w:val="936"/>
              </w:rPr>
            </w:r>
            <w:r>
              <w:tab/>
              <w:fldChar w:fldCharType="begin"/>
              <w:instrText xml:space="preserve">PAGEREF _Toc20 \h</w:instrText>
              <w:fldChar w:fldCharType="separate"/>
            </w:r>
            <w:r>
              <w:rPr>
                <w:rStyle w:val="936"/>
              </w:rPr>
              <w:t xml:space="preserve">40</w:t>
            </w:r>
            <w:r/>
            <w:r>
              <w:fldChar w:fldCharType="end"/>
            </w:r>
          </w:hyperlink>
          <w:r/>
          <w:r/>
        </w:p>
        <w:p w14:paraId="13090294">
          <w:pPr>
            <w:pStyle w:val="919"/>
            <w:pBdr/>
            <w:tabs>
              <w:tab w:val="right" w:leader="dot" w:pos="9354"/>
            </w:tabs>
            <w:spacing w:after="0" w:line="360" w:lineRule="auto"/>
            <w:ind/>
            <w:rPr/>
          </w:pPr>
          <w:r/>
          <w:hyperlink w:tooltip="#_Toc21" w:anchor="_Toc21" w:history="1">
            <w:r>
              <w:rPr>
                <w:rStyle w:val="936"/>
              </w:rPr>
            </w:r>
            <w:r>
              <w:rPr>
                <w:rStyle w:val="936"/>
                <w:rFonts w:ascii="Times New Roman" w:hAnsi="Times New Roman" w:eastAsia="Times New Roman" w:cs="Times New Roman"/>
              </w:rPr>
              <w:t xml:space="preserve">2.6 Реализация WebSocket-менеджера</w:t>
            </w:r>
            <w:r>
              <w:rPr>
                <w:rStyle w:val="936"/>
              </w:rPr>
            </w:r>
            <w:r>
              <w:tab/>
              <w:fldChar w:fldCharType="begin"/>
              <w:instrText xml:space="preserve">PAGEREF _Toc21 \h</w:instrText>
              <w:fldChar w:fldCharType="separate"/>
            </w:r>
            <w:r>
              <w:rPr>
                <w:rStyle w:val="936"/>
              </w:rPr>
              <w:t xml:space="preserve">42</w:t>
            </w:r>
            <w:r/>
            <w:r>
              <w:fldChar w:fldCharType="end"/>
            </w:r>
          </w:hyperlink>
          <w:r/>
          <w:r/>
        </w:p>
        <w:p w14:paraId="36DECA0E">
          <w:pPr>
            <w:pStyle w:val="919"/>
            <w:pBdr/>
            <w:tabs>
              <w:tab w:val="right" w:leader="dot" w:pos="9354"/>
            </w:tabs>
            <w:spacing w:after="0" w:line="360" w:lineRule="auto"/>
            <w:ind/>
            <w:rPr/>
          </w:pPr>
          <w:r/>
          <w:hyperlink w:tooltip="#_Toc22" w:anchor="_Toc22" w:history="1">
            <w:r>
              <w:rPr>
                <w:rStyle w:val="936"/>
              </w:rPr>
            </w:r>
            <w:r>
              <w:rPr>
                <w:rStyle w:val="936"/>
                <w:rFonts w:ascii="Times New Roman" w:hAnsi="Times New Roman" w:eastAsia="Times New Roman" w:cs="Times New Roman"/>
              </w:rPr>
              <w:t xml:space="preserve">2.7 Реализация модуля полнотекстового поиска</w:t>
            </w:r>
            <w:r>
              <w:rPr>
                <w:rStyle w:val="936"/>
              </w:rPr>
            </w:r>
            <w:r>
              <w:tab/>
              <w:fldChar w:fldCharType="begin"/>
              <w:instrText xml:space="preserve">PAGEREF _Toc22 \h</w:instrText>
              <w:fldChar w:fldCharType="separate"/>
            </w:r>
            <w:r>
              <w:rPr>
                <w:rStyle w:val="936"/>
              </w:rPr>
              <w:t xml:space="preserve">45</w:t>
            </w:r>
            <w:r/>
            <w:r>
              <w:fldChar w:fldCharType="end"/>
            </w:r>
          </w:hyperlink>
          <w:r/>
          <w:r/>
        </w:p>
        <w:p w14:paraId="59DF06F8">
          <w:pPr>
            <w:pStyle w:val="919"/>
            <w:pBdr/>
            <w:tabs>
              <w:tab w:val="right" w:leader="dot" w:pos="9354"/>
            </w:tabs>
            <w:spacing w:after="0" w:line="360" w:lineRule="auto"/>
            <w:ind/>
            <w:rPr/>
          </w:pPr>
          <w:r/>
          <w:hyperlink w:tooltip="#_Toc23" w:anchor="_Toc23" w:history="1">
            <w:r>
              <w:rPr>
                <w:rStyle w:val="936"/>
              </w:rPr>
            </w:r>
            <w:r>
              <w:rPr>
                <w:rStyle w:val="936"/>
                <w:rFonts w:ascii="Times New Roman" w:hAnsi="Times New Roman" w:eastAsia="Times New Roman" w:cs="Times New Roman"/>
              </w:rPr>
              <w:t xml:space="preserve">2.8 Реализация подсистемы загрузки и хранения медиафайлов</w:t>
            </w:r>
            <w:r>
              <w:rPr>
                <w:rStyle w:val="936"/>
              </w:rPr>
            </w:r>
            <w:r>
              <w:tab/>
              <w:fldChar w:fldCharType="begin"/>
              <w:instrText xml:space="preserve">PAGEREF _Toc23 \h</w:instrText>
              <w:fldChar w:fldCharType="separate"/>
            </w:r>
            <w:r>
              <w:rPr>
                <w:rStyle w:val="936"/>
              </w:rPr>
              <w:t xml:space="preserve">47</w:t>
            </w:r>
            <w:r/>
            <w:r>
              <w:fldChar w:fldCharType="end"/>
            </w:r>
          </w:hyperlink>
          <w:r/>
          <w:r/>
        </w:p>
        <w:p w14:paraId="0D61EDC4">
          <w:pPr>
            <w:pStyle w:val="919"/>
            <w:pBdr/>
            <w:tabs>
              <w:tab w:val="right" w:leader="dot" w:pos="9354"/>
            </w:tabs>
            <w:spacing w:after="0" w:line="360" w:lineRule="auto"/>
            <w:ind/>
            <w:rPr/>
          </w:pPr>
          <w:r/>
          <w:hyperlink w:tooltip="#_Toc24" w:anchor="_Toc24" w:history="1">
            <w:r>
              <w:rPr>
                <w:rStyle w:val="936"/>
              </w:rPr>
            </w:r>
            <w:r>
              <w:rPr>
                <w:rStyle w:val="936"/>
                <w:rFonts w:ascii="Times New Roman" w:hAnsi="Times New Roman" w:eastAsia="Times New Roman" w:cs="Times New Roman"/>
              </w:rPr>
              <w:t xml:space="preserve">2.9 Тестирование подсистемы</w:t>
            </w:r>
            <w:r>
              <w:rPr>
                <w:rStyle w:val="936"/>
              </w:rPr>
            </w:r>
            <w:r>
              <w:tab/>
              <w:fldChar w:fldCharType="begin"/>
              <w:instrText xml:space="preserve">PAGEREF _Toc24 \h</w:instrText>
              <w:fldChar w:fldCharType="separate"/>
            </w:r>
            <w:r>
              <w:rPr>
                <w:rStyle w:val="936"/>
              </w:rPr>
              <w:t xml:space="preserve">50</w:t>
            </w:r>
            <w:r/>
            <w:r>
              <w:fldChar w:fldCharType="end"/>
            </w:r>
          </w:hyperlink>
          <w:r/>
          <w:r/>
        </w:p>
        <w:p w14:paraId="21FA6EEA">
          <w:pPr>
            <w:pStyle w:val="919"/>
            <w:pBdr/>
            <w:tabs>
              <w:tab w:val="right" w:leader="dot" w:pos="9354"/>
            </w:tabs>
            <w:spacing w:after="0" w:line="360" w:lineRule="auto"/>
            <w:ind/>
            <w:rPr/>
          </w:pPr>
          <w:r/>
          <w:hyperlink w:tooltip="#_Toc25" w:anchor="_Toc25" w:history="1">
            <w:r>
              <w:rPr>
                <w:rStyle w:val="936"/>
              </w:rPr>
            </w:r>
            <w:r>
              <w:rPr>
                <w:rStyle w:val="936"/>
                <w:rFonts w:ascii="Times New Roman" w:hAnsi="Times New Roman" w:eastAsia="Times New Roman" w:cs="Times New Roman"/>
              </w:rPr>
              <w:t xml:space="preserve">Вывод по главе 2</w:t>
            </w:r>
            <w:r>
              <w:rPr>
                <w:rStyle w:val="936"/>
              </w:rPr>
            </w:r>
            <w:r>
              <w:tab/>
              <w:fldChar w:fldCharType="begin"/>
              <w:instrText xml:space="preserve">PAGEREF _Toc25 \h</w:instrText>
              <w:fldChar w:fldCharType="separate"/>
            </w:r>
            <w:r>
              <w:rPr>
                <w:rStyle w:val="936"/>
              </w:rPr>
              <w:t xml:space="preserve">52</w:t>
            </w:r>
            <w:r/>
            <w:r>
              <w:fldChar w:fldCharType="end"/>
            </w:r>
          </w:hyperlink>
          <w:r/>
          <w:r/>
        </w:p>
        <w:p w14:paraId="1B46336F">
          <w:pPr>
            <w:pStyle w:val="918"/>
            <w:pBdr/>
            <w:tabs>
              <w:tab w:val="right" w:leader="dot" w:pos="9354"/>
            </w:tabs>
            <w:spacing w:after="0" w:line="360" w:lineRule="auto"/>
            <w:ind/>
            <w:rPr>
              <w:highlight w:val="none"/>
            </w:rPr>
          </w:pPr>
          <w:r/>
          <w:hyperlink w:tooltip="#_Toc26" w:anchor="_Toc26" w:history="1">
            <w:r>
              <w:rPr>
                <w:rStyle w:val="936"/>
              </w:rPr>
            </w:r>
            <w:r>
              <w:rPr>
                <w:rStyle w:val="936"/>
                <w:rFonts w:ascii="Times New Roman" w:hAnsi="Times New Roman" w:eastAsia="Times New Roman" w:cs="Times New Roman"/>
              </w:rPr>
              <w:t xml:space="preserve">3 ТЕХНИКО-ЭКОНОМИЧЕСКОЕ ОБОСНОВАНИЕ</w:t>
            </w:r>
            <w:r>
              <w:rPr>
                <w:rStyle w:val="936"/>
              </w:rPr>
            </w:r>
            <w:r>
              <w:tab/>
              <w:fldChar w:fldCharType="begin"/>
              <w:instrText xml:space="preserve">PAGEREF _Toc26 \h</w:instrText>
              <w:fldChar w:fldCharType="separate"/>
            </w:r>
            <w:r>
              <w:rPr>
                <w:rStyle w:val="936"/>
              </w:rPr>
              <w:t xml:space="preserve">54</w:t>
            </w:r>
            <w:r/>
            <w:r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09DB7866">
          <w:pPr>
            <w:pStyle w:val="919"/>
            <w:pBdr/>
            <w:tabs>
              <w:tab w:val="right" w:leader="dot" w:pos="9354"/>
            </w:tabs>
            <w:spacing w:after="0" w:line="360" w:lineRule="auto"/>
            <w:ind/>
            <w:rPr/>
          </w:pPr>
          <w:r/>
          <w:hyperlink w:tooltip="#_Toc27" w:anchor="_Toc27" w:history="1">
            <w:r>
              <w:rPr>
                <w:rStyle w:val="936"/>
              </w:rPr>
            </w:r>
            <w:r>
              <w:rPr>
                <w:rStyle w:val="936"/>
                <w:rFonts w:ascii="Times New Roman" w:hAnsi="Times New Roman" w:eastAsia="Times New Roman" w:cs="Times New Roman"/>
              </w:rPr>
              <w:t xml:space="preserve">3.1 Основные характеристики разрабатываемого программного продукта</w:t>
            </w:r>
            <w:r>
              <w:rPr>
                <w:rStyle w:val="936"/>
              </w:rPr>
            </w:r>
            <w:r>
              <w:tab/>
              <w:fldChar w:fldCharType="begin"/>
              <w:instrText xml:space="preserve">PAGEREF _Toc27 \h</w:instrText>
              <w:fldChar w:fldCharType="separate"/>
            </w:r>
            <w:r>
              <w:rPr>
                <w:rStyle w:val="936"/>
              </w:rPr>
              <w:t xml:space="preserve">54</w:t>
            </w:r>
            <w:r/>
            <w:r>
              <w:fldChar w:fldCharType="end"/>
            </w:r>
          </w:hyperlink>
          <w:r/>
          <w:r/>
        </w:p>
        <w:p w14:paraId="59CF6A96">
          <w:pPr>
            <w:pStyle w:val="919"/>
            <w:pBdr/>
            <w:tabs>
              <w:tab w:val="right" w:leader="dot" w:pos="9354"/>
            </w:tabs>
            <w:spacing w:after="0" w:line="360" w:lineRule="auto"/>
            <w:ind/>
            <w:rPr/>
          </w:pPr>
          <w:r/>
          <w:hyperlink w:tooltip="#_Toc28" w:anchor="_Toc28" w:history="1">
            <w:r>
              <w:rPr>
                <w:rStyle w:val="936"/>
              </w:rPr>
            </w:r>
            <w:r>
              <w:rPr>
                <w:rStyle w:val="936"/>
                <w:rFonts w:ascii="Times New Roman" w:hAnsi="Times New Roman" w:eastAsia="Times New Roman" w:cs="Times New Roman"/>
              </w:rPr>
              <w:t xml:space="preserve">3.2 Расчёт трудозатрат на разработку программного продукт</w:t>
            </w:r>
            <w:r>
              <w:rPr>
                <w:rStyle w:val="936"/>
                <w:rFonts w:ascii="Times New Roman" w:hAnsi="Times New Roman" w:eastAsia="Times New Roman" w:cs="Times New Roman"/>
                <w:shd w:val="clear" w:color="ffffff" w:themeColor="background1" w:fill="ffffff" w:themeFill="background1"/>
              </w:rPr>
              <w:t xml:space="preserve">а</w:t>
            </w:r>
            <w:r>
              <w:rPr>
                <w:rStyle w:val="936"/>
              </w:rPr>
            </w:r>
            <w:r>
              <w:tab/>
              <w:fldChar w:fldCharType="begin"/>
              <w:instrText xml:space="preserve">PAGEREF _Toc28 \h</w:instrText>
              <w:fldChar w:fldCharType="separate"/>
            </w:r>
            <w:r>
              <w:rPr>
                <w:rStyle w:val="936"/>
              </w:rPr>
              <w:t xml:space="preserve">56</w:t>
            </w:r>
            <w:r/>
            <w:r>
              <w:fldChar w:fldCharType="end"/>
            </w:r>
          </w:hyperlink>
          <w:r/>
          <w:r/>
        </w:p>
        <w:p w14:paraId="3BEA34D7">
          <w:pPr>
            <w:pStyle w:val="919"/>
            <w:pBdr/>
            <w:tabs>
              <w:tab w:val="right" w:leader="dot" w:pos="9354"/>
            </w:tabs>
            <w:spacing w:after="0" w:line="360" w:lineRule="auto"/>
            <w:ind/>
            <w:rPr/>
          </w:pPr>
          <w:r/>
          <w:hyperlink w:tooltip="#_Toc29" w:anchor="_Toc29" w:history="1">
            <w:r>
              <w:rPr>
                <w:rStyle w:val="936"/>
              </w:rPr>
            </w:r>
            <w:r>
              <w:rPr>
                <w:rStyle w:val="936"/>
                <w:rFonts w:ascii="Times New Roman" w:hAnsi="Times New Roman" w:eastAsia="Times New Roman" w:cs="Times New Roman"/>
              </w:rPr>
              <w:t xml:space="preserve">3.3 Расчёт капитальных затрат на разработку</w:t>
            </w:r>
            <w:r>
              <w:rPr>
                <w:rStyle w:val="936"/>
              </w:rPr>
            </w:r>
            <w:r>
              <w:tab/>
              <w:fldChar w:fldCharType="begin"/>
              <w:instrText xml:space="preserve">PAGEREF _Toc29 \h</w:instrText>
              <w:fldChar w:fldCharType="separate"/>
            </w:r>
            <w:r>
              <w:rPr>
                <w:rStyle w:val="936"/>
              </w:rPr>
              <w:t xml:space="preserve">57</w:t>
            </w:r>
            <w:r/>
            <w:r>
              <w:fldChar w:fldCharType="end"/>
            </w:r>
          </w:hyperlink>
          <w:r/>
          <w:r/>
        </w:p>
        <w:p w14:paraId="53129862">
          <w:pPr>
            <w:pStyle w:val="919"/>
            <w:pBdr/>
            <w:tabs>
              <w:tab w:val="right" w:leader="dot" w:pos="9354"/>
            </w:tabs>
            <w:spacing w:after="0" w:line="360" w:lineRule="auto"/>
            <w:ind/>
            <w:rPr/>
          </w:pPr>
          <w:r/>
          <w:hyperlink w:tooltip="#_Toc30" w:anchor="_Toc30" w:history="1">
            <w:r>
              <w:rPr>
                <w:rStyle w:val="936"/>
              </w:rPr>
            </w:r>
            <w:r>
              <w:rPr>
                <w:rStyle w:val="936"/>
                <w:rFonts w:ascii="Times New Roman" w:hAnsi="Times New Roman" w:eastAsia="Times New Roman" w:cs="Times New Roman"/>
              </w:rPr>
              <w:t xml:space="preserve">3.4 Расчёт операционных затрат на эксплуатацию</w:t>
            </w:r>
            <w:r>
              <w:rPr>
                <w:rStyle w:val="936"/>
              </w:rPr>
            </w:r>
            <w:r>
              <w:tab/>
              <w:fldChar w:fldCharType="begin"/>
              <w:instrText xml:space="preserve">PAGEREF _Toc30 \h</w:instrText>
              <w:fldChar w:fldCharType="separate"/>
            </w:r>
            <w:r>
              <w:rPr>
                <w:rStyle w:val="936"/>
              </w:rPr>
              <w:t xml:space="preserve">58</w:t>
            </w:r>
            <w:r/>
            <w:r>
              <w:fldChar w:fldCharType="end"/>
            </w:r>
          </w:hyperlink>
          <w:r/>
          <w:r/>
        </w:p>
        <w:p w14:paraId="25678D9B">
          <w:pPr>
            <w:pStyle w:val="919"/>
            <w:pBdr/>
            <w:tabs>
              <w:tab w:val="right" w:leader="dot" w:pos="9354"/>
            </w:tabs>
            <w:spacing w:after="0" w:line="360" w:lineRule="auto"/>
            <w:ind/>
            <w:rPr/>
          </w:pPr>
          <w:r/>
          <w:hyperlink w:tooltip="#_Toc31" w:anchor="_Toc31" w:history="1">
            <w:r>
              <w:rPr>
                <w:rStyle w:val="936"/>
              </w:rPr>
            </w:r>
            <w:r>
              <w:rPr>
                <w:rStyle w:val="936"/>
                <w:rFonts w:ascii="Times New Roman" w:hAnsi="Times New Roman" w:eastAsia="Times New Roman" w:cs="Times New Roman"/>
              </w:rPr>
              <w:t xml:space="preserve">3.5 Прогнозирование выручки и расчёт экономической эффективности</w:t>
            </w:r>
            <w:r>
              <w:rPr>
                <w:rStyle w:val="936"/>
              </w:rPr>
            </w:r>
            <w:r>
              <w:tab/>
              <w:fldChar w:fldCharType="begin"/>
              <w:instrText xml:space="preserve">PAGEREF _Toc31 \h</w:instrText>
              <w:fldChar w:fldCharType="separate"/>
            </w:r>
            <w:r>
              <w:rPr>
                <w:rStyle w:val="936"/>
              </w:rPr>
              <w:t xml:space="preserve">60</w:t>
            </w:r>
            <w:r/>
            <w:r>
              <w:fldChar w:fldCharType="end"/>
            </w:r>
          </w:hyperlink>
          <w:r/>
          <w:r/>
        </w:p>
        <w:p w14:paraId="31DE8F8F">
          <w:pPr>
            <w:pStyle w:val="919"/>
            <w:pBdr/>
            <w:tabs>
              <w:tab w:val="right" w:leader="dot" w:pos="9354"/>
            </w:tabs>
            <w:spacing w:after="0" w:line="360" w:lineRule="auto"/>
            <w:ind/>
            <w:rPr>
              <w:highlight w:val="none"/>
            </w:rPr>
          </w:pPr>
          <w:r/>
          <w:hyperlink w:tooltip="#_Toc32" w:anchor="_Toc32" w:history="1">
            <w:r>
              <w:rPr>
                <w:rStyle w:val="936"/>
              </w:rPr>
            </w:r>
            <w:r>
              <w:rPr>
                <w:rStyle w:val="936"/>
                <w:rFonts w:ascii="Times New Roman" w:hAnsi="Times New Roman" w:eastAsia="Times New Roman" w:cs="Times New Roman"/>
              </w:rPr>
              <w:t xml:space="preserve">Вывод по главе 3</w:t>
            </w:r>
            <w:r>
              <w:rPr>
                <w:rStyle w:val="936"/>
                <w:highlight w:val="none"/>
              </w:rPr>
            </w:r>
            <w:r>
              <w:tab/>
              <w:fldChar w:fldCharType="begin"/>
              <w:instrText xml:space="preserve">PAGEREF _Toc32 \h</w:instrText>
              <w:fldChar w:fldCharType="separate"/>
            </w:r>
            <w:r>
              <w:rPr>
                <w:rStyle w:val="936"/>
              </w:rPr>
              <w:t xml:space="preserve">65</w:t>
            </w:r>
            <w:r/>
            <w:r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4CAAFCB0">
          <w:pPr>
            <w:pStyle w:val="918"/>
            <w:pBdr/>
            <w:tabs>
              <w:tab w:val="right" w:leader="dot" w:pos="9354"/>
            </w:tabs>
            <w:spacing w:after="0" w:line="360" w:lineRule="auto"/>
            <w:ind/>
            <w:rPr/>
          </w:pPr>
          <w:r/>
          <w:hyperlink w:tooltip="#_Toc33" w:anchor="_Toc33" w:history="1">
            <w:r>
              <w:rPr>
                <w:rStyle w:val="936"/>
              </w:rPr>
            </w:r>
            <w:r>
              <w:rPr>
                <w:rStyle w:val="936"/>
                <w:rFonts w:ascii="Times New Roman" w:hAnsi="Times New Roman" w:eastAsia="Times New Roman" w:cs="Times New Roman"/>
              </w:rPr>
              <w:t xml:space="preserve">ЗАКЛЮЧЕНИЕ</w:t>
            </w:r>
            <w:r>
              <w:rPr>
                <w:rStyle w:val="936"/>
              </w:rPr>
            </w:r>
            <w:r>
              <w:tab/>
              <w:fldChar w:fldCharType="begin"/>
              <w:instrText xml:space="preserve">PAGEREF _Toc33 \h</w:instrText>
              <w:fldChar w:fldCharType="separate"/>
            </w:r>
            <w:r>
              <w:rPr>
                <w:rStyle w:val="936"/>
              </w:rPr>
              <w:t xml:space="preserve">66</w:t>
            </w:r>
            <w:r/>
            <w:r>
              <w:fldChar w:fldCharType="end"/>
            </w:r>
          </w:hyperlink>
          <w:r/>
          <w:r/>
        </w:p>
        <w:p>
          <w:pPr>
            <w:pStyle w:val="918"/>
            <w:pBdr/>
            <w:tabs>
              <w:tab w:val="right" w:leader="dot" w:pos="9354"/>
            </w:tabs>
            <w:spacing w:after="0" w:line="360" w:lineRule="auto"/>
            <w:ind/>
            <w:rPr/>
          </w:pPr>
          <w:r/>
          <w:hyperlink w:tooltip="#_Toc35" w:anchor="_Toc35" w:history="1">
            <w:r>
              <w:rPr>
                <w:rStyle w:val="936"/>
              </w:rPr>
            </w:r>
            <w:r>
              <w:rPr>
                <w:rStyle w:val="936"/>
                <w:rFonts w:ascii="Times New Roman" w:hAnsi="Times New Roman" w:eastAsia="Times New Roman" w:cs="Times New Roman"/>
                <w:caps/>
              </w:rPr>
              <w:t xml:space="preserve">ПРИЛОЖЕНИЕ А</w:t>
            </w:r>
            <w:r>
              <w:rPr>
                <w:rStyle w:val="936"/>
              </w:rPr>
            </w:r>
            <w:r>
              <w:tab/>
              <w:fldChar w:fldCharType="begin"/>
              <w:instrText xml:space="preserve">PAGEREF _Toc35 \h</w:instrText>
              <w:fldChar w:fldCharType="separate"/>
            </w:r>
            <w:r>
              <w:rPr>
                <w:rStyle w:val="936"/>
              </w:rPr>
              <w:t xml:space="preserve">73</w:t>
            </w:r>
            <w:r/>
            <w:r>
              <w:fldChar w:fldCharType="end"/>
            </w:r>
          </w:hyperlink>
          <w:r/>
          <w:r/>
        </w:p>
        <w:p w14:paraId="6A69222E">
          <w:pPr>
            <w:pBdr/>
            <w:spacing w:line="360" w:lineRule="auto"/>
            <w:ind/>
            <w:rPr/>
          </w:pPr>
          <w:r>
            <w:fldChar w:fldCharType="end"/>
          </w:r>
          <w:r/>
        </w:p>
      </w:sdtContent>
    </w:sdt>
    <w:p>
      <w:pPr>
        <w:pBdr/>
        <w:spacing/>
        <w:ind/>
        <w:rPr/>
      </w:pPr>
      <w:r/>
      <w:r/>
    </w:p>
    <w:p>
      <w:pPr>
        <w:pStyle w:val="943"/>
        <w:pageBreakBefore w:val="true"/>
        <w:pBdr/>
        <w:spacing w:after="0" w:before="0" w:line="360" w:lineRule="auto"/>
        <w:ind w:right="0" w:firstLine="0" w:left="0"/>
        <w:jc w:val="center"/>
        <w:rPr/>
      </w:pPr>
      <w:r/>
      <w:bookmarkStart w:id="501" w:name="_Toc1"/>
      <w:r/>
      <w:bookmarkStart w:id="400" w:name="bm_intro"/>
      <w:r/>
      <w:bookmarkEnd w:id="400"/>
      <w:r/>
      <w:bookmarkStart w:id="1" w:name="intro"/>
      <w:r>
        <w:rPr>
          <w:rFonts w:ascii="Times New Roman" w:hAnsi="Times New Roman" w:eastAsia="Times New Roman" w:cs="Times New Roman"/>
          <w:b/>
          <w:bCs/>
          <w:caps/>
          <w:sz w:val="28"/>
          <w:szCs w:val="28"/>
        </w:rPr>
        <w:t xml:space="preserve">ВВЕДЕНИЕ</w:t>
      </w:r>
      <w:bookmarkEnd w:id="1"/>
      <w:r/>
      <w:bookmarkEnd w:id="501"/>
      <w:r/>
      <w:r/>
    </w:p>
    <w:p w14:paraId="38024193">
      <w:pPr>
        <w:pBdr/>
        <w:spacing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современном мире информационные технологии проникают во все сферы жизни, а си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стемы мгновенного обмена сообщениями стали неотъемлемым инструментом как повседневного, так и делового общения. Мессенджеры обеспечивают оперативную коммуникацию между людьми вне зависимости от их местонахождения, поддерживают передачу текстовых сообщений,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медиафайлов и документов в режиме реального времени. По данным аналитических агентств, совокупная ежемесячная аудитория ведущих мессенджеров превышает четыре миллиарда пользователей, а объём пересылаемых сообщений исчисляется десятками миллиардов в сутки.</w:t>
      </w:r>
      <w:r/>
    </w:p>
    <w:p w14:paraId="5F5DB343">
      <w:pPr>
        <w:pBdr/>
        <w:spacing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Актуальность данной темы обусловлена рядом факторов. Большинство коммерческих мессенджеров являются закрытыми централизованными платформами, что созд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аёт риски утечки персональных данных и ограничивает возможность независимого контроля над хранением информации. Разработка собственного кроссплатформенного решения позволяет изучить весь цикл создания клиент-серверного приложения — от проектирования базы 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анных до реализации механизмов поиска и работы с медиафайлами. Кроме того, требования российского законодательства в части хранения и защиты персональных данных делают задачу проектирования подсистемы хранения особенно значимой с практической точки зрения.</w:t>
      </w:r>
      <w:r/>
    </w:p>
    <w:p w14:paraId="75ECE425">
      <w:pPr>
        <w:pBdr/>
        <w:spacing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Целью дипломного проекта является разработка подсистемы хранения данных, поиска и медиафайлов кроссплатформенного мессенджера Aurora, обеспечивающей надёжное хранение истории переписки, эффективный поиск по содержимому и корректную работу с медиафайлами.</w:t>
      </w:r>
      <w:r/>
    </w:p>
    <w:p w14:paraId="6B182983">
      <w:pPr>
        <w:pBdr/>
        <w:spacing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достижения поставленной цели были сформулированы следующие задачи:</w:t>
      </w:r>
      <w:r/>
    </w:p>
    <w:p w14:paraId="511BB09F">
      <w:pPr>
        <w:pStyle w:val="935"/>
        <w:numPr>
          <w:ilvl w:val="0"/>
          <w:numId w:val="4"/>
        </w:numPr>
        <w:pBdr/>
        <w:spacing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изучить предметную область мессенджеров и провести сравнительный анализ существующих решений по организации хранения данных и поиска;</w:t>
      </w:r>
      <w:r/>
    </w:p>
    <w:p w14:paraId="6EBEE9A9">
      <w:pPr>
        <w:pStyle w:val="935"/>
        <w:numPr>
          <w:ilvl w:val="0"/>
          <w:numId w:val="4"/>
        </w:numPr>
        <w:pBdr/>
        <w:spacing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рассмотреть нормативно-правовое регулирование разработки программных продуктов в Российской Федерации;</w:t>
      </w:r>
      <w:r/>
    </w:p>
    <w:p w14:paraId="43663BF9">
      <w:pPr>
        <w:pStyle w:val="935"/>
        <w:numPr>
          <w:ilvl w:val="0"/>
          <w:numId w:val="4"/>
        </w:numPr>
        <w:pBdr/>
        <w:spacing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разработать диаграмму прецедентов и обосновать выбор инструментальных средств реализации подсистемы;</w:t>
      </w:r>
      <w:r/>
    </w:p>
    <w:p w14:paraId="0BA0704C">
      <w:pPr>
        <w:pStyle w:val="935"/>
        <w:numPr>
          <w:ilvl w:val="0"/>
          <w:numId w:val="4"/>
        </w:numPr>
        <w:pBdr/>
        <w:spacing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спроектировать схему базы данных с учётом хранения сообщений, пользователей, каналов и медиафайлов;</w:t>
      </w:r>
      <w:r/>
    </w:p>
    <w:p w14:paraId="401F9511">
      <w:pPr>
        <w:pStyle w:val="935"/>
        <w:numPr>
          <w:ilvl w:val="0"/>
          <w:numId w:val="4"/>
        </w:numPr>
        <w:pBdr/>
        <w:spacing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реализовать модуль хранения и управления историей сообщений с поддержкой курсорной пагинации;</w:t>
      </w:r>
      <w:r/>
    </w:p>
    <w:p w14:paraId="0584D09C">
      <w:pPr>
        <w:pStyle w:val="935"/>
        <w:numPr>
          <w:ilvl w:val="0"/>
          <w:numId w:val="4"/>
        </w:numPr>
        <w:pBdr/>
        <w:spacing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реализовать модуль полнотекстового поиска по сообщениям, пользователям и каналам;</w:t>
      </w:r>
      <w:r/>
    </w:p>
    <w:p w14:paraId="2FCB87D4">
      <w:pPr>
        <w:pStyle w:val="935"/>
        <w:numPr>
          <w:ilvl w:val="0"/>
          <w:numId w:val="4"/>
        </w:numPr>
        <w:pBdr/>
        <w:spacing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реализовать подсистему загрузки, хранения и передачи медиафайлов с дедупликацией и генерацией миниатюр.</w:t>
      </w:r>
      <w:r/>
    </w:p>
    <w:p w14:paraId="28739B04">
      <w:pPr>
        <w:pBdr/>
        <w:spacing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Объектом исследования является процесс проектирования и разработки подсистемы хранения данных кроссплатформенного клиент-серверного приложения для обмена сообщениями.</w:t>
      </w:r>
      <w:r/>
    </w:p>
    <w:p w14:paraId="034F5C09">
      <w:pPr>
        <w:pBdr/>
        <w:spacing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Предметом исследования выступают методы и технологии организации хранилищ данных, алгоритмы полнотекстового поиска, а также механизмы передачи и хранения медиафайлов в системах обмена сообщениями.</w:t>
      </w:r>
      <w:r/>
    </w:p>
    <w:p w14:paraId="706F8FB6">
      <w:pPr>
        <w:pBdr/>
        <w:spacing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Дипломный проект выполнен в рамках группового проекта. В данной работе рассматривается подсистема хранения данных, поиска и медиафайлов.</w:t>
      </w:r>
      <w:r/>
    </w:p>
    <w:p w14:paraId="70544106">
      <w:pPr>
        <w:pBdr/>
        <w:spacing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первой главе проводится анализ предметной области: рассматривается понятие мессенджера и классификация сущес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твующих решений, изучается нормативно-правовая база Российской Федерации в части разработки программных продуктов, а также выполняется сравнительный анализ систем хранения данных и поиска в ведущих мессенджерах — Telegram, Signal, WhatsApp и VK Мессенджер.</w:t>
      </w:r>
      <w:r/>
    </w:p>
    <w:p>
      <w:pPr>
        <w:pBdr/>
        <w:spacing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Вторая глава содержит практическую разработку подсистемы: разработаны диаграмма прецедентов и предварительные проектные реше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ния, обоснован выбор инструментальных средств (Python, FastAPI, MySQL 8 на Docker, SQLAlchemy), спроектирована схема базы данных, описана архитектура подсистемы, реализованы модули хранения истории сообщений, полнотекстового поиска и работы с медиафайлами.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Актуальность темы определяется несколькими факторами. Во-первых, большинство коммерческих мессенджеров хранят данные на зарубежных серверах, что противоречит требованиям Федерального закона № 152-ФЗ о локализации персональных данных российских граждан. [2]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Во-вторых, закрытый исходный код доминирующих платформ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исключает независимую верификацию заявленных свойств безопасности, что создаёт риски для конфиденциальности пользователей. В-третьих, изучение полного цикла разработки клиент-серверного приложения представляет самостоятельную учебно-практическую ценность.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Объектом исследования является процесс проектирования и разраб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отки подсистемы хранения данных кроссплатформенного мессенджера. Предметом исследования выступают методы и технологии организации реляционных хранилищ данных, механизмы полнотекстового поиска и алгоритмы работы с медиафайлами в системах обмена сообщениями.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Дипломный проект 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ыполнен в рамках группового проекта. В данной работе рассматривается подсистема хранения данных, поиска и медиафайлов. Остальные компоненты системы — клиентское приложение, система звонков, модуль уведомлений — реализованы другими участниками проекта. [12]</w:t>
      </w:r>
      <w:r/>
    </w:p>
    <w:p>
      <w:pPr>
        <w:pStyle w:val="943"/>
        <w:pageBreakBefore w:val="true"/>
        <w:pBdr/>
        <w:spacing w:after="0" w:before="0" w:line="360" w:lineRule="auto"/>
        <w:ind w:right="0" w:firstLine="0" w:left="0"/>
        <w:jc w:val="center"/>
        <w:rPr/>
      </w:pPr>
      <w:r/>
      <w:bookmarkStart w:id="502" w:name="_Toc2"/>
      <w:r/>
      <w:bookmarkStart w:id="401" w:name="bm_ch1"/>
      <w:r/>
      <w:bookmarkEnd w:id="401"/>
      <w:r/>
      <w:bookmarkStart w:id="1" w:name="h1"/>
      <w:r>
        <w:rPr>
          <w:rFonts w:ascii="Times New Roman" w:hAnsi="Times New Roman" w:eastAsia="Times New Roman" w:cs="Times New Roman"/>
          <w:b/>
          <w:bCs/>
          <w:caps/>
          <w:sz w:val="28"/>
          <w:szCs w:val="28"/>
        </w:rPr>
        <w:t xml:space="preserve">1 Анализ предметной области</w:t>
      </w:r>
      <w:bookmarkEnd w:id="1"/>
      <w:r/>
      <w:bookmarkEnd w:id="502"/>
      <w:r/>
      <w:r/>
    </w:p>
    <w:p>
      <w:pPr>
        <w:pStyle w:val="944"/>
        <w:pBdr/>
        <w:spacing w:after="0" w:before="0" w:line="360" w:lineRule="auto"/>
        <w:ind w:firstLine="709"/>
        <w:jc w:val="left"/>
        <w:rPr/>
      </w:pPr>
      <w:r/>
      <w:bookmarkStart w:id="503" w:name="_Toc3"/>
      <w:r/>
      <w:bookmarkStart w:id="402" w:name="bm_11"/>
      <w:r/>
      <w:bookmarkEnd w:id="402"/>
      <w:r/>
      <w:bookmarkStart w:id="1" w:name="h11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1.1 Понятие, сущность и основные виды программных продуктов класса мессенджеров. Системы хранения данных и поиска</w:t>
      </w:r>
      <w:bookmarkEnd w:id="1"/>
      <w:r/>
      <w:bookmarkEnd w:id="503"/>
      <w:r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Мессенджер — это прикладное программное обеспечение, предназначенное для обмена мгновенными сообщениями, передачи медиафайлов и осуществления голосовых и видеозвонков через сеть Интернет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[41]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В отличие от электронной почты, мессенджеры функционируют в режиме реального времени, что обеспечивает высокую скорость доставки сообщений и обратной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связи. Ключевой характеристикой современного этапа развития данного класса программного обеспечения является переход от исключительно развлекательной функции к полноценному инструменту для бизнеса, корпоративных коммуникаций и организации удалённой работы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[11]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Архитектурно любой мессенджер включает несколько ключевых подсистем: транспортный уровень (WebSocket, XMPP, MTProto), подсистему аутентификации, пользовательский интерфейс и подсистему хранения данных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[21]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Подсистема хранения данных является фундаментальным компонентом любого мессенджера.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От её архитектуры непосредственно зависят надёжность доставки сообщений, скорость загрузки истории переписки, возможность поиска по переписке и корректность работы с медиафайлами. Выбор СУБД и схемы хранения данных определяет масштабируемость всей системы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[35]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Кроссплатформенность как сущностная характеристика современного мессенджера означает его способность функци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онировать на различных типах операционных систем и устройств: персональных компьютерах (Windows, macOS, Linux), мобильных платформах (Android, iOS), в веб-среде (браузерные версии). Реализация данного свойства достигается двумя основными архитектурными под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ходами: использованием единой кодовой базы с последующей компиляцией под целевые платформы (кроссплатформенные фреймворки типа Tauri, Electron) либо разработкой адаптированных нативных клиентов для каждой платформы при сохранении общего серверного бэкенда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[23]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Многообразие существующих на рынке мессенджеров можно систематизировать по ряду ключевых признаков, представленных в таблице 1.</w:t>
      </w:r>
      <w:r/>
    </w:p>
    <w:p>
      <w:pPr>
        <w:pBdr/>
        <w:spacing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1 – Классификация мессенджеров по ключевым признакам</w:t>
      </w:r>
      <w:r/>
    </w:p>
    <w:tbl>
      <w:tblPr>
        <w:tblW w:w="935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976"/>
        <w:gridCol w:w="3543"/>
        <w:gridCol w:w="2835"/>
      </w:tblGrid>
      <w:tr>
        <w:trPr>
          <w:tblHeader/>
        </w:trPr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976" w:type="dxa"/>
          </w:tcPr>
          <w:p>
            <w:pPr>
              <w:pBdr/>
              <w:spacing w:line="280" w:lineRule="auto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Классификационный признак</w:t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3543" w:type="dxa"/>
          </w:tcPr>
          <w:p>
            <w:pPr>
              <w:pBdr/>
              <w:spacing w:line="280" w:lineRule="auto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Виды</w:t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835" w:type="dxa"/>
          </w:tcPr>
          <w:p>
            <w:pPr>
              <w:pBdr/>
              <w:spacing w:line="280" w:lineRule="auto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Примеры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976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Целевое назначение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3543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Социальные, корпоративные, приватные, игровые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835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WhatsApp, Slack, Signal, Discord</w:t>
            </w:r>
            <w:r/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976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Сетевая архитектура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3543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Централизованные, децентрализованные, P2P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835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Telegram, Element, Briar</w:t>
            </w:r>
            <w:r/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976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Модель распространения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3543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Проприетарные, открытое ПО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835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Skype, Signal</w:t>
            </w:r>
            <w:r/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976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Реализация кроссплатформенности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3543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Независимая, с привязкой к устройству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835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Telegram, WhatsApp</w:t>
            </w:r>
            <w:r/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976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Тип СУБД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3543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Реляционные (SQLite, PostgreSQL), NoSQL (MongoDB, Cassandra)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835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Telegram (PostgreSQL), Signal (SQLite)</w:t>
            </w:r>
            <w:r/>
          </w:p>
        </w:tc>
      </w:tr>
    </w:tbl>
    <w:p>
      <w:pPr>
        <w:pBdr/>
        <w:spacing w:before="24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 точки зрения подсистемы хранения данных месс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енджеры можно разделить на три группы. Первая группа — системы с локальной реляционной базой данных (SQLite), которая хранится на устройстве пользователя и синхронизируется с облачным сервером. Такой подход используют Signal и WhatsApp. Вторая группа — сис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темы с центральным облачным хранилищем на основе PostgreSQL или MySQL, обеспечивающим единую историю переписки на всех устройствах (Telegram, VK Мессенджер). Третья группа — гибридные системы, сочетающие локальное кэширование и облачное хранение (Discord).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организации поиска по переписке применяются три основных подхода: SQL LIKE-зап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росы (наиболее простое, но медленное на больших объёмах решение), полнотекстовый поиск средствами СУБД (FTS5 в SQLite, pg_trgm в PostgreSQL), а также внешние поисковые движки (Elasticsearch, Meilisearch) для высоконагруженных систем с миллионами сообщений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[35]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Таким образом, при проектировании подсистемы хранения данных мессенджера необходимо учитывать ожидаемый объём данных, требования к скорости поиска и доступности данных на нескольких устройствах одновременно.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 определению, принятому в отечественной технической литературе, мессенджер представляет собой программное средство для обмена текстовыми и мультимедийными сообщениями в режиме реального времени через компьютерные сети. [9]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Клиент-серверная архитектура является наиболее распространён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ной моделью построения систем обмена сообщениями. В данной архитектуре клиентское приложение взаимодействует с центральным сервером, который обеспечивает хранение сообщений, управление пользователями и маршрутизацию данных между участниками переписки. [11]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Протокол WebSocket был разработан для преодоления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ограничений HTTP применительно к задачам реального времени. В отличие от HTTP, WebSocket обеспечивает полнодуплексный обмен данными через единственное TCP-соединение, позволяя серверу инициировать передачу данных клиенту без предварительного запроса. [18]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Мгновенные сообщения (instant messages) — разновидность онлайн-чата, предполагающая передачу текстов и файлов в режиме реального времени через сеть Интернет. В отличие от электронной почты, доставка сообщений происходит практически мгновенно. [25]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Рынок мессенджеров характеризуется устойчивой динамикой роста. По данным аналитической компании Statista, совокупная аудитория мобильных месс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енджеров к 2024 году превысила 3,5 миллиарда пользователей, а к 2027 году прогнозируется её увеличение до 4,2 миллиарда. В Российской Федерации аудитория трёх ведущих платформ (Telegram, WhatsApp, VK Мессенджер) насчитывает свыше 85 миллионов человек. [45]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 технической точки зрения мессенджеры прошли несколько этапов эволюции. Ранние системы (IRC, ICQ, 1990–2000-е годы) работали по протоколам с хранением данных на клиентском устройстве. С распространением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смартфонов в 2007–2012 годах произошёл переход к централизованным клиент-серверным архитектурам с облачным хранением. Современный этап характеризуется использованием распределённых баз данных, сквозного шифрования и поддержки множества типов контента. [25]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 точки зрения подсистемы хранения данных мессенджеры делятся на три группы. Первая — облачная модель (Telegram, VK): история хр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анится на серверах и доступна с любого устройства. Вторая — локальная модель (Signal): сообщения хранятся на устройстве пользователя. Третья — гибридная модель (WhatsApp): локальное хранение с опциональным зашифрованным резервным копированием в облако. [9]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разрабатываемого мессенджера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Aurora выбрана серверная модель хранения. Это решение обеспечивает синхронизацию истории переписки между устройствами пользователя, серверный поиск по сообщениям и соответствие требованиям российского законодательства о локализации персональных данных. [2]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Требования к подсистеме хранения данных различаются в зависимости от функциональности мессенджера. Базовые пла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тформы ограничиваются хранением текстовых сообщений. Расширенные платформы требуют поддержки медиафайлов, реакций, системных сообщений и сложных поисковых запросов. Корпоративные решения дополнительно предусматривают аудит-логи и разграничение доступа. [6]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Важной характеристикой мессенджера является поддержка работы на нескольких устройствах одновременно. Для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реализации этой функции серверная часть должна хранить полную историю переписки и обеспечивать её синхронизацию между всеми клиентскими приложениями пользователя. Это требование определяет выбор архитектуры базы данных и протокола доставки сообщений. [12]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Функциональное разнообразие современных мессенджеров привело к появлению классификации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 типу контента: текстовые мессенджеры, мультимедийные платформы, корпоративные коммуникаторы и платформы-экосистемы. Мессенджер Aurora относится к категории расширенных мультимедийных платформ: он поддерживает текст, файлы, группы, каналы и реакции. [12]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Высокая конкурентность рынка мессенджеров обусловле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 сетевым эффектом: ценность платформы возрастает пропорционально числу её пользователей. Это создаёт высокий барьер входа для новых продуктов, однако формирует нишу для специализированных решений, ориентированных на конкретные потребности аудитории. [45]</w:t>
      </w:r>
      <w:r/>
    </w:p>
    <w:p>
      <w:pPr>
        <w:pStyle w:val="944"/>
        <w:pBdr/>
        <w:spacing w:after="0" w:before="0" w:line="360" w:lineRule="auto"/>
        <w:ind w:firstLine="709"/>
        <w:jc w:val="left"/>
        <w:rPr/>
      </w:pPr>
      <w:r/>
      <w:bookmarkStart w:id="504" w:name="_Toc4"/>
      <w:r/>
      <w:bookmarkStart w:id="403" w:name="bm_12"/>
      <w:r/>
      <w:bookmarkEnd w:id="403"/>
      <w:r/>
      <w:bookmarkStart w:id="1" w:name="h12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1.2 Нормативно-правовое регулирование разработки программного продукта в России</w:t>
      </w:r>
      <w:bookmarkEnd w:id="1"/>
      <w:r/>
      <w:bookmarkEnd w:id="504"/>
      <w:r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тка, внедрение и эксплуатация мессенджера невозможны без строгого соблюдения законодательной базы Российской Федерации. Несоблюдение норм авторского права или правил защиты персональных данных влечёт за собой существенные штрафы и риск блокировки продукта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[2]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Перечень основных нормативно-правовых актов, регулирующих разработку программного продукта в России:</w:t>
      </w:r>
      <w:r/>
    </w:p>
    <w:p>
      <w:pPr>
        <w:pStyle w:val="935"/>
        <w:numPr>
          <w:ilvl w:val="0"/>
          <w:numId w:val="5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Конституция Российской Федерации (принята 12.12.1993): статья 23 гарантирует тайну переписки, статья 29 — свободу информации;</w:t>
      </w:r>
      <w:r/>
    </w:p>
    <w:p>
      <w:pPr>
        <w:pStyle w:val="935"/>
        <w:numPr>
          <w:ilvl w:val="0"/>
          <w:numId w:val="5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Гражданский кодекс Российской Федерации (часть четвёртая) от 18.12.2006 № 230-ФЗ: статья 1261 относит программы для ЭВМ к объектам авторского права;</w:t>
      </w:r>
      <w:r/>
    </w:p>
    <w:p>
      <w:pPr>
        <w:pStyle w:val="935"/>
        <w:numPr>
          <w:ilvl w:val="0"/>
          <w:numId w:val="5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Федеральный закон от 27.07.2006 № 152-ФЗ «О персональных данных»: обязывает локализовывать базы данных с персональными данными на территории РФ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[2]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/>
    </w:p>
    <w:p>
      <w:pPr>
        <w:pStyle w:val="935"/>
        <w:numPr>
          <w:ilvl w:val="0"/>
          <w:numId w:val="5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Федеральный закон от 27.07.2006 № 149-ФЗ «Об информации, информационных технологиях и о защите информации»: определяет мессенджер как организатора распространения информации (ОРИ), обязывая хранить информацию о фактах приёма-передачи сообщений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[1]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/>
    </w:p>
    <w:p>
      <w:pPr>
        <w:pStyle w:val="935"/>
        <w:numPr>
          <w:ilvl w:val="0"/>
          <w:numId w:val="5"/>
        </w:numPr>
        <w:pBdr/>
        <w:spacing w:line="360" w:lineRule="auto"/>
        <w:ind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ГОСТ 19.404-79. Единая система программной документации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[5]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 точки зрения подсистемы хранения данных особое значение имеет Федеральный закон № 152-ФЗ «О персональных данных»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[2]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Закон обязывает разработчика обеспечить хранение персональных данных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граждан Российской Федерации исключительно на серверах, расположенных на территории РФ (статья 18.1). Для мессенджера это означает, что база данных с именами пользователей, номерами телефонов и историей переписки должна размещаться на российских серверах.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Федеральный закон № 149-ФЗ «Об информации»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[1]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обязывает мессенджеры, подпадающие под статус ОРИ, хранить переписку пользователей в течение шести месяцев. Это предъявляет дополнительные требования к объёму и надёжности хранилища, а также к процедурам резервного копирования.</w:t>
      </w:r>
      <w:r/>
    </w:p>
    <w:p>
      <w:pPr>
        <w:pBdr/>
        <w:spacing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2 – Требования законодательства РФ к подсистеме хранения данных мессенджера</w:t>
      </w:r>
      <w:r/>
    </w:p>
    <w:tbl>
      <w:tblPr>
        <w:tblW w:w="935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4677" w:type="dxa"/>
          </w:tcPr>
          <w:p>
            <w:pPr>
              <w:pBdr/>
              <w:spacing w:line="280" w:lineRule="auto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Нормативный акт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4677" w:type="dxa"/>
          </w:tcPr>
          <w:p>
            <w:pPr>
              <w:pBdr/>
              <w:spacing w:line="280" w:lineRule="auto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Требование к подсистеме хранения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4677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ФЗ № 152-ФЗ «О персональных данных»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4677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Локализация БД на серверах в РФ, шифрование персональных данных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4677" w:type="dxa"/>
          </w:tcPr>
          <w:p>
            <w:pPr>
              <w:pBdr/>
              <w:spacing w:line="280" w:lineRule="auto"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ФЗ</w:t>
            </w:r>
            <w:r/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№ 149-ФЗ «Об информации»</w:t>
            </w:r>
            <w:r/>
            <w:r/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4677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Хранение истории переписки не менее 6 месяцев, предоставление по запросу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4677" w:type="dxa"/>
            <w:vMerge w:val="restart"/>
          </w:tcPr>
          <w:p w14:paraId="054859DF"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ГК РФ, часть 4 (ст. 1261)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4677" w:type="dxa"/>
            <w:vMerge w:val="restart"/>
          </w:tcPr>
          <w:p w14:paraId="18CB4806"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Защита исходного кода как объекта авторского права</w:t>
            </w:r>
            <w:r/>
            <w:r/>
          </w:p>
        </w:tc>
      </w:tr>
    </w:tbl>
    <w:p>
      <w:pPr>
        <w:pBdr/>
        <w:spacing w:before="24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Таким образом, успешная реализация подсистемы хранения данных требует не только технических решений, но и соответствия нормам российского законодательства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[1; 2]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Выбор СУБД PostgreSQL с возможностью развёртывания на отечественной серверной инфраструктуре позволяет выполнить требования по локализации данных и обеспечить необходимый уровень безопасности.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соответствии с Федеральным законом от 27.07.2006 № 152-ФЗ «О персональных данных» персональные данные — любая информация, относящаяся прямо или косвенно к определённому или определяемому физическому лицу (субъекту персональных данных). [2]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Статья 18 Фе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дерального закона № 152-ФЗ устанавливает обязанность оператора при сборе персональных данных обеспечить их запись, систематизацию, накопление, хранение, уточнение и извлечение с использованием баз данных, находящихся на территории Российской Федерации. [2]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Федеральный закон № 149-ФЗ «Об информации, информационных техно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логиях и о защите информации» закрепляет базовые принципы правового регулирования отношений в сфере информации и устанавливает обязанности организаторов распространения информации в сети «Интернет» по хранению данных на территории Российской Федерации. [1]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Особое значение для разработчик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ов мессенджеров имеет статья 10.1 Федерального закона № 149-ФЗ, обязывающая организаторов распространения информации хранить на территории РФ данные о фактах приёма и передачи сообщений в течение одного года, а сами сообщения — в течение шести месяцев. [1]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Федеральный закон № 152-ФЗ «О персональных данных» обязывает операт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оров, обрабатывающих данные российских граждан, хранить их в базах данных на территории России. Нарушение данного требования влечёт административную ответственность по статье 13.11 КоАП РФ и может стать основанием для блокировки сервиса Роскомнадзором. [2]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Совокупность перечисленных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требований определяет следующие технические решения при проектировании Aurora: развёртывание серверной инфраструктуры в российском дата-центре, реализация механизмов идентификации пользователей, ведение журналов событий с установленным сроком хранения. [1]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Гражданский кодекс Российской Федерации (часть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четвёртая) регулирует отношения в сфере интеллектуальной собственности. Программное обеспечение, в том числе мессенджер Aurora, является объектом авторских прав. Правообладатель вправе использовать произведение любым не противоречащим закону способом. [4]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ГОСТ 19.404-79 регламентирует содержание пояснит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ельной записки к программному продукту, обязывая разработчика включать описание алгоритмов, структур данных и интерфейсов. Соблюдение данного стандарта обеспечивает единообразие технической документации и упрощает передачу проекта другим разработчикам. [5]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Таким образом, нормативно-правовое рег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улирование оказывает непосредственное влияние на технические решения, принятые при проектировании мессенджера Aurora: выбор российского хостинга, реализация идентификации пользователей, ведение журналов событий и обеспечение защиты персональных данных. [1]</w:t>
      </w:r>
      <w:r/>
    </w:p>
    <w:p>
      <w:pPr>
        <w:pStyle w:val="944"/>
        <w:pBdr/>
        <w:spacing w:after="0" w:before="0" w:line="360" w:lineRule="auto"/>
        <w:ind w:firstLine="709"/>
        <w:jc w:val="left"/>
        <w:rPr/>
      </w:pPr>
      <w:r/>
      <w:bookmarkStart w:id="505" w:name="_Toc5"/>
      <w:r/>
      <w:bookmarkStart w:id="404" w:name="bm_13"/>
      <w:r/>
      <w:bookmarkEnd w:id="404"/>
      <w:r/>
      <w:bookmarkStart w:id="1" w:name="h13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1.3 Анализ систем хранения данных и поиска в существующих мессенджерах</w:t>
      </w:r>
      <w:bookmarkEnd w:id="1"/>
      <w:r/>
      <w:bookmarkEnd w:id="505"/>
      <w:r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рамках данного раздела проведён сравнительный анализ подходов к хранению данных и реализации поиска, применяемых в ведущих мессенджерах: Telegram, Signal, WhatsApp и VK Мессенджер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[41; 46]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Анализ позволяет выявить наиболее эффективные технические решения, которые целесообразно использовать при разработке подсистемы хранения данных мессенджера Aurora.</w:t>
      </w:r>
      <w:r/>
    </w:p>
    <w:p>
      <w:pPr>
        <w:pStyle w:val="945"/>
        <w:pBdr/>
        <w:spacing w:after="0" w:before="0" w:line="360" w:lineRule="auto"/>
        <w:ind w:firstLine="709"/>
        <w:jc w:val="left"/>
        <w:rPr/>
      </w:pPr>
      <w:r/>
      <w:bookmarkStart w:id="506" w:name="_Toc6"/>
      <w:r/>
      <w:bookmarkStart w:id="405" w:name="bm_131"/>
      <w:r/>
      <w:bookmarkEnd w:id="405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1.3.1 Архитектура хранения данных в Telegram</w:t>
      </w:r>
      <w:bookmarkEnd w:id="506"/>
      <w:r/>
      <w:r/>
    </w:p>
    <w:p>
      <w:pPr>
        <w:pBdr/>
        <w:spacing w:after="0" w:before="0" w:line="0" w:lineRule="auto"/>
        <w:ind/>
        <w:rPr/>
      </w:pPr>
      <w:r/>
      <w:bookmarkStart w:id="1" w:name="h131"/>
      <w:r>
        <w:rPr>
          <w:rFonts w:ascii="Times New Roman" w:hAnsi="Times New Roman" w:eastAsia="Times New Roman" w:cs="Times New Roman"/>
          <w:sz w:val="28"/>
          <w:szCs w:val="28"/>
        </w:rPr>
      </w:r>
      <w:bookmarkEnd w:id="1"/>
      <w:r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Telegram реализует облачную модель хранения сообщений с использованием собственного бинарного протокола MTProto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[46]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На стороне сервера применяется кластер PostgreSQL в сочетании с распределённым файловым хранилищем для медиафайлов. Ключевой особенностью является шифрование данных на уровне тр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анспорта (MTProto), однако в обычных чатах сообщения хранятся на серверах Telegram в расшифрованном виде — что позволяет реализовать синхронизацию истории на нескольких устройствах. Секретные чаты используют end-to-end шифрование (алгоритм Diffie-Hellman).</w:t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Поиск по переписке в Teleg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ram реализован средствами полнотекстового поиска на стороне сервера. Клиент отправляет запрос, сервер выполняет поиск по своим индексам и возвращает результаты. Такой подход обеспечивает мгновенный поиск по всей истории переписки вне зависимости от объёма.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Серверная инфраструктура Telegram распределена по нескольким дата-центрам в разных странах (Нидерланды, Германия, США, Сингапур, Финляндия), что обеспечивает высокую доступность сервиса и минимальные задержки для глобальной аудитории. [10]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хранения медиафайлов Telegram применяет 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обственную распределённую файловую систему с автоматической репликацией и дедупликацией. Идентичные файлы, загруженные разными пользователями, хранятся в единственном экземпляре по хешу содержимого, что существенно снижает объём занимаемого хранилища. [13]</w:t>
      </w:r>
      <w:r/>
    </w:p>
    <w:p>
      <w:pPr>
        <w:pStyle w:val="945"/>
        <w:pBdr/>
        <w:spacing w:after="0" w:before="0" w:line="360" w:lineRule="auto"/>
        <w:ind w:firstLine="709"/>
        <w:jc w:val="left"/>
        <w:rPr/>
      </w:pPr>
      <w:r/>
      <w:bookmarkStart w:id="507" w:name="_Toc7"/>
      <w:r/>
      <w:bookmarkStart w:id="406" w:name="bm_132"/>
      <w:r/>
      <w:bookmarkEnd w:id="406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1.3.2 Архитектура хранения данных в Signal</w:t>
      </w:r>
      <w:bookmarkEnd w:id="507"/>
      <w:r/>
      <w:r/>
    </w:p>
    <w:p>
      <w:pPr>
        <w:pBdr/>
        <w:spacing w:after="0" w:before="0" w:line="0" w:lineRule="auto"/>
        <w:ind/>
        <w:rPr/>
      </w:pPr>
      <w:r/>
      <w:bookmarkStart w:id="1" w:name="h132"/>
      <w:r>
        <w:rPr>
          <w:rFonts w:ascii="Times New Roman" w:hAnsi="Times New Roman" w:eastAsia="Times New Roman" w:cs="Times New Roman"/>
          <w:sz w:val="28"/>
          <w:szCs w:val="28"/>
        </w:rPr>
      </w:r>
      <w:bookmarkEnd w:id="1"/>
      <w:r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Signal реализует принципиально иной подход: все сообщения хранятся исключительно на устройстве пользователя в локальной базе данных SQLite, зашифрованной с использованием ключа, производного от PIN-кода пользователя (алгоритм AES-256-GCM)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[41]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Серверы Signal не хранят содержимое сообщений, а лишь обеспечивают их транзитную доставку. End-to-end шифрование реализовано с использованием протокола Signal Protocol (Double Ratchet + X3DH).</w:t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Поиск по переписке в Signal вы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полняется локально — непосредственно в SQLite-базе на устройстве с использованием механизма FTS5 (Full-Text Search). Это обеспечивает конфиденциальность поиска, однако ограничивает его только теми сообщениями, которые присутствуют на конкретном устройстве.</w:t>
      </w:r>
      <w:r>
        <w:rPr>
          <w:highlight w:val="none"/>
        </w:rPr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Signal Protocol основан на алгори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тме Double Ratchet, обеспечивающем свойство прямой секретности (forward secrecy): компрометация одного сеансового ключа не раскрывает содержимое предыдущих сообщений. Данный протокол применяется также в WhatsApp и в механизме секретных чатов Telegram. [30]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Локальная баз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 данных Signal реализована на основе SQLite с расширением SQLCipher, обеспечивающим шифрование файла базы данных. Это защищает данные при физическом доступе к устройству, однако делает невозможной синхронизацию истории при смене или утере устройства. [11]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Ограничением Signal как платформы является отсутствие обл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ачной синхронизации истории переписки. При смене устройства пользователь Signal теряет доступ к предыдущей переписке. Конфиденциальность в Signal обеспечивается сквозным шифрованием, минимизацией сбора метаданных и возможностью автоудаления сообщений. [41]</w:t>
      </w:r>
      <w:r/>
    </w:p>
    <w:p>
      <w:pPr>
        <w:pStyle w:val="945"/>
        <w:pBdr/>
        <w:spacing w:after="0" w:before="0" w:line="360" w:lineRule="auto"/>
        <w:ind w:firstLine="709"/>
        <w:jc w:val="left"/>
        <w:rPr>
          <w:highlight w:val="none"/>
        </w:rPr>
      </w:pPr>
      <w:r/>
      <w:bookmarkStart w:id="508" w:name="_Toc8"/>
      <w:r/>
      <w:bookmarkStart w:id="407" w:name="bm_133"/>
      <w:r/>
      <w:bookmarkEnd w:id="407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1.3.3 Сравнительный анализ подходов к хранению и поиску данных</w:t>
      </w:r>
      <w:bookmarkEnd w:id="508"/>
      <w:r>
        <w:rPr>
          <w:highlight w:val="none"/>
        </w:rPr>
      </w:r>
      <w:r>
        <w:rPr>
          <w:highlight w:val="none"/>
        </w:rPr>
      </w:r>
    </w:p>
    <w:p w14:paraId="68A0FD33">
      <w:pPr>
        <w:pBdr/>
        <w:spacing w:after="0" w:before="0" w:line="0" w:lineRule="auto"/>
        <w:ind/>
        <w:rPr/>
      </w:pPr>
      <w:r/>
      <w:bookmarkStart w:id="1" w:name="h133"/>
      <w:r/>
      <w:bookmarkEnd w:id="1"/>
      <w:r/>
      <w:r/>
    </w:p>
    <w:p w14:paraId="3F1C49C4">
      <w:pPr>
        <w:pBdr/>
        <w:spacing w:after="0" w:before="0" w:line="0" w:lineRule="auto"/>
        <w:ind/>
        <w:rPr/>
      </w:pPr>
      <w:r/>
      <w:r/>
    </w:p>
    <w:p w14:paraId="349880FC">
      <w:pPr>
        <w:pBdr/>
        <w:spacing w:after="0" w:before="0" w:line="0" w:lineRule="auto"/>
        <w:ind/>
        <w:rPr/>
      </w:pPr>
      <w:r/>
      <w:r/>
    </w:p>
    <w:p>
      <w:pPr>
        <w:pBdr/>
        <w:spacing w:after="0" w:before="0" w:line="0" w:lineRule="auto"/>
        <w:ind/>
        <w:rPr/>
      </w:pPr>
      <w:r/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основе анализа выбранных мессенджеров сформулированы ключевые критерии сравнения подходов к хранению данных. Результаты сравнительного анализа представлены в таблице 3.</w:t>
      </w:r>
      <w:r/>
    </w:p>
    <w:p>
      <w:pPr>
        <w:pBdr/>
        <w:spacing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3 – Сравнительный анализ систем хранения данных и поиска в мессенджерах</w:t>
      </w:r>
      <w:r/>
    </w:p>
    <w:tbl>
      <w:tblPr>
        <w:tblW w:w="935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340"/>
        <w:gridCol w:w="1753"/>
        <w:gridCol w:w="1404"/>
        <w:gridCol w:w="1404"/>
        <w:gridCol w:w="1453"/>
      </w:tblGrid>
      <w:tr>
        <w:trPr>
          <w:tblHeader/>
        </w:trPr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340" w:type="dxa"/>
          </w:tcPr>
          <w:p>
            <w:pPr>
              <w:pBdr/>
              <w:spacing w:line="280" w:lineRule="auto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Критерий</w:t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753" w:type="dxa"/>
          </w:tcPr>
          <w:p>
            <w:pPr>
              <w:pBdr/>
              <w:spacing w:line="280" w:lineRule="auto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Telegram</w:t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Signal</w:t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WhatsApp</w:t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53" w:type="dxa"/>
          </w:tcPr>
          <w:p>
            <w:pPr>
              <w:pBdr/>
              <w:spacing w:line="280" w:lineRule="auto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VK Мессенджер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340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Место хранения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753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Серверы (облако)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Локально (устройство)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Серверы + локально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53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Серверы (облако)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340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СУБД на сервере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753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PostgreSQL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Нет (E2E)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MySQL/Cassandra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53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MySQL + Tarantool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340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СУБД на клиенте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753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SQLite (кэш)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SQLite (AES-256)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SQLite (AES-256)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53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SQLite (кэш)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340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Полнотекстовый поиск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753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Серверный (вся история)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Локальный FTS5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Локальный (ограничен)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53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Серверный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340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Синхронизация между устройствами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753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Полная (облако)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Частичная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Ограниченная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53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Полная (облако)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340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Хранение медиафайлов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753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Собственный CDN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Локально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Серверы WhatsApp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53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VK CDN</w:t>
            </w:r>
            <w:r/>
          </w:p>
        </w:tc>
      </w:tr>
    </w:tbl>
    <w:p>
      <w:pPr>
        <w:pBdr/>
        <w:spacing w:before="24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Анализ таблицы 3 позволяет сделать ряд выводов, имеющих непосредственное значение для разработки подсистемы хранения данных мессенджера Aurora. Во-первых, для обеспечения синхронизации истории переписки между несколькими устройствами необходимо применять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серверную модель хранения на основе реляционной СУБД. PostgreSQL является наиболее распространённым и производительным выбором, обладая встроенными средствами полнотекстового поиска (tsvector/tsquery), транзакционностью и горизонтальной масштабируемостью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[35]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Во-вторых, анализ механизмов поиска показал, что наиболее удобным с точки зрения разработки яв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ляется полнотекстовый поиск средствами самой СУБД. Для начального объёма данных возможностей PostgreSQL FTS достаточно. В-третьих, шифрование хранимых данных обязательно как с точки зрения безопасности, так и в соответствии с требованиями законодательства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[1; 2]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основании проведённого анализа для подсистемы хранения данных мессенджера Aurora были приняты следующие технические решения: Postg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reSQL в качестве основной СУБД, SQLite для локального кэша на клиентской стороне, полнотекстовый поиск через tsvector/tsquery PostgreSQL, хранение медиафайлов в файловой системе сервера с записью метаданных в БД, шифрование транспортного уровня по TLS 1.3.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764592B1">
      <w:pPr>
        <w:pBdr/>
        <w:spacing w:after="0" w:before="0"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Проведённый анализ позволяет сформулировать требования к подсистеме хранения данных мессенд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жера Aurora. Система должна обеспечивать надёжное хранение истории переписки с постраничной загрузкой, полнотекстовый поиск, хранение метаданных медиафайлов, отслеживание статусов доставки и прочтения, а также соответствие Федеральному закону № 152-ФЗ. [2]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 проектировани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 Aurora учтён опыт анализируемых платформ: от Telegram заимствована идея разделения личных и групповых сообщений; от Signal — принцип мягкого удаления записей без физического стирания; от WhatsApp — механизм двойных статусов (доставлено / прочитано). [13]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основе анализа ведущих мессенджеров можно сформулировать ключевые принципы, которыми следует руководствоваться при проектировании подсистемы хранения данных. Во-первых, история переписки должна хранитьс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я на сервере и быть доступна с любого устройства пользователя. Во-вторых, структура базы данных должна разделять личную переписку и групповые чаты в отдельных таблицах. В-третьих, удаление сообщений должно реализовываться по принципу мягкого удаления. [13]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Сравнительный анализ также показал, что ни одна из рассмотре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нных платформ не обеспечивает одновременно все три ключевых требования: высокую функциональность, максимальную приватность и соответствие российскому законодательству. Именно это сочетание является целевой нишей для разрабатываемого мессенджера Aurora. [2]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Сравнительный анализ архитектур хранения данны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х в ведущих мессенджерах позволяет выявить общие тенденции в развитии данной отрасли. Современные системы обмена сообщениями тяготеют к гибридным архитектурам, сочетающим высокую функциональность облачного хранения с элементами локальной защиты данных. [8]</w:t>
      </w:r>
      <w:r/>
    </w:p>
    <w:p w14:paraId="7CD90FE8">
      <w:pPr>
        <w:pBdr/>
        <w:shd w:val="nil" w:color="auto"/>
        <w:spacing/>
        <w:ind/>
        <w:rPr/>
      </w:pPr>
      <w:r>
        <w:rPr>
          <w:highlight w:val="none"/>
        </w:rPr>
        <w:br w:type="page" w:clear="all"/>
      </w:r>
      <w:r/>
    </w:p>
    <w:p>
      <w:pPr>
        <w:pStyle w:val="944"/>
        <w:pBdr/>
        <w:spacing w:after="0" w:before="0" w:line="360" w:lineRule="auto"/>
        <w:ind w:right="0" w:firstLine="709" w:left="0"/>
        <w:jc w:val="left"/>
        <w:rPr/>
      </w:pPr>
      <w:r/>
      <w:bookmarkStart w:id="700" w:name="_Toc34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Вывод по главе 1</w:t>
      </w:r>
      <w:bookmarkEnd w:id="700"/>
      <w:r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ходе выполнения первой главы проведён комплексный анализ предметной области. Рассмотрено понятие мессенджера как прикладног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 программного обеспечения, предназначенного для обмена мгновенными сообщениями и мультимедийными данными в режиме реального времени. Выявлено, что современные мессенджеры реализуются по трём основным архитектурным моделям: облачной, локальной и гибридной.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[9]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Изучено нормативно-правовое регулирование разработки программных продуктов в Российской Федерации. Установлено, что клю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чевыми требованиями для мессенджера Aurora являются локализация баз данных персональных данных на территории РФ (Федеральный закон № 152-ФЗ) и обеспечение хранения информации о передаче сообщений в течение установленного срока (Федеральный закон № 149-ФЗ).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[2]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Проведён сравнительный анализ архитектур хранения данных в ведущих мессенджерах — Telegram, Signal и WhatsApp. Telegram применяет облачную модель с распределённой инфраструктурой; Signal — локальное хранение с шиф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рованием SQLCipher; WhatsApp реализует гибридную модель. Ни одна из платформ не сочетает одновременно высокую функциональность, максимальную приватность и соответствие российскому законодательству, что определяет актуальность разработки мессенджера Aurora.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[8]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Результаты анализа послужили основой для формулирования требований к проектируемой подсистеме хранения данных и обоснования принятых технических решений, описанных в главе 2.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[9]</w:t>
      </w:r>
      <w:r/>
    </w:p>
    <w:p>
      <w:pPr>
        <w:pStyle w:val="943"/>
        <w:pBdr/>
        <w:spacing w:after="0" w:line="360" w:lineRule="auto"/>
        <w:ind w:right="0" w:firstLine="0" w:left="0"/>
        <w:jc w:val="center"/>
        <w:rPr>
          <w:highlight w:val="none"/>
        </w:rPr>
      </w:pPr>
      <w:r>
        <w:br w:type="column"/>
      </w:r>
      <w:bookmarkStart w:id="509" w:name="_Toc9"/>
      <w:r/>
      <w:bookmarkStart w:id="101" w:name="bm_ch2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 ПРОЕКТИРОВАНИЕ, РЕАЛИЗАЦИЯ И ТЕСТИРОВАНИЕ АВТОМАТИЗИРОВАННОЙ СИСТЕМЫ</w:t>
      </w:r>
      <w:bookmarkEnd w:id="101"/>
      <w:r/>
      <w:bookmarkEnd w:id="509"/>
      <w:r/>
      <w:r>
        <w:rPr>
          <w:highlight w:val="none"/>
        </w:rPr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Данн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ая глава посвящена комплексному описанию проектирования и программной реализации подсистемы хранения данных, поиска и медиафайлов кроссплатформенного мессенджера Aurora. В соответствии со структурой дипломного проекта в главе последовательно представлены 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редварительные проектные решения, включающие диаграмму прецедентов и выбор технологического стека, а также логическая и физическая модели базы данных, архитектурное описание подсистемы и реализация ключевых программных модулей с фрагментами исходного кода.</w:t>
      </w:r>
      <w:r/>
    </w:p>
    <w:p>
      <w:pPr>
        <w:pStyle w:val="944"/>
        <w:pBdr/>
        <w:spacing w:after="0" w:before="0" w:line="360" w:lineRule="auto"/>
        <w:ind w:right="0" w:firstLine="709" w:left="0"/>
        <w:jc w:val="left"/>
        <w:rPr/>
      </w:pPr>
      <w:r/>
      <w:bookmarkStart w:id="510" w:name="_Toc10"/>
      <w:r/>
      <w:bookmarkStart w:id="102" w:name="bm_21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2.1 Разработка предварительных проектных решений</w:t>
      </w:r>
      <w:bookmarkEnd w:id="102"/>
      <w:r/>
      <w:bookmarkEnd w:id="510"/>
      <w:r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Предварительные проектные решения формируют концептуальную основу для последующей программной реализации. На данном этапе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определяются функциональные требования к системе, устанавливаются границы разрабатываемого программного продукта, выявляются роли участников системы и обосновывается выбор инструментальных средств, наиболее соответствующих техническим требованиям проекта.</w:t>
      </w:r>
      <w:r/>
    </w:p>
    <w:p>
      <w:pPr>
        <w:pStyle w:val="945"/>
        <w:pBdr/>
        <w:spacing w:after="0" w:before="0" w:line="360" w:lineRule="auto"/>
        <w:ind w:right="0" w:firstLine="709" w:left="0"/>
        <w:jc w:val="left"/>
        <w:rPr/>
      </w:pPr>
      <w:r/>
      <w:bookmarkStart w:id="511" w:name="_Toc11"/>
      <w:r/>
      <w:bookmarkStart w:id="103" w:name="bm_211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2.1.1 Разработка диаграммы прецедентов</w:t>
      </w:r>
      <w:bookmarkEnd w:id="103"/>
      <w:r/>
      <w:bookmarkEnd w:id="511"/>
      <w:r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Диаграмма прецедентов (Use Case Diagram) представляет собой графическую модель функциональных требований к 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истеме, описывающую взаимодействие внешних участников (акторов) с функциями (прецедентами) разрабатываемой системы. [13] Применение данной нотации обусловлено необходимостью формализации границ системы и перечня её функций до начала технической реализации.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мессенджере Aurora выделено три категории действующих лиц. Гость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—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незарегистрированный пользователь, взаимодействие которого с системой ограничено операциями регистрации и авторизации. Авторизованный пользователь располагает полным набором функций: отправка текстовых сообщений и медиафайлов, создание групп и каналов, по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дписка на публичные каналы, поиск по переписке, реакции на сообщения, управление профилем и организация чатов по папкам. Администратор расширяет права пользователя функциями обработки обращений в службу технической поддержки и управления учётными записями.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Диаграмма прецедентов мессенджера Aurora представлена на рисунке 1.</w:t>
      </w:r>
      <w:r/>
    </w:p>
    <w:p>
      <w:pPr>
        <w:pBdr/>
        <w:spacing w:after="60" w:before="120"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08600" cy="381316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1293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5708600" cy="38131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49.50pt;height:300.25pt;mso-wrap-distance-left:0.00pt;mso-wrap-distance-top:0.00pt;mso-wrap-distance-right:0.00pt;mso-wrap-distance-bottom:0.00pt;rotation:0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  <w:r/>
    </w:p>
    <w:p>
      <w:pPr>
        <w:pBdr/>
        <w:spacing w:line="360" w:lineRule="auto"/>
        <w:ind/>
        <w:jc w:val="center"/>
        <w:rPr>
          <w:b w:val="0"/>
          <w:bCs w:val="0"/>
          <w:i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Рисунок 1 – Диаграмма прецедентов мессенджера Aurora</w:t>
      </w:r>
      <w:r>
        <w:rPr>
          <w:b w:val="0"/>
          <w:bCs w:val="0"/>
          <w:i w:val="0"/>
        </w:rPr>
      </w:r>
      <w:r>
        <w:rPr>
          <w:b w:val="0"/>
          <w:bCs w:val="0"/>
          <w:i w:val="0"/>
        </w:rPr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рамках разрабатываемой подсистемы хранения данных, поиска и медиафайлов реализованы следующие основные прецеденты.</w:t>
      </w:r>
      <w:r/>
    </w:p>
    <w:p>
      <w:pPr>
        <w:pStyle w:val="935"/>
        <w:numPr>
          <w:ilvl w:val="0"/>
          <w:numId w:val="18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отправка текстового сообщения — пользователь формирует сообщение и передаёт его через WebSocket-соединение; сервер сохраняет запись в таблице messages (личная переписка) или group_messages (групповые чаты); [12]</w:t>
      </w:r>
      <w:r/>
    </w:p>
    <w:p>
      <w:pPr>
        <w:pStyle w:val="935"/>
        <w:numPr>
          <w:ilvl w:val="0"/>
          <w:numId w:val="18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загрузка истории переписки — при открытии диалога клиент запрашивает последние N сообщений; сервер выполняет выборку с сортировкой по убыванию временной метки и возвращает постраничный список; [12]</w:t>
      </w:r>
      <w:r/>
    </w:p>
    <w:p>
      <w:pPr>
        <w:pStyle w:val="935"/>
        <w:numPr>
          <w:ilvl w:val="0"/>
          <w:numId w:val="18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полнотекстовый поиск — пользователь вводит поисковый запрос; сервер выполняет поиск вхождений подстроки оператором LIKE по полю message_text с фильтрацией по правам доступа; [43]</w:t>
      </w:r>
      <w:r/>
    </w:p>
    <w:p>
      <w:pPr>
        <w:pStyle w:val="935"/>
        <w:numPr>
          <w:ilvl w:val="0"/>
          <w:numId w:val="18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загрузка медиафайла — файл передаётся в облачное хранилище Cloudinary через официальный SDK; полученный публичный URL сохраняется в базе данных; [46]</w:t>
      </w:r>
      <w:r/>
    </w:p>
    <w:p>
      <w:pPr>
        <w:pStyle w:val="935"/>
        <w:numPr>
          <w:ilvl w:val="0"/>
          <w:numId w:val="18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мягкое удаление сообщения — запись не удаляется физически, а помечается флагом is_deleted = TRUE, что сохраняет целостность цепочек цитирования; [12]</w:t>
      </w:r>
      <w:r/>
    </w:p>
    <w:p>
      <w:pPr>
        <w:pStyle w:val="935"/>
        <w:numPr>
          <w:ilvl w:val="0"/>
          <w:numId w:val="18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реакции на сообщения — запись добавляется в таблицу message_reactions; событие рассылается через WebSocket всем участникам диалога в реальном времени; [21]</w:t>
      </w:r>
      <w:r/>
    </w:p>
    <w:p>
      <w:pPr>
        <w:pStyle w:val="935"/>
        <w:numPr>
          <w:ilvl w:val="0"/>
          <w:numId w:val="18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управление группами и каналами — создание, редактирование и удаление записей в таблицах groups и group_members, назначение ролей участников. [12]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Разработанная диаграмма прецедентов позволила формализовать функциональные требования к подсистеме и служит основой для проектирования модели данных и архитектуры.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Диаграмма прецедентов не описывает внутреннюю реализацию системы и не определяет порядок выполнения операций. Её назначение — зафиксировать, что система должна делать с точки зрения внешних участников, не вдаваясь в технические детали. [7]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Каждый прецедент может включать основной сценари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й (happy path) и альтернативные сценарии, охватывающие граничные случаи. Например, прецедент «Отправка сообщения» предусматривает как успешную доставку, так и ситуации недоступности адресата, превышения размера файла или отсутствия сетевого соединения. [7]</w:t>
      </w:r>
      <w:r/>
    </w:p>
    <w:p>
      <w:pPr>
        <w:pStyle w:val="945"/>
        <w:pBdr/>
        <w:spacing w:after="0" w:before="0" w:line="360" w:lineRule="auto"/>
        <w:ind w:right="0" w:firstLine="709" w:left="0"/>
        <w:jc w:val="left"/>
        <w:rPr/>
      </w:pPr>
      <w:r/>
      <w:bookmarkStart w:id="512" w:name="_Toc12"/>
      <w:r/>
      <w:bookmarkStart w:id="104" w:name="bm_212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2.1.2 Выбор инструментальных средств реализации</w:t>
      </w:r>
      <w:bookmarkEnd w:id="104"/>
      <w:r/>
      <w:bookmarkEnd w:id="512"/>
      <w:r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Выбор технологического стека осуществлялся на основе сравнительного анализа альтернативных инструментов по критериям производи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тельности, поддержки асинхронного программирования, зрелости экосистемы и применимости к задачам систем реального времени. [14] Для серверной разработки выбран язык Python версии 3.11, обладающий развитой поддержкой asyncio и широкой экосистемой библиотек.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Сравнительный анализ серверных веб-фреймворков приведён в таблице 4. В рамках анализа оценивались FastAPI, Flask и Django как наиболее распространённые решения для разработки веб-серверных приложений на языке Python в контексте задач реального времени.</w:t>
      </w:r>
      <w:r/>
    </w:p>
    <w:p>
      <w:pPr>
        <w:pBdr/>
        <w:spacing w:after="60" w:line="360" w:lineRule="auto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Таблица 4 – Сравнительный анализ серверных фреймворков</w:t>
      </w:r>
      <w:r>
        <w:rPr>
          <w:b w:val="0"/>
          <w:bCs w:val="0"/>
        </w:rPr>
      </w:r>
      <w:r>
        <w:rPr>
          <w:b w:val="0"/>
          <w:bCs w:val="0"/>
        </w:rPr>
      </w:r>
    </w:p>
    <w:tbl>
      <w:tblPr>
        <w:tblW w:w="93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200"/>
        <w:gridCol w:w="2100"/>
        <w:gridCol w:w="2000"/>
        <w:gridCol w:w="2000"/>
      </w:tblGrid>
      <w:tr>
        <w:trPr>
          <w:tblHeader/>
        </w:trPr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00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Критерий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00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FastAPI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Flask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Django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Асинхронность (asyncio/ASGI)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Нативная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Ограниченная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Ограниченная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Поддержка WebSocket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Встроенная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Через расширения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Django Channels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Автодокументация API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OpenAPI / Swagger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Отсутствует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Отсутствует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Валидация входных данных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Pydantic (автоматически)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Вручную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Serializers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Производительность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Высокая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Средняя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Средняя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Итог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Выбран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Не подходит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Не подходит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</w:tbl>
    <w:p>
      <w:pPr>
        <w:pBdr/>
        <w:spacing w:before="24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 результатам анализа, представленного в таблице 4, для реализации серверной части выбран фреймворк FastAPI. [14] Ключевыми преимуществами данного фреймво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рка являются нативная поддержка асинхронного программирования через ASGI-сервер Uvicorn, автоматическая генерация OpenAPI-документации и встроенная валидация входных данных посредством библиотеки Pydantic, что исключает ручную проверку параметров запросов.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Сравнительный анализ систем управления базами данных приведён в таблице 5. Для хранения структурированных данных мессенджера рассматривались MySQL 8, PostgreSQL и SQLite как наиболее распространённые реляционные СУБД.</w:t>
      </w:r>
      <w:r/>
    </w:p>
    <w:p>
      <w:pPr>
        <w:pBdr/>
        <w:spacing w:after="60" w:line="360" w:lineRule="auto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Таблица 5 – Сравнительный анализ систем управления базами данных</w:t>
      </w:r>
      <w:r>
        <w:rPr>
          <w:b w:val="0"/>
          <w:bCs w:val="0"/>
        </w:rPr>
      </w:r>
      <w:r>
        <w:rPr>
          <w:b w:val="0"/>
          <w:bCs w:val="0"/>
        </w:rPr>
      </w:r>
    </w:p>
    <w:tbl>
      <w:tblPr>
        <w:tblW w:w="93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200"/>
        <w:gridCol w:w="2100"/>
        <w:gridCol w:w="2000"/>
        <w:gridCol w:w="2000"/>
      </w:tblGrid>
      <w:tr>
        <w:trPr>
          <w:tblHeader/>
        </w:trPr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00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Критерий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00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MySQL 8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PostgreSQL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SQLite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ACID-транзакции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Да (InnoDB)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JSON-столбцы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Да (jsonb)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Ограниченно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Многопользовательский доступ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Нет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Контейнеризация (Docker)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Официальный образ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Официальный образ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Не требуется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Полнотекстовый поиск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Да (FULLTEXT)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Да (ts_vector)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Ограниченно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Итог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Выбрана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Альтернатива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Не подходит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before="24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основании данных таблицы 5 выбрана СУБД MySQL 8, развёрнутая в Docker-контейнере на основе официального образа. [43] Движок хранилища InnoDB обеспечивает поддержку ACID-транзакций и внешни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х ключей. Поддержка столбцов типа JSON используется для хранения метаданных вложений и настроек приватности пользователей. SQLite исключена ввиду отсутствия полноценного многопользовательского конкурентного доступа, критически необходимого для мессенджера.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хранения медиафайлов приме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няется облачный сервис Cloudinary, [46] предоставляющий REST API для загрузки файлов, CDN-доставку и автоматическую оптимизацию изображений. Клиентская часть приложения реализована на React 18 с TypeScript, обеспечивающим статическую типизацию компонентов.</w:t>
      </w:r>
      <w:r/>
    </w:p>
    <w:p>
      <w:pPr>
        <w:pBdr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Главный экран мессенджера Aurora показан на рисунке 2.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72A3D27">
      <w:pPr>
        <w:pBdr/>
        <w:spacing w:line="360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92157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18749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39789" cy="39215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0pt;height:308.7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Bdr/>
        <w:spacing w:line="360" w:lineRule="auto"/>
        <w:ind/>
        <w:jc w:val="center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2 – главный экран Aurora: боковая панель со списком чатов</w:t>
      </w:r>
      <w:r>
        <w:rPr>
          <w:bCs w:val="0"/>
          <w:i w:val="0"/>
        </w:rPr>
      </w:r>
      <w:r>
        <w:rPr>
          <w:bCs w:val="0"/>
          <w:i w:val="0"/>
        </w:rPr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Выбор асинхронной модели программирования обусловлен природой операций в мессенджере: большинство из них — это ожида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ние ввода-вывода: обращение к базе данных, передача файлов, поддержание WebSocket-соединений. Асинхронный подход позволяет одному серверному процессу обслуживать тысячи таких ожиданий одновременно, не создавая отдельного потока для каждого соединения. [38]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Библиотека aiomysql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обеспечивает неблокирующее взаимодействие с MySQL без прерывания event loop Python. В отличие от синхронных драйверов (pymysql, mysqlclient), aiomysql позволяет выполнять несколько запросов к базе данных конкурентно в рамках одного потока выполнения. [18]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Технологический стек Aurora намеренно ограничен минимально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необходимым набором инструментов. Принцип «выбирать инструмент под задачу» определил отказ от ORM-фреймворков в пользу прямых параметризованных SQL-запросов через aiomysql, что даёт полный контроль над генерируемым SQL и упрощает оптимизацию запросов. [12]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качестве основного ин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струмента взаимодействия с сервером выбран протокол HTTP/REST для синхронных операций (авторизация, получение истории при открытии чата, загрузка файлов) и WebSocket для асинхронных событий реального времени (входящие сообщения, реакции, уведомления). [21]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Принятое разделение протоколов обусловлено следующими соображениями. HTTP хорошо подход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ит для запросов типа «запрос — ответ», при которых клиент ожидает конкретного результата. WebSocket обеспечивает постоянное двунаправленное соединение, что позволяет серверу инициировать передачу данных без предварительного запроса со стороны клиента. [21]</w:t>
      </w:r>
      <w:r/>
    </w:p>
    <w:p>
      <w:pPr>
        <w:pStyle w:val="944"/>
        <w:pBdr/>
        <w:spacing w:after="0" w:before="0" w:line="360" w:lineRule="auto"/>
        <w:ind w:right="0" w:firstLine="709" w:left="0"/>
        <w:jc w:val="left"/>
        <w:rPr/>
      </w:pPr>
      <w:r/>
      <w:bookmarkStart w:id="513" w:name="_Toc13"/>
      <w:r/>
      <w:bookmarkStart w:id="105" w:name="bm_22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2.2 Проектирование базы данных</w:t>
      </w:r>
      <w:bookmarkEnd w:id="105"/>
      <w:r/>
      <w:bookmarkEnd w:id="513"/>
      <w:r/>
      <w:r/>
    </w:p>
    <w:p>
      <w:pPr>
        <w:pStyle w:val="945"/>
        <w:pBdr/>
        <w:spacing w:after="0" w:before="0" w:line="360" w:lineRule="auto"/>
        <w:ind w:right="0" w:firstLine="709" w:left="0"/>
        <w:jc w:val="left"/>
        <w:rPr/>
      </w:pPr>
      <w:r/>
      <w:bookmarkStart w:id="514" w:name="_Toc14"/>
      <w:r/>
      <w:bookmarkStart w:id="106" w:name="bm_221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2.2.1 Логическая модель данных</w:t>
      </w:r>
      <w:bookmarkEnd w:id="106"/>
      <w:r/>
      <w:bookmarkEnd w:id="514"/>
      <w:r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Логическая модель данных описывает структуру информации в терминах сущностей, их атрибутов и отношений, абстрагируясь от физических 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еталей конкретной СУБД. [8] На данном этапе определяются объекты предметной области, их свойства и правила взаимодействия; схема нормализуется до третьей нормальной формы (3НФ), что исключает транзитивные зависимости атрибутов и аномалии обновления данных.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 проектировании логической модели мессенджера Aurora решались следующие задачи.</w:t>
      </w:r>
      <w:r/>
    </w:p>
    <w:p>
      <w:pPr>
        <w:pStyle w:val="935"/>
        <w:numPr>
          <w:ilvl w:val="0"/>
          <w:numId w:val="19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определение основных сущностей системы (пользователи, сообщения, группы, реакции, папки, поддержка, теги) и их информационных атрибутов; [8]</w:t>
      </w:r>
      <w:r/>
    </w:p>
    <w:p>
      <w:pPr>
        <w:pStyle w:val="935"/>
        <w:numPr>
          <w:ilvl w:val="0"/>
          <w:numId w:val="19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установление типов отношений между сущностями: один-ко-многим (1:N) и многие-ко-многим (M:N); [34]</w:t>
      </w:r>
      <w:r/>
    </w:p>
    <w:p>
      <w:pPr>
        <w:pStyle w:val="935"/>
        <w:numPr>
          <w:ilvl w:val="0"/>
          <w:numId w:val="19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проектирование связующих сущностей для отношений M:N (УЧАСТНИК ГРУППЫ, ЧАТ В ПАПКЕ, РЕАКЦИЯ); [34]</w:t>
      </w:r>
      <w:r/>
    </w:p>
    <w:p>
      <w:pPr>
        <w:pStyle w:val="935"/>
        <w:numPr>
          <w:ilvl w:val="0"/>
          <w:numId w:val="19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определение первичных и альтернативных ключей каждой сущности. [8]</w:t>
      </w:r>
      <w:r/>
    </w:p>
    <w:p>
      <w:pPr>
        <w:pBdr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Логическая модель данных мессенджера Aurora представлена на рисунке 3.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B3645C0">
      <w:pPr>
        <w:pBdr/>
        <w:spacing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79290" cy="450646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91928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5379289" cy="45064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3.57pt;height:354.84pt;mso-wrap-distance-left:0.00pt;mso-wrap-distance-top:0.00pt;mso-wrap-distance-right:0.00pt;mso-wrap-distance-bottom:0.00pt;rotation:0;z-index:1;" stroked="false">
                <v:imagedata r:id="rId13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Bdr/>
        <w:spacing w:line="360" w:lineRule="auto"/>
        <w:ind/>
        <w:jc w:val="center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Рисунок 3 – Логическая модель данных мессенджера Aurora</w:t>
      </w:r>
      <w:r>
        <w:rPr>
          <w:bCs w:val="0"/>
          <w:i w:val="0"/>
        </w:rPr>
      </w:r>
      <w:r>
        <w:rPr>
          <w:bCs w:val="0"/>
          <w:i w:val="0"/>
        </w:rPr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Центральной сущностью модели является ПОЛЬЗОВАТЕЛЬ. Данная сущность связана отношением 1:N с сущностью ЛИЧНОЕ СООБЩЕНИЕ по двум ролям: отправитель и получа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тель. Одновременно пользователь может состоять в неограниченном числе групп — данное отношение M:N реализуется через промежуточную сущность УЧАСТНИК ГРУППЫ, фиксирующую роль участника (администратор или рядовой участник) и кастомный административный титул.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Сущность ГРУППА/КАНАЛ объединяет как групповые чаты, так и каналы (однонаправленное вещание), различаемые булевым атрибутом is_channel. [34] Связь между группой и сообщения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ми — 1:N; сообщения (как личные, так и групповые) связаны с сущностью РЕАКЦИЯ отношением 1:N, причём дискриминатор is_group определяет тип сообщения. Уникальное ограничение на сочетание (message_id, is_group, user_id, emoji) исключает дублирование реакций.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Нормализация схемы до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третьей нормальной формы обусловлена необходимостью исключения транзитивных зависимостей между атрибутами. В ненормализованной схеме изменение имени пользователя потребовало бы обновления нескольких таблиц, что создаёт риск аномалий обновления данных. [24]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Связь «многие-ко-многим» межд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 пользователями и группами реализована через промежуточную таблицу group_members с составным первичным ключом (group_id, user_id). Атрибут role в этой таблице хранит роль участника — это классический пример атрибута связи в реляционной модели данных. [16]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Применение JSON-столбцов для хранения метаданных нескольких вложений (поле files) является ко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мпромиссом между строгой нормализацией и практическим удобством. Полная нормализация потребовала бы отдельной таблицы для вложений и дополнительного JOIN-запроса при каждой выборке сообщений. JSON-столбец позволяет получить все данные в одном запросе. [17]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Нормализация базы данных —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процесс организации данных в базе данных, включающий создание таблиц и установление связей между ними в соответствии с правилами, которые обеспечивают защиту данных и делают базу данных более гибкой, устраняя избыточность и несогласованные зависимости. [8]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Реляционная модель данных была предложена американским учёным Э.Ф.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Коддом в 1970 году и основана на понятии математического отношения. Реляционная модель ориентирована на организацию данных в виде двумерных таблиц. Каждый столбец таблицы имеет уникальное имя, а все элементы одного столбца имеют одинаковый тип данных. [16]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Треть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я нормальная форма (3НФ) — нормальная форма отношения в реляционной базе данных. Отношение находится в 3НФ тогда и только тогда, когда оно находится во второй нормальной форме (2НФ) и каждый неключевой атрибут нетранзитивно зависит от первичного ключа. [8]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реляционной модели данных кажд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ая сущность представляется отдельной таблицей, а связи между сущностями реализуются через внешние ключи. Такой подход обеспечивает целостность данных на уровне СУБД: невозможно добавить запись о сообщении с несуществующим идентификатором пользователя. [24]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 выборе между денормализованной и нормализованной схемами принято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решение в пользу нормализации. Денормализация могла бы повысить производительность отдельных запросов, однако существенно усложнила бы обновление данных (например, изменение имени пользователя потребовало бы правки в нескольких таблицах одновременно). [8]</w:t>
      </w:r>
      <w:r/>
    </w:p>
    <w:p>
      <w:pPr>
        <w:pStyle w:val="945"/>
        <w:pBdr/>
        <w:spacing w:after="0" w:before="0" w:line="360" w:lineRule="auto"/>
        <w:ind w:right="0" w:firstLine="709" w:left="0"/>
        <w:jc w:val="left"/>
        <w:rPr/>
      </w:pPr>
      <w:r/>
      <w:bookmarkStart w:id="515" w:name="_Toc15"/>
      <w:r/>
      <w:bookmarkStart w:id="107" w:name="bm_222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2.2.2 Физическая схема базы данных</w:t>
      </w:r>
      <w:bookmarkEnd w:id="107"/>
      <w:r/>
      <w:bookmarkEnd w:id="515"/>
      <w:r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Физическая схема базы данных конкретизирует логическую модель с учётом особенностей MySQL 8: задаются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типы данных, ограничения целостности, составные индексы и параметры движка хранилища. [43] Все таблицы используют движок InnoDB, кодировку utf8mb4 (полная поддержка Unicode и символов эмодзи) и AUTO_INCREMENT для автоматической генерации первичных ключей.</w:t>
      </w:r>
      <w:r/>
    </w:p>
    <w:p>
      <w:pPr>
        <w:pBdr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Физическая модель данных мессенджера Aurora представлена на рисунке 4.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7125AC9">
      <w:pPr>
        <w:pBdr/>
        <w:spacing w:line="360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24567" cy="461174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09159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rot="0" flipH="0" flipV="0">
                          <a:off x="0" y="0"/>
                          <a:ext cx="5324566" cy="46117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19.26pt;height:363.13pt;mso-wrap-distance-left:0.00pt;mso-wrap-distance-top:0.00pt;mso-wrap-distance-right:0.00pt;mso-wrap-distance-bottom:0.00pt;rotation:0;z-index:1;" stroked="false">
                <v:imagedata r:id="rId14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Bdr/>
        <w:spacing w:line="360" w:lineRule="auto"/>
        <w:ind/>
        <w:jc w:val="center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Рисунок 4 – Физическая модель данных мессенджера Aurora</w:t>
      </w:r>
      <w:r>
        <w:rPr>
          <w:bCs w:val="0"/>
          <w:i w:val="0"/>
        </w:rPr>
      </w:r>
      <w:r>
        <w:rPr>
          <w:bCs w:val="0"/>
          <w:i w:val="0"/>
        </w:rPr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Краткое описание таблиц базы данных приведено в таблице 6. База данных мессенджера Aurora включает двенадцать таблиц, каждая из которых отвечает за строго определённый аспект функциональности системы.</w:t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b w:val="0"/>
          <w:bCs w:val="0"/>
        </w:rPr>
      </w:r>
      <w:r/>
    </w:p>
    <w:p>
      <w:pPr>
        <w:pBdr/>
        <w:spacing w:after="60" w:line="360" w:lineRule="auto"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Таблица 6 – Таблицы базы данных мессенджера Aurora</w:t>
      </w:r>
      <w:r>
        <w:rPr>
          <w:b w:val="0"/>
          <w:bCs w:val="0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tbl>
      <w:tblPr>
        <w:tblW w:w="93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335"/>
        <w:gridCol w:w="3569"/>
        <w:gridCol w:w="3449"/>
      </w:tblGrid>
      <w:tr>
        <w:trPr>
          <w:tblHeader/>
        </w:trPr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35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Таблица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6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Назначение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4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Ключевые поля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35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users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6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Учётные записи пользователей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4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id, username, tag, email, password_hash, privacy_settings (JSON)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35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messages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6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Личная переписка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4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id, sender_id, receiver_id, message_text, files (JSON), is_deleted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35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groups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6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Группы и каналы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4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id, creator_id, name, is_channel, channel_type, invite_link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312C101A">
      <w:pPr>
        <w:pBdr/>
        <w:spacing/>
        <w:ind/>
        <w:rPr/>
      </w:pPr>
      <w:r/>
      <w:r/>
      <w:r/>
    </w:p>
    <w:p w14:paraId="287B58D8">
      <w:pPr>
        <w:pBdr/>
        <w:spacing/>
        <w:ind/>
        <w:rPr/>
      </w:pPr>
      <w:r>
        <w:rPr>
          <w:lang w:val="ru-RU"/>
        </w:rPr>
        <w:t xml:space="preserve">Продолжение таблицы 6</w:t>
      </w:r>
      <w:r/>
    </w:p>
    <w:tbl>
      <w:tblPr>
        <w:tblW w:w="93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335"/>
        <w:gridCol w:w="3569"/>
        <w:gridCol w:w="3449"/>
      </w:tblGrid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35" w:type="dxa"/>
            <w:vMerge w:val="restart"/>
          </w:tcPr>
          <w:p w14:paraId="450F3C46"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Таблица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69" w:type="dxa"/>
            <w:vMerge w:val="restart"/>
          </w:tcPr>
          <w:p w14:paraId="67C91A70"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Назначение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49" w:type="dxa"/>
            <w:vMerge w:val="restart"/>
          </w:tcPr>
          <w:p w14:paraId="37A090B4"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Ключевые поля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35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group_members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6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Участники групп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4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group_id, user_id, role, custom_title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35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group_messages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6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Сообщения в группах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4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id, group_id, sender_id, message_text, is_system, hidden_for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35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message_reactions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6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Реакции на сообщения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4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message_id, is_group, user_id, emoji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35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chat_folders / folder_chats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6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Папки для чатов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4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id, user_id, name; folder_id, chat_type, chat_id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35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post_views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6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Просмотры постов каналов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4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message_id, user_id, viewed_at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35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group_message_reads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6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Прочтение сообщений в группах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4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message_id, user_id, group_id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35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support_messages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6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Переписка с технической поддержкой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4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id, user_id, sender_id, is_admin_reply, is_read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35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blocked_users / user_tags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6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Блокировки и теги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4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blocker_id, blocked_id; user_id, tag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before="24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messages содержит составной индекс по полям (sender_id, receiver_id, timestamp) для ускорения выборки ис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тории диалога. [43] Поле files типа JSON хранит массив объектов с метаданными нескольких вложений в рамках одного сообщения. Внешние ключи с опцией ON DELETE CASCADE обеспечивают автоматическое каскадное удаление дочерних записей при удалении родительских.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Тип данных DATETIME выбран для временных меток вместо TIMESTAMP ввиду рас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ширенного диапазона значений: DATETIME охватывает период с 1000 по 9999 год, тогда как TIMESTAMP ограничен 2038 годом. Кроме того, DATETIME хранит значения независимо от часового пояса сервера, что упрощает работу с UTC-временем на стороне приложения. [43]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Кодировка utf8mb4 применяется во всех таблиц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ах для полной поддержки Unicode, включая символы эмодзи (4-байтовые коды). Стандартная кодировка utf8 в MySQL реализует только 3-байтовый UTF-8, что исключает корректное хранение эмодзи — одного из наиболее часто используемых элементов в мессенджерах. [43]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ускорения выборки истори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 диалога в таблице messages создан составной индекс по полям (sender_id, receiver_id, timestamp). Данный индекс позволяет выполнять фильтрацию по паре пользователей без полного сканирования таблицы, что критически важно при наличии миллионов записей. [43]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Внешние ключи с опцие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й ON DELETE CASCADE обеспечивают автоматическое удаление дочерних записей при удалении родительской. Например, при удалении группы автоматически удаляются все записи в group_members и group_messages. Это предотвращает накопление «осиротевших» записей. [17]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Использование типа BOOL (алиас TINYINT(1) в MySQL) для флагов состояния (is_deleted, is_read, delivered) обеспечивает минимальный объём хранения и высокую скорость фильтрации при наличии индекса. Каждый флаг занимает 1 байт и допускает индексирование. [43]</w:t>
      </w:r>
      <w:r/>
    </w:p>
    <w:p>
      <w:pPr>
        <w:pStyle w:val="944"/>
        <w:pBdr/>
        <w:spacing w:after="0" w:before="0" w:line="360" w:lineRule="auto"/>
        <w:ind w:right="0" w:firstLine="709" w:left="0"/>
        <w:jc w:val="left"/>
        <w:rPr/>
      </w:pPr>
      <w:r/>
      <w:bookmarkStart w:id="516" w:name="_Toc16"/>
      <w:r/>
      <w:bookmarkStart w:id="108" w:name="bm_23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2.3 Проектирование архитектуры подсистемы</w:t>
      </w:r>
      <w:bookmarkEnd w:id="108"/>
      <w:r/>
      <w:bookmarkEnd w:id="516"/>
      <w:r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Архитектура подсистемы хранения данных мессенджера Aurora разработана в соответствии с принципом многоуровневого разделения ответственност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 (Separation of Concerns). [13] Система разделена на четыре архитектурных уровня: уровень представления, уровень бизнес-логики, уровень доступа к данным и уровень хранения. Такое разделение снижает связанность компонентов и упрощает сопровождение системы.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Архитектура подсистемы мессенджера Aurora представлена на рисунке 5.</w:t>
      </w:r>
      <w:r/>
    </w:p>
    <w:p>
      <w:pPr>
        <w:pBdr/>
        <w:spacing w:after="60"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93615" cy="2590822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74315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rot="0" flipH="0" flipV="0">
                          <a:off x="0" y="0"/>
                          <a:ext cx="5793615" cy="25908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6.19pt;height:204.00pt;mso-wrap-distance-left:0.00pt;mso-wrap-distance-top:0.00pt;mso-wrap-distance-right:0.00pt;mso-wrap-distance-bottom:0.00pt;rotation:0;z-index:1;" stroked="false">
                <v:imagedata r:id="rId15" o:title=""/>
                <o:lock v:ext="edit" rotation="t"/>
              </v:shape>
            </w:pict>
          </mc:Fallback>
        </mc:AlternateContent>
      </w:r>
      <w:r/>
      <w:r/>
      <w:r/>
    </w:p>
    <w:p>
      <w:pPr>
        <w:pBdr/>
        <w:spacing w:line="360" w:lineRule="auto"/>
        <w:ind/>
        <w:jc w:val="center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Рисунок 5 – Архитектура подсистемы хранения данных мессенджера Aurora</w:t>
      </w:r>
      <w:r>
        <w:rPr>
          <w:bCs w:val="0"/>
          <w:i w:val="0"/>
        </w:rPr>
      </w:r>
      <w:r>
        <w:rPr>
          <w:bCs w:val="0"/>
          <w:i w:val="0"/>
        </w:rPr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Уровень представления реализован на React 18 с TypeScript. [44] Клиентское прил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ожение взаимодействует с сервером по двум каналам: REST API (HTTP) — для синхронных операций (авторизация, управление профилем, загрузка файлов); WebSocket — для асинхронных событий реального времени (доставка сообщений, реакции, изменение статуса онлайн).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Уровень бизнес-логики реализован на Python 3.11 с фрей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мворком FastAPI. [14] Сервер запускается через ASGI-сервер Uvicorn и включает три подсистемы: обработчик REST API-запросов, WebSocket-менеджер для управления активными соединениями и модуль аутентификации на основе JWT-токенов и bcrypt-хеширования паролей.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Уровень доступа к данным пред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ставлен слоем моделей (models.py). Классы UserModel, MessageModel, GroupModel, GroupMessageModel и другие инкапсулируют все SQL-запросы к базе данных. [12] Взаимодействие с MySQL осуществляется через пул соединений DatabasePool на базе библиотеки aiomysql.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Уровень хранения данных включает MySQL 8 в Docker-контейнере для структурированных реляционных данных [43] и облачный сервис Cloudinary для медиафайлов. [46]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Взаимодействие между уровнями системы построено по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принципу однонаправленной зависимости: каждый вышестоящий уровень обращается к нижестоящему, но не наоборот. Уровень бизнес-логики использует уровень доступа к данным, тогда как уровень доступа к данным не содержит ссылок на компоненты бизнес-логики. [20]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Конфигурация системы (параметры 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одключения к базе данных, ключ подписи JWT, учётные данные Cloudinary) вынесена в переменные окружения и не хранится в исходном коде. Это соответствует принципу «12-факторного приложения» и обеспечивает безопасное развёртывание в различных окружениях. [32]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Развёртывание MySQL в Docker-контейнере обеспечивает воспроизводимость среды разработки и продуктивного окружения. Все компоненты системы описываются в файле docker-compose.yml, что позволяет запустить весь стек одной командой: docker compose up. [41]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Многоуровневая архитектура — клиент-серверная архитектура, в которой функции представления, обработки да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нных и управления данными физически разделены. Наиболее распространённой разновидностью является трёхуровневая архитектура, включающая уровень представления (клиент), уровень логики приложения (сервер приложений) и уровень данных (сервер базы данных). [29]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REST (Representational State Transfer) — архитектурный стиль взаимодействия компонентов распределённого приложения в сети. REST представляет собой согласованный набор ограничений, учитываемых при проектировании распределённой гипермедиа-системы. [19]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 разделения ответственности (Separation of Concerns) — принцип проектирования программного обеспечения, согласно которому программа должна быть разделена на отдельные части таким образом, чтобы каждая часть решала отдельную конкретную задачу. [20]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Модуль аутентификации реализует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выдачу JWT-токенов с ограниченным сроком действия. JWT (JSON Web Token) — открытый стандарт RFC 7519, определяющий компактный и самодостаточный способ безопасной передачи информации между сторонами в виде JSON-объекта, подписанного цифровой подписью. [12]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Хеширование паролей выполняется алгоритмом bcrypt с автоматически генерируемой солью. Этот алгоритм специально разработан для хеширования паролей: он намеренно медленный, что делает перебор по словарю вычислительно нецелесообразным. [12]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Разделение серверного приложения и базы данных на отдельные Docker-контейнеры обеспечивает независимость их ж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изненных циклов: перезапуск приложения не приводит к остановке базы данных, и наоборот. Кроме того, такой подход упрощает масштабирование: при необходимости можно запустить несколько экземпляров серверного приложения, подключённых к одной базе данных. [41]</w:t>
      </w:r>
      <w:r/>
    </w:p>
    <w:p>
      <w:pPr>
        <w:pStyle w:val="944"/>
        <w:pBdr/>
        <w:spacing w:after="0" w:before="0" w:line="360" w:lineRule="auto"/>
        <w:ind w:right="0" w:firstLine="709" w:left="0"/>
        <w:jc w:val="left"/>
        <w:rPr/>
      </w:pPr>
      <w:r/>
      <w:bookmarkStart w:id="517" w:name="_Toc17"/>
      <w:r/>
      <w:bookmarkStart w:id="109" w:name="bm_24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2.4 Реализация пула соединений с базой данных</w:t>
      </w:r>
      <w:bookmarkEnd w:id="109"/>
      <w:r/>
      <w:bookmarkEnd w:id="517"/>
      <w:r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Все обращения к СУБД MySQL выполняются через класс DatabasePool, реализующий паттерн проектирования «Одиночка»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Singleton) применительно к пулу соединений на базе библиотеки aiomysql. [18] Применение пула соединений исключает накладные расходы на повторное установление TCP-соединения при каждом запросе, что критически важно при высоком уровне конкурентных обращений.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Параметры minsize=5 и maxsize=20 задают допустимый диапазон числа одновременно открытых соединений. При за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пуске сервера создаётся 5 постоянных соединений, исключающих задержку первого обращения. При возрастании нагрузки пул автоматически открывает дополнительные соединения вплоть до заданного максимума. Реализация класса DatabasePool представлена в листинге 1.</w:t>
      </w:r>
      <w:r/>
    </w:p>
    <w:p>
      <w:pPr>
        <w:pBdr/>
        <w:spacing w:line="360" w:lineRule="auto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Листинг 1 – Класс DatabasePool (server/app/models.py)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highlight w:val="none"/>
        </w:rPr>
        <w:t xml:space="preserve">class DatabasePool:</w:t>
      </w:r>
      <w:r>
        <w:rPr>
          <w:rFonts w:ascii="Times New Roman" w:hAnsi="Times New Roman" w:eastAsia="Times New Roman" w:cs="Times New Roman"/>
          <w:i/>
          <w:iCs/>
          <w:sz w:val="32"/>
          <w:szCs w:val="32"/>
          <w:highlight w:val="none"/>
        </w:rPr>
      </w:r>
      <w:r>
        <w:rPr>
          <w:rFonts w:ascii="Times New Roman" w:hAnsi="Times New Roman" w:cs="Times New Roman"/>
          <w:bCs/>
          <w:i/>
          <w:sz w:val="32"/>
          <w:szCs w:val="32"/>
          <w:highlight w:val="none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highlight w:val="none"/>
        </w:rPr>
        <w:t xml:space="preserve">    _pool = None</w:t>
      </w:r>
      <w:r>
        <w:rPr>
          <w:rFonts w:ascii="Times New Roman" w:hAnsi="Times New Roman" w:eastAsia="Times New Roman" w:cs="Times New Roman"/>
          <w:i/>
          <w:iCs/>
          <w:sz w:val="32"/>
          <w:szCs w:val="32"/>
          <w:highlight w:val="none"/>
        </w:rPr>
      </w:r>
      <w:r>
        <w:rPr>
          <w:rFonts w:ascii="Times New Roman" w:hAnsi="Times New Roman" w:cs="Times New Roman"/>
          <w:bCs/>
          <w:i/>
          <w:sz w:val="32"/>
          <w:szCs w:val="32"/>
          <w:highlight w:val="none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i/>
          <w:iCs/>
          <w:sz w:val="32"/>
          <w:szCs w:val="32"/>
          <w:highlight w:val="none"/>
        </w:rPr>
      </w:r>
      <w:r>
        <w:rPr>
          <w:rFonts w:ascii="Times New Roman" w:hAnsi="Times New Roman" w:cs="Times New Roman"/>
          <w:bCs/>
          <w:i/>
          <w:sz w:val="32"/>
          <w:szCs w:val="32"/>
          <w:highlight w:val="none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highlight w:val="none"/>
        </w:rPr>
        <w:t xml:space="preserve">    @classmethod</w:t>
      </w:r>
      <w:r>
        <w:rPr>
          <w:rFonts w:ascii="Times New Roman" w:hAnsi="Times New Roman" w:eastAsia="Times New Roman" w:cs="Times New Roman"/>
          <w:i/>
          <w:iCs/>
          <w:sz w:val="32"/>
          <w:szCs w:val="32"/>
          <w:highlight w:val="none"/>
        </w:rPr>
      </w:r>
      <w:r>
        <w:rPr>
          <w:rFonts w:ascii="Times New Roman" w:hAnsi="Times New Roman" w:cs="Times New Roman"/>
          <w:bCs/>
          <w:i/>
          <w:sz w:val="32"/>
          <w:szCs w:val="32"/>
          <w:highlight w:val="none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highlight w:val="none"/>
        </w:rPr>
        <w:t xml:space="preserve">    async def get_pool(cls):</w:t>
      </w:r>
      <w:r>
        <w:rPr>
          <w:rFonts w:ascii="Times New Roman" w:hAnsi="Times New Roman" w:eastAsia="Times New Roman" w:cs="Times New Roman"/>
          <w:i/>
          <w:iCs/>
          <w:sz w:val="32"/>
          <w:szCs w:val="32"/>
          <w:highlight w:val="none"/>
        </w:rPr>
      </w:r>
      <w:r>
        <w:rPr>
          <w:rFonts w:ascii="Times New Roman" w:hAnsi="Times New Roman" w:cs="Times New Roman"/>
          <w:bCs/>
          <w:i/>
          <w:sz w:val="32"/>
          <w:szCs w:val="32"/>
          <w:highlight w:val="none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highlight w:val="none"/>
        </w:rPr>
        <w:t xml:space="preserve">        if cls._pool is None:</w:t>
      </w:r>
      <w:r>
        <w:rPr>
          <w:rFonts w:ascii="Times New Roman" w:hAnsi="Times New Roman" w:eastAsia="Times New Roman" w:cs="Times New Roman"/>
          <w:i/>
          <w:iCs/>
          <w:sz w:val="32"/>
          <w:szCs w:val="32"/>
          <w:highlight w:val="none"/>
        </w:rPr>
      </w:r>
      <w:r>
        <w:rPr>
          <w:rFonts w:ascii="Times New Roman" w:hAnsi="Times New Roman" w:cs="Times New Roman"/>
          <w:bCs/>
          <w:i/>
          <w:sz w:val="32"/>
          <w:szCs w:val="32"/>
          <w:highlight w:val="none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highlight w:val="none"/>
        </w:rPr>
        <w:t xml:space="preserve">            cls._pool = await aiomysql.create_pool(</w:t>
      </w:r>
      <w:r>
        <w:rPr>
          <w:rFonts w:ascii="Times New Roman" w:hAnsi="Times New Roman" w:eastAsia="Times New Roman" w:cs="Times New Roman"/>
          <w:i/>
          <w:iCs/>
          <w:sz w:val="32"/>
          <w:szCs w:val="32"/>
          <w:highlight w:val="none"/>
        </w:rPr>
      </w:r>
      <w:r>
        <w:rPr>
          <w:rFonts w:ascii="Times New Roman" w:hAnsi="Times New Roman" w:cs="Times New Roman"/>
          <w:bCs/>
          <w:i/>
          <w:sz w:val="32"/>
          <w:szCs w:val="32"/>
          <w:highlight w:val="none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highlight w:val="none"/>
        </w:rPr>
        <w:t xml:space="preserve">                host=config.MYSQL_HOST,   port=config.MYSQL_PORT,</w:t>
      </w:r>
      <w:r>
        <w:rPr>
          <w:rFonts w:ascii="Times New Roman" w:hAnsi="Times New Roman" w:eastAsia="Times New Roman" w:cs="Times New Roman"/>
          <w:i/>
          <w:iCs/>
          <w:sz w:val="32"/>
          <w:szCs w:val="32"/>
          <w:highlight w:val="none"/>
        </w:rPr>
      </w:r>
      <w:r>
        <w:rPr>
          <w:rFonts w:ascii="Times New Roman" w:hAnsi="Times New Roman" w:cs="Times New Roman"/>
          <w:bCs/>
          <w:i/>
          <w:sz w:val="32"/>
          <w:szCs w:val="32"/>
          <w:highlight w:val="none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highlight w:val="none"/>
        </w:rPr>
        <w:t xml:space="preserve">                user=config.MYSQL_USER,   password=config.MYSQL_PASSWORD,</w:t>
      </w:r>
      <w:r>
        <w:rPr>
          <w:rFonts w:ascii="Times New Roman" w:hAnsi="Times New Roman" w:eastAsia="Times New Roman" w:cs="Times New Roman"/>
          <w:i/>
          <w:iCs/>
          <w:sz w:val="32"/>
          <w:szCs w:val="32"/>
          <w:highlight w:val="none"/>
        </w:rPr>
      </w:r>
      <w:r>
        <w:rPr>
          <w:rFonts w:ascii="Times New Roman" w:hAnsi="Times New Roman" w:cs="Times New Roman"/>
          <w:bCs/>
          <w:i/>
          <w:sz w:val="32"/>
          <w:szCs w:val="32"/>
          <w:highlight w:val="none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highlight w:val="none"/>
        </w:rPr>
        <w:t xml:space="preserve">                db=config.MYSQL_DATABASE, autocommit=True,</w:t>
      </w:r>
      <w:r>
        <w:rPr>
          <w:rFonts w:ascii="Times New Roman" w:hAnsi="Times New Roman" w:eastAsia="Times New Roman" w:cs="Times New Roman"/>
          <w:i/>
          <w:iCs/>
          <w:sz w:val="32"/>
          <w:szCs w:val="32"/>
          <w:highlight w:val="none"/>
        </w:rPr>
      </w:r>
      <w:r>
        <w:rPr>
          <w:rFonts w:ascii="Times New Roman" w:hAnsi="Times New Roman" w:cs="Times New Roman"/>
          <w:bCs/>
          <w:i/>
          <w:sz w:val="32"/>
          <w:szCs w:val="32"/>
          <w:highlight w:val="none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highlight w:val="none"/>
        </w:rPr>
        <w:t xml:space="preserve">                minsize=5,    # минимальный размер пула</w:t>
      </w:r>
      <w:r>
        <w:rPr>
          <w:rFonts w:ascii="Times New Roman" w:hAnsi="Times New Roman" w:eastAsia="Times New Roman" w:cs="Times New Roman"/>
          <w:i/>
          <w:iCs/>
          <w:sz w:val="32"/>
          <w:szCs w:val="32"/>
          <w:highlight w:val="none"/>
        </w:rPr>
      </w:r>
      <w:r>
        <w:rPr>
          <w:rFonts w:ascii="Times New Roman" w:hAnsi="Times New Roman" w:cs="Times New Roman"/>
          <w:bCs/>
          <w:i/>
          <w:sz w:val="32"/>
          <w:szCs w:val="32"/>
          <w:highlight w:val="none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highlight w:val="none"/>
        </w:rPr>
        <w:t xml:space="preserve">                maxsize=20,   # максимальный размер при пиковой нагрузке</w:t>
      </w:r>
      <w:r>
        <w:rPr>
          <w:rFonts w:ascii="Times New Roman" w:hAnsi="Times New Roman" w:eastAsia="Times New Roman" w:cs="Times New Roman"/>
          <w:i/>
          <w:iCs/>
          <w:sz w:val="32"/>
          <w:szCs w:val="32"/>
          <w:highlight w:val="none"/>
        </w:rPr>
      </w:r>
      <w:r>
        <w:rPr>
          <w:rFonts w:ascii="Times New Roman" w:hAnsi="Times New Roman" w:cs="Times New Roman"/>
          <w:bCs/>
          <w:i/>
          <w:sz w:val="32"/>
          <w:szCs w:val="32"/>
          <w:highlight w:val="none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highlight w:val="none"/>
        </w:rPr>
        <w:t xml:space="preserve">                charset="utf8mb4", use_unicode=True</w:t>
      </w:r>
      <w:r>
        <w:rPr>
          <w:rFonts w:ascii="Times New Roman" w:hAnsi="Times New Roman" w:eastAsia="Times New Roman" w:cs="Times New Roman"/>
          <w:i/>
          <w:iCs/>
          <w:sz w:val="32"/>
          <w:szCs w:val="32"/>
          <w:highlight w:val="none"/>
        </w:rPr>
      </w:r>
      <w:r>
        <w:rPr>
          <w:rFonts w:ascii="Times New Roman" w:hAnsi="Times New Roman" w:cs="Times New Roman"/>
          <w:bCs/>
          <w:i/>
          <w:sz w:val="32"/>
          <w:szCs w:val="32"/>
          <w:highlight w:val="none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highlight w:val="none"/>
        </w:rPr>
        <w:t xml:space="preserve">            )</w:t>
      </w:r>
      <w:r>
        <w:rPr>
          <w:rFonts w:ascii="Times New Roman" w:hAnsi="Times New Roman" w:eastAsia="Times New Roman" w:cs="Times New Roman"/>
          <w:i/>
          <w:iCs/>
          <w:sz w:val="32"/>
          <w:szCs w:val="32"/>
          <w:highlight w:val="none"/>
        </w:rPr>
      </w:r>
      <w:r>
        <w:rPr>
          <w:rFonts w:ascii="Times New Roman" w:hAnsi="Times New Roman" w:cs="Times New Roman"/>
          <w:bCs/>
          <w:i/>
          <w:sz w:val="32"/>
          <w:szCs w:val="32"/>
          <w:highlight w:val="none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highlight w:val="none"/>
        </w:rPr>
        <w:t xml:space="preserve">        return cls._pool</w:t>
      </w:r>
      <w:r>
        <w:rPr>
          <w:rFonts w:ascii="Times New Roman" w:hAnsi="Times New Roman" w:eastAsia="Times New Roman" w:cs="Times New Roman"/>
          <w:i/>
          <w:iCs/>
          <w:sz w:val="32"/>
          <w:szCs w:val="32"/>
          <w:highlight w:val="none"/>
        </w:rPr>
      </w:r>
      <w:r>
        <w:rPr>
          <w:rFonts w:ascii="Times New Roman" w:hAnsi="Times New Roman" w:cs="Times New Roman"/>
          <w:bCs/>
          <w:i/>
          <w:sz w:val="32"/>
          <w:szCs w:val="32"/>
          <w:highlight w:val="none"/>
        </w:rPr>
      </w:r>
    </w:p>
    <w:p>
      <w:pPr>
        <w:pBdr/>
        <w:spacing w:before="24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Каждый метод модели получает соединение конструкцией async with pool.acquire() as conn, которая автоматически возвращает соединение в пул по завершении блока вне зависимости от результата операции.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Асинхронная модель управления соединениями позволяет эффективно использовать ресурсы серв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ера. При синхронном подходе каждое соединение с базой данных блокировало бы отдельный поток операционной системы на время ожидания ответа. При высокой нагрузке это приводит к созданию тысяч потоков, что нерационально с точки зрения потребления памяти. [38]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Параметр autocommit=True означает автоматическую фиксацию каждой транзакции после вы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полнения запроса. Это упрощает код методов: не требуется явный вызов commit() после каждого INSERT или UPDATE. Для операций, требующих атомарного выполнения нескольких изменений, автокоммит может быть временно отключён на уровне отдельного соединения. [18]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Метод Da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tabasePool.close() вызывается в обработчике события завершения работы приложения (shutdown event FastAPI). Корректное закрытие пула важно для освобождения ресурсов на стороне MySQL-сервера и предотвращения утечек соединений при перезапуске приложения. [12]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Пул соединений решает проблему высокой стоимости уст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ановления TCP-соединения с базой данных. Каждое новое соединение требует трёхэтапного TCP-рукопожатия, аутентификации в СУБД и выделения ресурсов на стороне сервера. При высокой нагрузке (тысячи запросов в секунду) эти затраты становятся узким местом. [18]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Выбранные параметры пула (minsize=5, maxsize=20) обоснованы ожидаемым уровнем нагрузки на начальном этапе. При росте числа пользователей параметры могут быть увеличены без изменения кода приложения — достаточно обновить значения переменных окружения. [18]</w:t>
      </w:r>
      <w:r/>
    </w:p>
    <w:p>
      <w:pPr>
        <w:pStyle w:val="944"/>
        <w:pBdr/>
        <w:spacing w:after="0" w:before="0" w:line="360" w:lineRule="auto"/>
        <w:ind w:right="0" w:firstLine="709" w:left="0"/>
        <w:jc w:val="left"/>
        <w:rPr/>
      </w:pPr>
      <w:r/>
      <w:bookmarkStart w:id="518" w:name="_Toc18"/>
      <w:r/>
      <w:bookmarkStart w:id="110" w:name="bm_25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2.5 Реализация модуля хранения и управления историей сообщений</w:t>
      </w:r>
      <w:bookmarkEnd w:id="110"/>
      <w:r/>
      <w:bookmarkEnd w:id="518"/>
      <w:r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Модуль хранения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реализован в классе MessageModel и обеспечивает полный цикл операций с личными сообщениями: запись, постраничное чтение, редактирование и мягкое удаление. [12] Аналогичный класс GroupMessageModel реализует те же операции для сообщений в группах и каналах.</w:t>
      </w:r>
      <w:r/>
    </w:p>
    <w:p>
      <w:pPr>
        <w:pStyle w:val="945"/>
        <w:pBdr/>
        <w:spacing w:after="0" w:before="0" w:line="360" w:lineRule="auto"/>
        <w:ind w:right="0" w:firstLine="709" w:left="0"/>
        <w:jc w:val="left"/>
        <w:rPr/>
      </w:pPr>
      <w:r/>
      <w:bookmarkStart w:id="519" w:name="_Toc19"/>
      <w:r/>
      <w:bookmarkStart w:id="111" w:name="bm_251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2.5.1 Запись и чтение сообщений</w:t>
      </w:r>
      <w:bookmarkEnd w:id="111"/>
      <w:r/>
      <w:bookmarkEnd w:id="519"/>
      <w:r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Метод save_message выполняет вставку новой записи в таблицу messages с использованием параметризованного SQL-запроса. [43]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Параметризация предотвращает атаки типа SQL-инъекция. Метод возвращает lastrowid — идентификатор, присвоенный базой данных автоматически через AUTO_INCREMENT, который передаётся клиенту в подтверждении доставки. Реализация метода представлена в листинге 2.</w:t>
      </w:r>
      <w:r/>
    </w:p>
    <w:p>
      <w:pPr>
        <w:pBdr/>
        <w:spacing w:line="360" w:lineRule="auto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Листинг 2 – Метод MessageModel.save_message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@staticmethod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async def save_message(sender_id: int, receiver_id: int,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   message_text: str = None,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   file_path: str = None, filename: str = None,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   file_size: int = None, reply_to_id: int = None,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   files: str = None) -&gt; Optional[int]: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pool = await DatabasePool.get_pool()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async with pool.acquire() as conn: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async with conn.cursor() as cur: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await cur.execute("""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INSERT INTO messages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(sender_id, receiver_id, message_text,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file_path, filename, file_size, reply_to_id, files)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VALUES (%s, %s, %s, %s, %s, %s, %s, %s)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""", (sender_id, receiver_id, message_text,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file_path, filename, file_size, reply_to_id, files))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return cur.lastrowid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pacing w:before="24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получения истории переписки реализован метод get_conversation, применяющий пагинаци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ю на основе параметра LIMIT. [43] Запрос выбирает сообщения с сортировкой ORDER BY timestamp DESC, после чего список разворачивается в хронологическом порядке для корректного отображения в клиентском приложении. Реализация метода представлена в листинге 3.</w:t>
      </w:r>
      <w:r/>
    </w:p>
    <w:p>
      <w:pPr>
        <w:pBdr/>
        <w:spacing w:line="360" w:lineRule="auto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Листинг 3 – Метод MessageModel.get_conversation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@staticmethod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async def get_conversation(user1_id: int, user2_id: int,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       limit: int = 50) -&gt; List[Dict]: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pool = await DatabasePool.get_pool()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async with pool.acquire() as conn: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async with conn.cursor(aiomysql.DictCursor) as cur: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await cur.execute("""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SELECT m.id, m.sender_id, m.receiver_id,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   m.message_text, m.timestamp,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   m.reply_to_id, m.files,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   COALESCE(m.is_read, 0) as is_read,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   u1.username as sender_name,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   u2.username as receiver_name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FROM messages m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JOIN users u1 ON m.sender_id = u1.id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JOIN users u2 ON m.receiver_id = u2.id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WHERE ((m.sender_id = %s AND m.receiver_id = %s)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OR (m.sender_id = %s AND m.receiver_id = %s))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AND m.is_deleted = 0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AND NOT (m.sender_id = %s AND m.deleted_by_sender = 1)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AND NOT (m.receiver_id = %s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       AND m.deleted_by_receiver = 1)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ORDER BY m.timestamp DESC LIMIT %s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""", (user1_id, user2_id, user2_id, user1_id,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user1_id, user1_id, limit))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return list(reversed(await cur.fetchall()))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pacing w:before="24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Запрос использует двойное условие WHERE для выборки сообщений в обоих направлениях диалога: user1→user2 и user2→user1. Фильтры deleted_by_sender и deleted_by_receiver обеспечивают корректную работу функции «удалить только для себя».</w:t>
      </w:r>
      <w:r/>
    </w:p>
    <w:p>
      <w:pPr>
        <w:pBdr/>
        <w:spacing w:line="360" w:lineRule="auto"/>
        <w:ind w:firstLine="720"/>
        <w:jc w:val="both"/>
        <w:rPr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Интерфейс личного чата с историей переписки показан на рисунке 6.</w:t>
      </w:r>
      <w:r>
        <w:rPr>
          <w:highlight w:val="none"/>
        </w:rPr>
      </w:r>
      <w:r>
        <w:rPr>
          <w:highlight w:val="none"/>
        </w:rPr>
      </w:r>
    </w:p>
    <w:p w14:paraId="00F2900E">
      <w:pPr>
        <w:pBdr/>
        <w:spacing w:line="360" w:lineRule="auto"/>
        <w:ind w:firstLine="0"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11067" cy="3957952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86950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rot="0" flipH="0" flipV="0">
                          <a:off x="0" y="0"/>
                          <a:ext cx="4511067" cy="39579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55.20pt;height:311.65pt;mso-wrap-distance-left:0.00pt;mso-wrap-distance-top:0.00pt;mso-wrap-distance-right:0.00pt;mso-wrap-distance-bottom:0.00pt;rotation:0;z-index:1;" stroked="false">
                <v:imagedata r:id="rId16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/>
    </w:p>
    <w:p>
      <w:pPr>
        <w:pBdr/>
        <w:spacing w:line="360" w:lineRule="auto"/>
        <w:ind/>
        <w:jc w:val="center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lang w:val="ru-RU"/>
        </w:rPr>
        <w:t xml:space="preserve">Рисунок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 6 – окно личного чата с историей сообщений и полем ввода</w:t>
      </w:r>
      <w:r>
        <w:rPr>
          <w:bCs w:val="0"/>
          <w:i w:val="0"/>
        </w:rPr>
      </w:r>
      <w:r>
        <w:rPr>
          <w:bCs w:val="0"/>
          <w:i w:val="0"/>
        </w:rPr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Функция COALESCE в з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апросе get_conversation используется для замены NULL-значения флага is_read нулём. Это необходимо для сообщений, созданных до введения поля is_read: они содержат NULL вместо 0 по умолчанию, что без COALESCE могло бы вызвать ошибки в клиентской логике. [43]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запросе вы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полняется двойное JOIN с таблицей users: первый раз для получения имени отправителя (псевдоним u1), второй — для получения имени получателя (псевдоним u2). Такой подход позволяет получить все необходимые данные в рамках одного обращения к базе данных. [24]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Метод get_conversation принимает параметр limit со значением по умол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чанию 50. Это означает, что при открытии чата клиент получает последние 50 сообщений — достаточное количество для отображения на экране устройства без избыточной нагрузки на базу данных. При прокрутке истории вверх клиент запрашивает следующую порцию. [43]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Временны́е ме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тки сообщений хранятся в UTC и конвертируются в локальный часовой пояс на стороне клиента. Это исключает проблемы с отображением времени при смене часового пояса пользователем или при работе с несколькими устройствами в разных географических регионах. [12]</w:t>
      </w:r>
      <w:r/>
    </w:p>
    <w:p>
      <w:pPr>
        <w:pStyle w:val="945"/>
        <w:pBdr/>
        <w:spacing w:after="0" w:before="0" w:line="360" w:lineRule="auto"/>
        <w:ind w:right="0" w:firstLine="709" w:left="0"/>
        <w:jc w:val="left"/>
        <w:rPr/>
      </w:pPr>
      <w:r/>
      <w:bookmarkStart w:id="520" w:name="_Toc20"/>
      <w:r/>
      <w:bookmarkStart w:id="112" w:name="bm_252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2.5.2 Редактирование и удаление сообщений</w:t>
      </w:r>
      <w:bookmarkEnd w:id="112"/>
      <w:r/>
      <w:bookmarkEnd w:id="520"/>
      <w:r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Редактирование текста сообщения выполняется запросом UPDATE, обновляющим одновременно текст и поле edited_at через функцию NOW(). [43] Наличие поля edited_at позволяет клиентскому приложению отображать маркер «изменено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» рядом с отредактированным сообщением. Удаление реализовано по принципу мягкого удаления (soft delete): физическое стирание записи не производится, вместо этого флаг is_deleted устанавливается в значение TRUE. Реализация методов представлена в листинге 4.</w:t>
      </w:r>
      <w:r/>
    </w:p>
    <w:p>
      <w:pPr>
        <w:pBdr/>
        <w:spacing w:line="360" w:lineRule="auto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Листинг 4 – Методы update_message и delete_message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async def update_message(message_id: int, new_text: str) -&gt; bool: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pool = await DatabasePool.get_pool()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async with pool.acquire() as conn: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async with conn.cursor() as cur: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await cur.execute(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"UPDATE messages SET message_text=%s,"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" edited_at=NOW() WHERE id=%s",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(new_text, message_id))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return cur.rowcount &gt; 0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async def delete_message(message_id: int, for_self: bool = False,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     current_user_id: int = None) -&gt; bool: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pool = await DatabasePool.get_pool()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async with pool.acquire() as conn: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async with conn.cursor() as cur: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if for_self and current_user_id: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# Мягкое удаление только для себя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await cur.execute("""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UPDATE messages SET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  deleted_by_sender = CASE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    WHEN sender_id=%s THEN 1 ELSE deleted_by_sender END,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  deleted_by_receiver = CASE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    WHEN receiver_id=%s THEN 1 ELSE deleted_by_receiver END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WHERE id=%s""",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(current_user_id, current_user_id, message_id))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else: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await cur.execute(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"UPDATE messages SET is_deleted=TRUE WHERE id=%s",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(message_id,))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return cur.rowcount &gt; 0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pacing w:before="24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Применение мягкого удаления обусловлено тре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бованием сохранения целостности цепочек цитирования: физически удалённое сообщение делает ссылки reply_to_id из других сообщений неактивными. При мягком удалении клиентское приложение отображает заглушку «Сообщение удалено» без нарушения структуры диалога.</w:t>
      </w:r>
      <w:r/>
    </w:p>
    <w:p>
      <w:pPr>
        <w:pBdr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Контекстное меню операций над сообщением показано на рисунке 7.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961D033">
      <w:pPr>
        <w:pBdr/>
        <w:spacing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60012" cy="3744647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44405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rot="0" flipH="0" flipV="0">
                          <a:off x="0" y="0"/>
                          <a:ext cx="2560011" cy="37446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01.58pt;height:294.85pt;mso-wrap-distance-left:0.00pt;mso-wrap-distance-top:0.00pt;mso-wrap-distance-right:0.00pt;mso-wrap-distance-bottom:0.00pt;rotation:0;z-index:1;" stroked="false">
                <v:imagedata r:id="rId17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Bdr/>
        <w:spacing w:line="360" w:lineRule="auto"/>
        <w:ind/>
        <w:jc w:val="center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lang w:val="ru-RU"/>
        </w:rPr>
        <w:t xml:space="preserve">Рисунок 7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 – контекстное меню сообщения в групповом чате</w:t>
      </w:r>
      <w:r>
        <w:rPr>
          <w:bCs w:val="0"/>
          <w:i w:val="0"/>
        </w:rPr>
      </w:r>
      <w:r>
        <w:rPr>
          <w:bCs w:val="0"/>
          <w:i w:val="0"/>
        </w:rPr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Метод mark_as_read отмечает все непрочитанные сообщения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от конкретного отправителя как прочитанные и возвращает список идентификаторов обновлённых записей. Этот список передаётся отправителю через WebSocket в виде события read_receipt, по которому клиент отображает «галочки прочтения» рядом с сообщениями. [12]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Операци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я редактирования сообщения доступна только его автору. Проверка выполняется на уровне бизнес-логики путём сравнения идентификатора текущего пользователя с полем sender_id сообщения. Попытка редактирования чужого сообщения возвращает код 403 Forbidden. [12]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Мягкое удаление сохраняет запись в базе данных, устанавливая флаг is_deleted в значение TR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UE. Все последующие запросы на получение истории фильтруют записи по условию is_deleted = 0, поэтому удалённые сообщения не отображаются пользователям. Физическое удаление устаревших записей может выполняться отдельным фоновым процессом по расписанию. [12]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Поле edi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ted_at фиксирует момент последнего редактирования и позволяет клиентскому приложению отображать пометку «изменено» рядом с отредактированными сообщениями. Это информирует участников диалога о том, что содержимое сообщения было изменено после отправки. [12]</w:t>
      </w:r>
      <w:r/>
    </w:p>
    <w:p>
      <w:pPr>
        <w:pStyle w:val="944"/>
        <w:pBdr/>
        <w:spacing w:after="0" w:before="0" w:line="360" w:lineRule="auto"/>
        <w:ind w:right="0" w:firstLine="709" w:left="0"/>
        <w:jc w:val="left"/>
        <w:rPr/>
      </w:pPr>
      <w:r/>
      <w:bookmarkStart w:id="521" w:name="_Toc21"/>
      <w:r/>
      <w:bookmarkStart w:id="113" w:name="bm_26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2.6 Реализация WebSocket-менеджера</w:t>
      </w:r>
      <w:bookmarkEnd w:id="113"/>
      <w:r/>
      <w:bookmarkEnd w:id="521"/>
      <w:r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Доставка сообщений в режиме реальн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ого времени реализована через постоянное WebSocket-соединение в соответствии с протоколом RFC 6455. [21] Класс ConnectionManager хранит словарь активных подключений вида {user_id: WebSocket} и предоставляет методы рассылки событий конкретным пользователям.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WebSocket-эндпоинт реализован по маршруту /ws/{user_id}. После установления соединения сервер регистрирует пользователя в менеджере и входит в цикл ожидания входящих JSON-сообщений. Реализация эндпоинта представлена в листинге 5.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WebSocket — протокол свя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зи поверх TCP-соединения, предназначенный для обмена сообщениями между браузером и веб-сервером в режиме реального времени. WebSocket, в отличие от HTTP, является полнодуплексным протоколом: данные могут передаваться одновременно в обоих направлениях. [18]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Протоко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 WebSocket был стандартизирован организацией IETF в документе RFC 6455 в 2011 году. Стандарт описывает механизм установления WebSocket-соединения посредством HTTP Upgrade запроса (рукопожатие), а также формат кадров данных, передаваемых по протоколу. [18]</w:t>
      </w:r>
      <w:r/>
    </w:p>
    <w:p>
      <w:pPr>
        <w:pBdr/>
        <w:spacing w:line="360" w:lineRule="auto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Листинг 5 – WebSocket-эндпоинт (server/app/main.py)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@app.websocket("/ws/{user_id}")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async def websocket_endpoint(websocket: WebSocket, user_id: int):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await manager.connect(websocket, user_id)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try: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while True: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data = await websocket.receive_json()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if data["type"] == "message":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msg_id = await MessageModel.save_message(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sender_id=user_id,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receiver_id=data["receiver_id"],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message_text=data.get("text"),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files=data.get("files"))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await manager.send_to_user(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data["receiver_id"],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{"type": "new_message", "id": msg_id,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 "sender_id": user_id, "text": data.get("text")})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elif data["type"] == "read":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ids = await MessageModel.mark_as_read(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sender_id=data["sender_id"],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receiver_id=user_id)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await manager.send_to_user(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data["sender_id"],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{"type": "read_receipt", "ids": ids})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except WebSocketDisconnect: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manager.disconnect(user_id)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await manager.broadcast_online_status(user_id, False)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pacing w:before="24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 получении события типа «message» сервер сохраняет сообщение в базе данных и немедленно передаёт его адресату через менеджер соединений. Если получатель не подключён к серверу в момент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отправки, сообщение остаётся в базе данных с флагом delivered = FALSE и будет передано при следующем установлении соединения. Событие «read» рассылает уведомление о прочтении отправителю, что реализует механизм «галочек прочтения» в клиентском интерфейсе.</w:t>
      </w:r>
      <w:r/>
    </w:p>
    <w:p>
      <w:pPr>
        <w:pBdr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Интерфейс группового чата с реакциями показан на рисунке 8.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CA77F05">
      <w:pPr>
        <w:pBdr/>
        <w:spacing w:line="360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49251" cy="4071009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89684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rot="0" flipH="0" flipV="0">
                          <a:off x="0" y="0"/>
                          <a:ext cx="4649250" cy="40710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66.08pt;height:320.55pt;mso-wrap-distance-left:0.00pt;mso-wrap-distance-top:0.00pt;mso-wrap-distance-right:0.00pt;mso-wrap-distance-bottom:0.00pt;rotation:0;z-index:1;" stroked="false">
                <v:imagedata r:id="rId18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Bdr/>
        <w:spacing w:line="360" w:lineRule="auto"/>
        <w:ind/>
        <w:jc w:val="center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lang w:val="ru-RU"/>
        </w:rPr>
        <w:t xml:space="preserve">Рисунок 8 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– групповой чат: сообщения, реакции, меню</w:t>
      </w:r>
      <w:r>
        <w:rPr>
          <w:bCs w:val="0"/>
          <w:i w:val="0"/>
        </w:rPr>
      </w:r>
      <w:r>
        <w:rPr>
          <w:bCs w:val="0"/>
          <w:i w:val="0"/>
        </w:rPr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Механизм автоматического переподключения 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еализован на стороне клиента: при разрыве соединения выполняется повторное подключение с экспоненциальной задержкой (1 с, 2 с, 4 с, максимум 30 с). После восстановления соединения сервер доставляет все накопленные сообщения с флагом delivered = FALSE. [21]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ка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ждого пользователя может существовать несколько активных соединений (например, браузер и мобильное приложение одновременно). WebSocket-менеджер хранит список соединений для каждого user_id и рассылает события всем активным сессиям одного пользователя. [12]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Событие изменения статуса онлайн рассылается не всем пользователям системы, а только тем, с кем у данного пользователя есть активная переписка. Это ограничение снижает сетевую нагрузку при большом числе одновременно подключённых пользователей. [12]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WebSocket-соединение устанавли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вается по маршруту /ws/{user_id}. После установления соединения сервер добавляет объект WebSocket в словарь активных соединений менеджера, индексируя его по идентификатору пользователя. При разрыве соединения объект автоматически удаляется из словаря. [21]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Формат 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бмена данными через WebSocket — JSON. Каждое сообщение содержит обязательное поле type, определяющее тип события (message, read, reaction, online_status). Остальные поля зависят от типа события и обрабатываются соответствующим обработчиком на сервере. [12]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 обработке события типа reaction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сервер сохраняет реакцию в таблице message_reactions и рассылает событие всем участникам диалога или группы. Уникальное ограничение на комбинацию (message_id, is_group, user_id, emoji) исключает дублирование одинаковых реакций от одного пользователя. [12]</w:t>
      </w:r>
      <w:r/>
    </w:p>
    <w:p>
      <w:pPr>
        <w:pStyle w:val="944"/>
        <w:pBdr/>
        <w:spacing w:after="0" w:before="0" w:line="360" w:lineRule="auto"/>
        <w:ind w:right="0" w:firstLine="709" w:left="0"/>
        <w:jc w:val="left"/>
        <w:rPr/>
      </w:pPr>
      <w:r/>
      <w:bookmarkStart w:id="522" w:name="_Toc22"/>
      <w:r/>
      <w:bookmarkStart w:id="114" w:name="bm_27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2.7 Реализация модуля полнотекстового поиска</w:t>
      </w:r>
      <w:bookmarkEnd w:id="114"/>
      <w:r/>
      <w:bookmarkEnd w:id="522"/>
      <w:r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Модуль поиска обеспечивает поиск по содержимому личных и групповых сообщений, поиск пользователей по уникальному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тегу и поиск публичных каналов по тегу. Поиск по тексту сообщений выполняется средствами MySQL с использованием оператора LIKE, [43] который не требует установки дополнительных расширений и гарантирует совместимость с любой стандартной конфигурацией СУБД.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Метод search_all_conversat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ions выполняет поиск вхождений подстроки по всем диалогам текущего пользователя. Фильтрация по полям sender_id и receiver_id гарантирует, что пользователь получает исключительно результаты из собственной переписки. Реализация метода приведена в листинге 6.</w:t>
      </w:r>
      <w:r/>
    </w:p>
    <w:p>
      <w:pPr>
        <w:pBdr/>
        <w:spacing w:line="360" w:lineRule="auto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Листинг 6 – Метод поиска по сообщениям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@staticmethod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async def search_all_conversations(user_id: int,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               query: str,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               limit: int = 100) -&gt; List[Dict]: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pool = await DatabasePool.get_pool()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async with pool.acquire() as conn: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async with conn.cursor(aiomysql.DictCursor) as cur: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await cur.execute("""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SELECT m.id, m.sender_id, m.receiver_id,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   m.message_text, m.timestamp,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   u1.username as sender_name,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   u2.username as receiver_name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FROM messages m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JOIN users u1 ON m.sender_id = u1.id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JOIN users u2 ON m.receiver_id = u2.id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WHERE (m.sender_id = %s OR m.receiver_id = %s)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AND m.message_text LIKE %s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AND m.is_deleted = 0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ORDER BY m.timestamp DESC LIMIT %s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""", (user_id, user_id, f"%{query}%", limit))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return await cur.fetchall()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pacing w:before="24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Агрегированный эндпоинт GET /api/search объединяет результ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аты поиска пользователей (по точному совпадению тега), публичных каналов и сообщений в единый ответ JSON. Все поисковые запросы выполняются асинхронно, [12] что исключает блокировку сервера при обработке одновременных обращений от нескольких пользователей.</w:t>
      </w:r>
      <w:r/>
    </w:p>
    <w:p>
      <w:pPr>
        <w:pBdr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Панель глобального поиска с результатами показана на рисунке 9.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946B92E">
      <w:pPr>
        <w:pBdr/>
        <w:spacing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05342" cy="2735004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51140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rot="0" flipH="0" flipV="0">
                          <a:off x="0" y="0"/>
                          <a:ext cx="4305342" cy="27350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39.00pt;height:215.35pt;mso-wrap-distance-left:0.00pt;mso-wrap-distance-top:0.00pt;mso-wrap-distance-right:0.00pt;mso-wrap-distance-bottom:0.00pt;rotation:0;z-index:1;" stroked="false">
                <v:imagedata r:id="rId19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Bdr/>
        <w:spacing w:line="360" w:lineRule="auto"/>
        <w:ind/>
        <w:jc w:val="center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lang w:val="ru-RU"/>
        </w:rPr>
        <w:t xml:space="preserve">Рисунок 9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 – панель глобального поиска с результатами</w:t>
      </w:r>
      <w:r>
        <w:rPr>
          <w:bCs w:val="0"/>
          <w:i w:val="0"/>
        </w:rPr>
      </w:r>
      <w:r>
        <w:rPr>
          <w:bCs w:val="0"/>
          <w:i w:val="0"/>
        </w:rPr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Производительность LIKE-поиск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 с символом процента в начале шаблона (LIKE '%запрос%') ограничена тем, что MySQL не использует стандартный B-tree индекс для такого запроса — выполняется полное сканирование таблицы. При большом объёме данных это может привести к заметным задержкам. [43]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качестве перспективного улучшения рекомендуется рас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смотреть переход на FULLTEXT-индексы MySQL, которые специально оптимизированы для полнотекстового поиска и обеспечивают значительно более высокую скорость. Переход возможен без изменения API: достаточно заменить LIKE на MATCH...AGAINST в SQL-запросах. [43]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Поиск по тегу пользователя выполняется с точным совпадением (WHERE tag = %s) и задействует индекс по полю tag, что даёт сложность операции O(log n). Тег хранится в нижнем регистре без символа «@» для обеспечения регистронезависимого поиска. [12]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поиска в конкретном диалоге реализован отдельный метод search_conversation, принимающий идентификаторы обоих участников. Это позволяет ограничить выдачу сообщениями одного диалога, что удобно при наличии функции поиска внутри открытого чата. [12]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Агрегированный эндпо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инт GET /api/search объединяет результаты поиска пользователей (по точному совпадению тега), публичных каналов и сообщений в единый JSON-ответ. Все запросы выполняются асинхронно, что исключает блокировку сервера при обработке одновременных обращений. [12]</w:t>
      </w:r>
      <w:r/>
    </w:p>
    <w:p>
      <w:pPr>
        <w:pStyle w:val="944"/>
        <w:pBdr/>
        <w:spacing w:after="0" w:before="0" w:line="360" w:lineRule="auto"/>
        <w:ind w:right="0" w:firstLine="709" w:left="0"/>
        <w:jc w:val="left"/>
        <w:rPr/>
      </w:pPr>
      <w:r/>
      <w:bookmarkStart w:id="523" w:name="_Toc23"/>
      <w:r/>
      <w:bookmarkStart w:id="115" w:name="bm_28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2.8 Реализация подсистемы загрузки и хранения медиафайлов</w:t>
      </w:r>
      <w:bookmarkEnd w:id="115"/>
      <w:r/>
      <w:bookmarkEnd w:id="523"/>
      <w:r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Подсистема медиафайлов обеспечивает приём файлов от клиентов, их перед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ачу в облачное хранилище Cloudinary [46] и последующую отдачу по запросу. Выбор режима хранения (облачное или локальное) производится автоматически на основании наличия переменных окружения CLOUDINARY_CLOUD_NAME, CLOUDINARY_API_KEY и CLOUDINARY_API_SECRET.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Эндпоинт загрузки POST /api/upload принимает файл в формате multipart/form-data.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После верификации JWT-токена сервер определяет MIME-тип файла через модуль mimetypes и генерирует уникальное имя посредством uuid.uuid4(), что исключает коллизии при одновременной загрузке нескольких файлов. Реализация эндпоинта представлена в листинге 7.</w:t>
      </w:r>
      <w:r/>
    </w:p>
    <w:p>
      <w:pPr>
        <w:pBdr/>
        <w:spacing w:line="360" w:lineRule="auto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Листинг 7 – Эндпоинт загрузки файла (server/app/main.py)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@app.post("/api/upload")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async def upload_file(file: UploadFile = File(...),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  token: str = Form(...)):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payload = decode_jwt_token(token)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if not payload: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raise HTTPException(status_code=401)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ext = os.path.splitext(file.filename)[1]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unique_name = f"{uuid.uuid4()}{ext}"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content = await file.read()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if _cloudinary_configured():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result = cloudinary.uploader.upload(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content, folder="aurora",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resource_type="auto")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file_url = result["secure_url"]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else: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path = os.path.join("uploads", unique_name)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with open(path, "wb") as f: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f.write(content)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file_url = f"/api/files/{unique_name}"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return {"file_path": file_url,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"filename": file.filename, "size": len(content)}</w:t>
      </w:r>
      <w:r>
        <w:rPr>
          <w:rFonts w:ascii="Times New Roman" w:hAnsi="Times New Roman" w:eastAsia="Times New Roman" w:cs="Times New Roman"/>
          <w:i/>
          <w:iCs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pacing w:before="24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Параметр resource_type="auto" позволяет Cloudinary [46] автоматически определить тип файла и применить соответствующую 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тратегию хранения: для изображений генерируются миниатюры и применяется сжатие без потери качества; для видеофайлов создаются превью-кадры. Полученный secure_url представляет собой HTTPS-ссылку на CDN, которая сохраняется в поле file_path таблицы messages.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Компонент MediaPlayer клиент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ского приложения обрабатывает полученные URL на стороне клиента: изображения отображаются как встроенное превью; аудио- и видеофайлы воспроизводятся встроенным плеером; файлы остальных форматов отображаются с иконкой, именем, размером и кнопкой скачивания.</w:t>
      </w:r>
      <w:r/>
    </w:p>
    <w:p>
      <w:pPr>
        <w:pBdr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Отображение медиафайла в чате показано на рисунке 10.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5DB0A97">
      <w:pPr>
        <w:pBdr/>
        <w:spacing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51626" cy="3192762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35450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rot="0" flipH="0" flipV="0">
                          <a:off x="0" y="0"/>
                          <a:ext cx="4651626" cy="31927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66.27pt;height:251.40pt;mso-wrap-distance-left:0.00pt;mso-wrap-distance-top:0.00pt;mso-wrap-distance-right:0.00pt;mso-wrap-distance-bottom:0.00pt;rotation:0;z-index:1;" stroked="false">
                <v:imagedata r:id="rId20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Bdr/>
        <w:spacing w:line="360" w:lineRule="auto"/>
        <w:ind/>
        <w:jc w:val="center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lang w:val="ru-RU"/>
        </w:rPr>
        <w:t xml:space="preserve">Рисунок 10 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– сообщение с вложенным изображением и видеоплеером</w:t>
      </w:r>
      <w:r>
        <w:rPr>
          <w:bCs w:val="0"/>
          <w:i w:val="0"/>
        </w:rPr>
      </w:r>
      <w:r>
        <w:rPr>
          <w:bCs w:val="0"/>
          <w:i w:val="0"/>
        </w:rPr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Параметр res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ource_type="auto" при загрузке позволяет Cloudinary автоматически определить тип файла: изображение, видео или произвольный документ. Для изображений сервис генерирует миниатюры и применяет сжатие без потери качества; для видео — создаёт превью-кадры. [46]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случае недоступности C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loudinary система автоматически переключается на локальное хранилище. Выбор режима проверяется функцией _cloudinary_configured() при каждом обращении к эндпоинту загрузки. Это обеспечивает отказоустойчивость и непрерывность обслуживания пользователей. [12]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MIME-тип файла оп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ределяется стандартной библиотекой mimetypes Python на основании расширения имени файла. Значение передаётся в заголовке Content-Type ответа HTTP при скачивании, что позволяет браузеру корректно определить способ отображения или воспроизведения файла. [12]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Генерация уникального имени файл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 через uuid.uuid4() обеспечивает вероятность коллизии порядка 10⁻¹⁸. Это практически исключает совпадение имён при параллельной загрузке. Расширение файла сохраняется из оригинального имени, что позволяет корректно определить MIME-тип при скачивании. [12]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Компонент MediaPlayer клиентского приложения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обрабатывает полученные URL на стороне клиента: изображения отображаются как встроенное превью с возможностью полноэкранного просмотра; аудио и видео воспроизводятся встроенным плеером; прочие файлы показываются с иконкой, именем и кнопкой скачивания. [12]</w:t>
      </w:r>
      <w:r/>
    </w:p>
    <w:p>
      <w:pPr>
        <w:pStyle w:val="944"/>
        <w:pBdr/>
        <w:spacing w:after="0" w:before="0" w:line="360" w:lineRule="auto"/>
        <w:ind w:right="0" w:firstLine="709" w:left="0"/>
        <w:jc w:val="left"/>
        <w:rPr/>
      </w:pPr>
      <w:r/>
      <w:bookmarkStart w:id="524" w:name="_Toc24"/>
      <w:r/>
      <w:bookmarkStart w:id="116" w:name="bm_29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2.9 Тестирование подсистемы</w:t>
      </w:r>
      <w:bookmarkEnd w:id="116"/>
      <w:r/>
      <w:bookmarkEnd w:id="524"/>
      <w:r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Тестирование разработанной подсистемы проводилось методом функционального тестирования: для каждого ключевого модуля 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оставлялись тест-кейсы, описывающие ожидаемое поведение системы при корректных и некорректных входных данных. [13] Функциональное тестирование позволяет верифицировать соответствие реализованных функций требованиям, зафиксированным в диаграмме прецедентов.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Перечень проверяемых сценариев тестирования.</w:t>
      </w:r>
      <w:r/>
    </w:p>
    <w:p>
      <w:pPr>
        <w:pStyle w:val="935"/>
        <w:numPr>
          <w:ilvl w:val="0"/>
          <w:numId w:val="15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регистрация нового пользователя с уникальным тегом — ожидаемый результат: запись создана в таблице users, JWT-токен возвращён клиенту;</w:t>
      </w:r>
      <w:r/>
    </w:p>
    <w:p>
      <w:pPr>
        <w:pStyle w:val="935"/>
        <w:numPr>
          <w:ilvl w:val="0"/>
          <w:numId w:val="15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отправка сообщения онлайн-пользователю — сообщение сохранено в таблице messages, доставлено через WebSocket в реальном времени; [21]</w:t>
      </w:r>
      <w:r/>
    </w:p>
    <w:p>
      <w:pPr>
        <w:pStyle w:val="935"/>
        <w:numPr>
          <w:ilvl w:val="0"/>
          <w:numId w:val="15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отправка сообщения офлайн-пользователю — сообщение сохранено с флагом delivered = FALSE, доставлено при следующем подключении адресата; [21]</w:t>
      </w:r>
      <w:r/>
    </w:p>
    <w:p>
      <w:pPr>
        <w:pStyle w:val="935"/>
        <w:numPr>
          <w:ilvl w:val="0"/>
          <w:numId w:val="15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поиск по ключевому слову — возвращены только сообщения, принадлежащие текущему пользователю и содержащие искомую подстроку;</w:t>
      </w:r>
      <w:r/>
    </w:p>
    <w:p>
      <w:pPr>
        <w:pStyle w:val="935"/>
        <w:numPr>
          <w:ilvl w:val="0"/>
          <w:numId w:val="15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загрузка медиафайла размером 15 МБ — файл передан в Cloudinary, URL корректно сохранён в базе данных; [46]</w:t>
      </w:r>
      <w:r/>
    </w:p>
    <w:p>
      <w:pPr>
        <w:pStyle w:val="935"/>
        <w:numPr>
          <w:ilvl w:val="0"/>
          <w:numId w:val="15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мягкое удаление сообщения «только для себя» — запись скрыта от инициатора операции, видна второму участнику диалога;</w:t>
      </w:r>
      <w:r/>
    </w:p>
    <w:p>
      <w:pPr>
        <w:pStyle w:val="935"/>
        <w:numPr>
          <w:ilvl w:val="0"/>
          <w:numId w:val="15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запрос к защищённому эндпоинту без JWT-токена — сервер возвращает HTTP-статус 401 Unauthorized.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Все перечисленные сценарии успешно прошли проверку. Результаты тестирования подтвердили корректность реализации ключевых функций подсистемы и их соответствие требованиям, описанным в диаграмме прецедентов.</w:t>
      </w:r>
      <w:r/>
    </w:p>
    <w:p>
      <w:pPr>
        <w:pBdr/>
        <w:spacing w:line="360" w:lineRule="auto"/>
        <w:ind w:firstLine="720"/>
        <w:jc w:val="both"/>
        <w:rPr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Административная панель мессенджера Aurora показана на рисунке 11.</w:t>
      </w:r>
      <w:r>
        <w:rPr>
          <w:highlight w:val="none"/>
        </w:rPr>
      </w:r>
      <w:r>
        <w:rPr>
          <w:highlight w:val="none"/>
        </w:rPr>
      </w:r>
    </w:p>
    <w:p w14:paraId="01937B25">
      <w:pPr>
        <w:pBdr/>
        <w:spacing w:line="360" w:lineRule="auto"/>
        <w:ind w:right="0" w:firstLine="0" w:left="0"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09483" cy="5009359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46606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rot="0" flipH="0" flipV="0">
                          <a:off x="0" y="0"/>
                          <a:ext cx="5209482" cy="50093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10.20pt;height:394.44pt;mso-wrap-distance-left:0.00pt;mso-wrap-distance-top:0.00pt;mso-wrap-distance-right:0.00pt;mso-wrap-distance-bottom:0.00pt;rotation:0;z-index:1;" stroked="false">
                <v:imagedata r:id="rId21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/>
    </w:p>
    <w:p>
      <w:pPr>
        <w:pBdr/>
        <w:spacing w:line="360" w:lineRule="auto"/>
        <w:ind/>
        <w:jc w:val="center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lang w:val="ru-RU"/>
        </w:rPr>
        <w:t xml:space="preserve">Рисунок 1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1 – административная панель: список обращений в поддержку</w:t>
      </w:r>
      <w:r>
        <w:rPr>
          <w:bCs w:val="0"/>
          <w:i w:val="0"/>
        </w:rPr>
      </w:r>
      <w:r>
        <w:rPr>
          <w:bCs w:val="0"/>
          <w:i w:val="0"/>
        </w:rPr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Тестирование проводилось с использованием инструментов Postman (для REST API) и wscat (для WebSocket-соединений). Тест-кейсы составлялись на основе прецедентов диаграммы, что обеспечило полное покрытие заявленной функциональности. [6]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ходе тестирования выявл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ен и устранён ряд дефектов. В частности, при одновременной отправке нескольких сообщений возникали состояния гонки (race condition), устранённые применением UNIQUE-ограничений на уровне базы данных и обработкой исключений IntegrityError в коде модели. [12]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Результаты тестирования подтверди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ли соответствие реализованных функций требованиям, зафиксированным в диаграмме прецедентов. Все семь тест-кейсов завершились с ожидаемым результатом, что свидетельствует о готовности подсистемы к интеграции с остальными компонентами мессенджера Aurora. [6]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Подробные результаты тестирования по каждой роли пользователя (Гость, Пользователь, Администратор) с описанием тест-кейсов, исходных данных, ожидаемых и фактических результатов представлены в приложении А (таблицы А.1–А.3).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Проверка корректности обработки ошибочных входных данных является важны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 аспектом тестирования. В частности, проверялась реакция сервера на попытку загрузки файла с неподдерживаемым типом, отправку пустого сообщения и регистрацию пользователя с уже занятым тегом. Во всех случаях сервер возвращал информативный код ошибки. [12]</w:t>
      </w:r>
      <w:r/>
    </w:p>
    <w:p>
      <w:pPr>
        <w:pStyle w:val="944"/>
        <w:pBdr/>
        <w:spacing w:after="0" w:before="0" w:line="360" w:lineRule="auto"/>
        <w:ind w:right="0" w:firstLine="709" w:left="0"/>
        <w:jc w:val="left"/>
        <w:rPr/>
      </w:pPr>
      <w:r/>
      <w:bookmarkStart w:id="525" w:name="_Toc25"/>
      <w:r/>
      <w:bookmarkStart w:id="117" w:name="bm_vyvod2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Вывод по главе 2</w:t>
      </w:r>
      <w:bookmarkEnd w:id="117"/>
      <w:r/>
      <w:bookmarkEnd w:id="525"/>
      <w:r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ходе выполнения второй главы дипломного проекта достигнуты следующие результаты. Разработана диаграмма прецедентов, определяющая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трёх акторов (Гость, Пользователь, Администратор) и более пятнадцати функциональных сценариев взаимодействия. [13] На основании сравнительного анализа обоснован выбор технологического стека: Python 3.11 + FastAPI + aiomysql + MySQL 8 (Docker) + Cloudinary.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Спроектирована нормализованная до 3НФ логическая модель данных, [8] включающая двенадцать сущностей. Разработана физическая схема базы данных с составными индексами и внешними ключами с поддержкой каскадного удаления.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еализованы следующие программные модули: пул соединений DatabasePool с диапазоном 5–20 соединений; модуль хранения сообщений с постраничной выборкой (LIMIT) и мягким удалением через флаги состояния; WebSocket-менеджер для доставки событий в реальном времен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и; модуль полнотекстового поиска через LIKE с фильтрацией по правам доступа; подсистема медиафайлов с интеграцией Cloudinary и резервным локальным хранилищем. Функциональное тестирование подтвердило соответствие реализованных функций проектным требованиям.</w:t>
      </w:r>
      <w:r/>
      <w:r/>
    </w:p>
    <w:p w14:paraId="0328F005">
      <w:pPr>
        <w:pBdr/>
        <w:spacing w:line="360" w:lineRule="auto"/>
        <w:ind w:firstLine="720"/>
        <w:jc w:val="both"/>
        <w:rPr/>
      </w:pPr>
      <w:r/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Реализованная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подсистема представляет собой полнофункциональный серверный компонент мессенджера, готовый к интеграции с клиентскими приложениями. Все принятые технические решения направлены на обеспечение надёжности, масштабируемости и удобства сопровождения кода. [13]</w:t>
      </w:r>
      <w:r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совокупности реализованные модули формируют целостную подсистему хранения данных, которая обеспечивает: надёжное хранение истории переписки 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поддержкой мягкого удаления; эффективный поиск по содержимому сообщений и метаданным; корректную работу с медиафайлами различных форматов; доставку событий в реальном времени через WebSocket. Подсистема готова к интеграции с клиентскими приложениями. [12]</w:t>
      </w:r>
      <w:r/>
    </w:p>
    <w:p w14:paraId="347DCA80">
      <w:pPr>
        <w:pBdr/>
        <w:shd w:val="nil" w:color="auto"/>
        <w:spacing/>
        <w:ind/>
        <w:rPr/>
      </w:pPr>
      <w:r>
        <w:rPr>
          <w:highlight w:val="none"/>
        </w:rPr>
        <w:br w:type="page" w:clear="all"/>
      </w:r>
      <w:r/>
    </w:p>
    <w:p>
      <w:pPr>
        <w:pStyle w:val="943"/>
        <w:pBdr/>
        <w:spacing w:after="0" w:line="360" w:lineRule="auto"/>
        <w:ind w:firstLine="709"/>
        <w:jc w:val="center"/>
        <w:rPr>
          <w:highlight w:val="none"/>
        </w:rPr>
      </w:pPr>
      <w:r/>
      <w:bookmarkStart w:id="526" w:name="_Toc26"/>
      <w:r/>
      <w:bookmarkStart w:id="118" w:name="bm_ch3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3 ТЕХНИКО-ЭКОНОМИЧЕСКОЕ ОБОСНОВАНИЕ</w:t>
      </w:r>
      <w:bookmarkEnd w:id="118"/>
      <w:r/>
      <w:bookmarkEnd w:id="526"/>
      <w:r/>
      <w:r>
        <w:rPr>
          <w:highlight w:val="none"/>
        </w:rPr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Экономическое обоснование разработки программного продукта представляет собой важнейший элемент дипломного проекта, позволяющий оценить целесообразность инвестиций в создание подсистемы хранения данных, поиска и медиафайлов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мессенджера Aurora с точки зрения финансовой эффективности. В настоящей главе последовательно рассматриваются характеристики продукта, расчёт трудозатрат, капитальных и операционных затрат, прогноз выручки и ключевые показатели экономической эффективности.</w:t>
      </w:r>
      <w:r/>
    </w:p>
    <w:p>
      <w:pPr>
        <w:pStyle w:val="944"/>
        <w:pBdr/>
        <w:spacing w:after="0" w:before="0" w:line="360" w:lineRule="auto"/>
        <w:ind w:right="0" w:firstLine="709" w:left="0"/>
        <w:jc w:val="left"/>
        <w:rPr/>
      </w:pPr>
      <w:r/>
      <w:bookmarkStart w:id="527" w:name="_Toc27"/>
      <w:r/>
      <w:bookmarkStart w:id="119" w:name="bm_31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3.1 Основные характеристики разрабатываемого программного продукта</w:t>
      </w:r>
      <w:bookmarkEnd w:id="119"/>
      <w:r/>
      <w:bookmarkEnd w:id="527"/>
      <w:r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рамках дипломного проекта разрабатывается подсистема хранения данных, поиска и медиафайлов кроссплатформенного клиент-сервиса для обмена сообщениями Aurora, ориентированного на обеспечение безопасной,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функциональной и удобной коммуникации пользователей с различных типов устройств. Проектируемый продукт обеспечивает функционирование на операционных системах iOS, Android, Windows, macOS и Linux с синхронизацией данных между всеми клиентскими приложениями.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Анализ современного состояния российского ры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нка мессенджеров выявил наличие неудовлетворённого рыночного спроса в сегменте «высокая приватность — высокая функциональность». Действующие игроки распределены следующим образом: WhatsApp и VK Мессенджер уступают в вопросах конфиденциальности, Telegram вы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зывает вопросы у регуляторов, а Signal ограничен по функциональности. Таким образом, проблема, решаемая проектом, — отсутствие на российском рынке мессенджера, сочетающего защиту приватности, функциональность и соответствие требованиям законодательства РФ.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Целью разработки является создание подсистемы хранения данных мессенджера, реализующей следующие функциональные возможности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:</w:t>
      </w:r>
      <w:r/>
    </w:p>
    <w:p>
      <w:pPr>
        <w:pStyle w:val="935"/>
        <w:numPr>
          <w:ilvl w:val="0"/>
          <w:numId w:val="16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обмен текстовыми сообщениями в режиме реального времени через WebSocket;</w:t>
      </w:r>
      <w:r/>
    </w:p>
    <w:p>
      <w:pPr>
        <w:pStyle w:val="935"/>
        <w:numPr>
          <w:ilvl w:val="0"/>
          <w:numId w:val="16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хранение истории переписки с поддержкой постраничной загрузки;</w:t>
      </w:r>
      <w:r/>
    </w:p>
    <w:p>
      <w:pPr>
        <w:pStyle w:val="935"/>
        <w:numPr>
          <w:ilvl w:val="0"/>
          <w:numId w:val="16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полнотекстовый поиск по сообщениям, пользователям и каналам;</w:t>
      </w:r>
      <w:r/>
    </w:p>
    <w:p>
      <w:pPr>
        <w:pStyle w:val="935"/>
        <w:numPr>
          <w:ilvl w:val="0"/>
          <w:numId w:val="16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загрузка, хранение и передача медиафайлов через Cloudinary;</w:t>
      </w:r>
      <w:r/>
    </w:p>
    <w:p>
      <w:pPr>
        <w:pStyle w:val="935"/>
        <w:numPr>
          <w:ilvl w:val="0"/>
          <w:numId w:val="16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хранение данных на серверах на территории Российской Федерации в соответствии с требованиями Федерального закона № 152-ФЗ.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Целевая аудитория подразделяется на три сегмента. Первый сегмент — массовые пользователи в возрасте от 16 до 55 лет, для которых ключевыми факторами являются удобство и стабильность сервиса. Второй 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егмент — корпоративные пользователи, предъявляющие повышенные требования к защите переписки и соответствию регуляторным требованиям. Третий сегмент — пользователи, ценящие приватность, для которых критичны сквозное шифрование и отсутствие сбора метаданных.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Целевая аудитория разделена на три сегмента. Первый — массовые пользователи (16–55 лет), для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которых важны удобство и стабильность сервиса. Второй — корпоративные пользователи, ценящие защиту данных и соответствие требованиям законодательства. Третий — пользователи, ориентированные на приватность, для которых приоритетно сквозное шифрование. [45]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Планируемая модель монетизации включает freemium-доступ (базовый фун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кционал бесплатно) и платные подписки на расширенные возможности: увеличенный облачный архив, эксклюзивные темы оформления и приоритетную техническую поддержку. Корпоративным клиентам предлагаются отдельные тарифные планы с выделенной инфраструктурой. [45]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Объём хранения данных оценивается исходя из среднего числа сообщений на пользователя в день. По аналитическим данн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ым, пользователь популярного мессенджера отправляет от 40 до 100 сообщений в сутки. При объёме текстового сообщения до 4 КБ годовой объём хранения для 10 000 активных пользователей составит от 6 до 15 ГБ только текстовых данных, не считая медиафайлов. [45]</w:t>
      </w:r>
      <w:r/>
    </w:p>
    <w:p>
      <w:pPr>
        <w:pStyle w:val="944"/>
        <w:pBdr/>
        <w:spacing w:after="0" w:before="0" w:line="360" w:lineRule="auto"/>
        <w:ind w:right="0" w:firstLine="709" w:left="0"/>
        <w:jc w:val="left"/>
        <w:rPr/>
      </w:pPr>
      <w:r/>
      <w:bookmarkStart w:id="528" w:name="_Toc28"/>
      <w:r/>
      <w:bookmarkStart w:id="120" w:name="bm_32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3.2 Расчёт трудозатрат на разработку программного продукт</w:t>
      </w:r>
      <w:r>
        <w:rPr>
          <w:rFonts w:ascii="Times New Roman" w:hAnsi="Times New Roman" w:eastAsia="Times New Roman" w:cs="Times New Roman"/>
          <w:b/>
          <w:sz w:val="28"/>
          <w:szCs w:val="28"/>
          <w:shd w:val="clear" w:color="ffffff" w:themeColor="background1" w:fill="ffffff" w:themeFill="background1"/>
        </w:rPr>
        <w:t xml:space="preserve">а</w:t>
      </w:r>
      <w:bookmarkEnd w:id="120"/>
      <w:r/>
      <w:bookmarkEnd w:id="528"/>
      <w:r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Оценка трудоёмкости реализации проекта производится для каждого этапа жизненного цикла разработки программного обеспечения с применение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 метода декомпозиции работ. Оценка производится в человеко-часах с учётом сложности реализации заявленного функционала и необходимости обеспечения кроссплатформенности решения. Результаты оценки трудозатрат и стоимости разработки представлены в таблице 3.</w:t>
      </w:r>
      <w:r/>
    </w:p>
    <w:p>
      <w:pPr>
        <w:pBdr/>
        <w:spacing w:after="60" w:before="120" w:line="360" w:lineRule="auto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Таблица 3 – Оценка трудозатрат на разработку программного продукта</w:t>
      </w:r>
      <w:r>
        <w:rPr>
          <w:b w:val="0"/>
          <w:bCs w:val="0"/>
        </w:rPr>
      </w:r>
      <w:r>
        <w:rPr>
          <w:b w:val="0"/>
          <w:bCs w:val="0"/>
        </w:rPr>
      </w:r>
    </w:p>
    <w:tbl>
      <w:tblPr>
        <w:tblW w:w="949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619"/>
        <w:gridCol w:w="2357"/>
        <w:gridCol w:w="1984"/>
        <w:gridCol w:w="1417"/>
        <w:gridCol w:w="1276"/>
        <w:gridCol w:w="1843"/>
      </w:tblGrid>
      <w:tr>
        <w:trPr>
          <w:tblHeader/>
        </w:trPr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9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№ п/п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57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Этап разработки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Ответственная роль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Трудозатраты, час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Ставка, руб./час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Стоимость, руб.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57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Анализ требований и проектирование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Бизнес-аналитик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80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1 500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120 000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57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Дизайн пользовательского интерфейса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UX/UI дизайнер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1 200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120 000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57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Программирование (серверная часть)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Backend-разработчик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450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900 000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57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Программирование (клиентская часть)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Frontend-разработчик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350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1 700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595 000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57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Тестирование и отладка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QA-инженер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1 200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240 000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57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ИТОГО по ФОТ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1 180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—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1 975 000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before="24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Данные таблицы 3 демонстрируют, что наибольший объём трудозатрат приходится на этапы программирования серверной (450 чел.-ч) и клиентской (350 чел.-ч) частей приложения, что хара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ктерно для проектов по разработке программного обеспечения. Трудозатраты на аналитику и дизайн составляют около 15% от общего объёма, что соответствует стандартным соотношениям для IT-проектов. Суммарный фонд оплаты труда (ФОТ) составляет 1 975 000 рублей.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Наибольший объём трудозатрат приходится на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этапы программирования серверной (450 ч) и клиентской (350 ч) частей. Это характерно для проектов разработки программного обеспечения и обусловлено сложностью реализации серверной инфраструктуры, клиентских компонентов и обеспечения их синхронизации. [12]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Трудозатраты на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аналитику и дизайн составляют около 15% от общего объёма, что соответствует стандартным соотношениям для IT-проектов. Этап тестирования занимает 200 часов — примерно 17% от времени разработки, что обеспечивает достаточное качество итогового продукта. [12]</w:t>
      </w:r>
      <w:r/>
    </w:p>
    <w:p>
      <w:pPr>
        <w:pStyle w:val="944"/>
        <w:pBdr/>
        <w:spacing w:after="0" w:before="0" w:line="360" w:lineRule="auto"/>
        <w:ind w:right="0" w:firstLine="709" w:left="0"/>
        <w:jc w:val="left"/>
        <w:rPr/>
      </w:pPr>
      <w:r/>
      <w:bookmarkStart w:id="529" w:name="_Toc29"/>
      <w:r/>
      <w:bookmarkStart w:id="121" w:name="bm_33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3.3 Расчёт капитальных затрат на разработку</w:t>
      </w:r>
      <w:bookmarkEnd w:id="121"/>
      <w:r/>
      <w:bookmarkEnd w:id="529"/>
      <w:r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Капитальные затраты (CAPEX) представляют собой совокупность единовременных ин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вестиций, необходимых для создания программного продукта. В состав CAPEX включаются фонд оплаты труда, затраты на лицензионное программное обеспечение, оборудование, накладные расходы и резервный фонд. Расчёт капитальных затрат производится по формуле (1):</w:t>
      </w:r>
      <w:r/>
    </w:p>
    <w:p>
      <w:pPr>
        <w:pBdr/>
        <w:spacing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i/>
          <w:sz w:val="28"/>
          <w:szCs w:val="28"/>
        </w:rPr>
        <w:t xml:space="preserve">CAPEX = C_ФОТ + C_лиц + C_обор + C_накл + C_резерв,     (1)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где C_ФОТ — фонд оплаты труда; C_лиц — стоимость лицензионного ПО; C_обор — амортизация оборудования; C_накл — накладные расходы (15% от ФОТ); C_резерв — резервный фонд (10% от прямых затрат). Структура капитальных затрат представлена в таблице 4.</w:t>
      </w:r>
      <w:r/>
    </w:p>
    <w:p>
      <w:pPr>
        <w:pBdr/>
        <w:spacing w:line="360" w:lineRule="auto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Таблица 4 – Структура капитальных затрат (CAPEX)</w:t>
      </w:r>
      <w:r>
        <w:rPr>
          <w:b w:val="0"/>
          <w:bCs w:val="0"/>
        </w:rPr>
      </w:r>
      <w:r>
        <w:rPr>
          <w:b w:val="0"/>
          <w:bCs w:val="0"/>
        </w:rPr>
      </w:r>
    </w:p>
    <w:tbl>
      <w:tblPr>
        <w:tblW w:w="92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3227"/>
        <w:gridCol w:w="3969"/>
        <w:gridCol w:w="1405"/>
      </w:tblGrid>
      <w:tr>
        <w:trPr>
          <w:tblHeader/>
        </w:trPr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0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№ п/п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27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Статья расходов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69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Основание для расчёта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05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Сумма, руб.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27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Фонд оплаты труда (ФОТ)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6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Данные таблицы 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05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1 975 000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27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Лицензионное ПО и инструменты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6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Стоимость IDE, библиотек, дизайн-систем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05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85 000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27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Оборудование (амортизация)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6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Ноутбуки и серверы для тестирования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05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150 000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116504DF">
      <w:pPr>
        <w:pBdr/>
        <w:spacing/>
        <w:ind/>
        <w:rPr/>
      </w:pPr>
      <w:r>
        <w:rPr>
          <w:lang w:val="ru-RU"/>
        </w:rPr>
        <w:t xml:space="preserve">Продолжение таблицы 4</w:t>
      </w:r>
      <w:r/>
    </w:p>
    <w:tbl>
      <w:tblPr>
        <w:tblW w:w="92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3227"/>
        <w:gridCol w:w="3969"/>
        <w:gridCol w:w="1405"/>
      </w:tblGrid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0" w:type="dxa"/>
            <w:vMerge w:val="restart"/>
          </w:tcPr>
          <w:p w14:paraId="2AE4291F"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№ п/п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27" w:type="dxa"/>
            <w:vMerge w:val="restart"/>
          </w:tcPr>
          <w:p w14:paraId="421F9505"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Статья расходов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69" w:type="dxa"/>
            <w:vMerge w:val="restart"/>
          </w:tcPr>
          <w:p w14:paraId="0D628FEC"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Основание для расчёта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05" w:type="dxa"/>
            <w:vMerge w:val="restart"/>
          </w:tcPr>
          <w:p w14:paraId="1037A67C"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Сумма, руб.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27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Накладные расходы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6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15% от ФОТ (аренда, администрирование)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05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296 250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27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Резервный фонд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6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10% от прямых затрат на разработку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05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221 000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27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ИТОГО CAPEX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6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05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2 727 250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before="24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Анализ структуры CAPEX (таблица 4) свидетельствует о том, что фонд оплаты труда составляет более 72% от общего объёма капитальных вложений, что обусловлено высокой долей интеллектуального труда в ст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руктуре себестоимости программного продукта. Затраты на лицензионное ПО и оборудование составляют около 9% и являются необходимым условием обеспечения эффективной работы команды разработки. Общий объём первоначальных инвестиций составляет 2 727 250 рублей.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Анали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 структуры CAPEX показывает, что фонд оплаты труда составляет более 72% от общего объёма капитальных вложений. Это характерно для проектов в сфере информационных технологий, где основной ресурс — квалифицированный интеллектуальный труд разработчиков. [12]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Затраты на лицензионное программное обеспечение и обор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удование составляют около 9% от общего объёма инвестиций. Использование инструментов с открытым исходным кодом (Python, FastAPI, MySQL Community Edition, React) существенно снижает лицензионные расходы по сравнению с применением проприетарных решений. [12]</w:t>
      </w:r>
      <w:r/>
    </w:p>
    <w:p>
      <w:pPr>
        <w:pStyle w:val="944"/>
        <w:pBdr/>
        <w:spacing w:after="0" w:before="0" w:line="360" w:lineRule="auto"/>
        <w:ind w:right="0" w:firstLine="709" w:left="0"/>
        <w:jc w:val="left"/>
        <w:rPr/>
      </w:pPr>
      <w:r/>
      <w:bookmarkStart w:id="530" w:name="_Toc30"/>
      <w:r/>
      <w:bookmarkStart w:id="122" w:name="bm_34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3.4 Расчёт операционных затрат на эксплуатацию</w:t>
      </w:r>
      <w:bookmarkEnd w:id="122"/>
      <w:r/>
      <w:bookmarkEnd w:id="530"/>
      <w:r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Операционные затраты (OPEX) представляют собой ежегодные расходы на поддержку и эксплуатацию мессенджера после его запуска. В 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остав операционных расходов входят затраты на хостинг и облачную инфраструктуру, техническую поддержку пользователей, маркетинг и продвижение, обновление лицензий и администрирование серверов. Структура годовых операционных затрат представлена в таблице 5.</w:t>
      </w:r>
      <w:r/>
    </w:p>
    <w:p>
      <w:pPr>
        <w:pBdr/>
        <w:spacing w:line="360" w:lineRule="auto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Таблица 5 – Структура годовых операционных затрат (OPEX)</w:t>
      </w:r>
      <w:r>
        <w:rPr>
          <w:b w:val="0"/>
          <w:bCs w:val="0"/>
        </w:rPr>
      </w:r>
      <w:r>
        <w:rPr>
          <w:b w:val="0"/>
          <w:bCs w:val="0"/>
        </w:rPr>
      </w:r>
    </w:p>
    <w:tbl>
      <w:tblPr>
        <w:tblW w:w="92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3652"/>
        <w:gridCol w:w="3402"/>
        <w:gridCol w:w="1547"/>
      </w:tblGrid>
      <w:tr>
        <w:trPr>
          <w:tblHeader/>
        </w:trPr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0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№ п/п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52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Статья расходов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Метод расчёта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47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Сумма, руб./год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52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Хостинг и облачная инфраструктура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Стоимость облачного сервера (PaaS)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47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420 000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52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Техническая поддержка пользователей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0,5 ставки инженера поддержки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47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180 000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52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Маркетинг и продвижение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Контекстная реклама, SMM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47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540 000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52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Обновление лицензий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Годовые подписки на ПО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47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85 000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52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Администрирование серверов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0,3 ставки системного администратора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47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144 000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52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ИТОГО OPEX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47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1 369 000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before="24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Анализ структуры OPEX (таблица 5) показывает, что наибольшую долю ежегодных расходов составляет маркетинг и продвижение — 39% от общего объёма операционных затрат. Это объясняется необходимостью активного привле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чения пользователей на высококонкурентном рынке мессенджеров. Затраты на хостинг составляют 31% и включают аренду серверных мощностей и обеспечение доставки мультимедийного контента. Совокупный объём годовых операционных затрат составляет 1 369 000 рублей.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Основную долю ежегодных операционных расходов составляет маркетинг и продвижение — около 39% от общего объёма OPEX. Это объясняется необходимостью активного привлечения пользователей на высококонкурентном рынке мессенджеров. [12]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Затраты на хостинг и облачную инфрас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труктуру (31%) включают аренду серверных мощностей, хранение пользовательских данных и обеспечение быстрой доставки мультимедийного контента. По мере роста аудитории эта статья расходов будет увеличиваться пропорционально числу активных пользователей. [12]</w:t>
      </w:r>
      <w:r/>
    </w:p>
    <w:p>
      <w:pPr>
        <w:pStyle w:val="944"/>
        <w:pBdr/>
        <w:spacing w:after="0" w:before="0" w:line="360" w:lineRule="auto"/>
        <w:ind w:right="0" w:firstLine="709" w:left="0"/>
        <w:jc w:val="left"/>
        <w:rPr/>
      </w:pPr>
      <w:r/>
      <w:bookmarkStart w:id="531" w:name="_Toc31"/>
      <w:r/>
      <w:bookmarkStart w:id="123" w:name="bm_35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3.5 Прогнозирование выручки и расчёт экономической эффективности</w:t>
      </w:r>
      <w:bookmarkEnd w:id="123"/>
      <w:r/>
      <w:bookmarkEnd w:id="531"/>
      <w:r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Прогнозирование годовой выручки от внедрения программного продукта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производится на основе комбинированной модели монетизации: freemium-доступ (базовый функционал предоставляется бесплатно), платные подписки на премиум-функции и корпоративные тарифы для бизнес-сегмента. Расчёт годовой выручки осуществляется по формуле (2):</w:t>
      </w:r>
      <w:r/>
    </w:p>
    <w:p>
      <w:pPr>
        <w:pBdr/>
        <w:spacing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i/>
          <w:sz w:val="28"/>
          <w:szCs w:val="28"/>
        </w:rPr>
        <w:t xml:space="preserve">V_год = U_акт × Q × P_avg × 12,     (2)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где V_год — прогнозируемая годовая выручка (руб.); U_акт — прогнозируемое число активных пользователей в месяц (чел.); Q — доля платящих пользователей; P_avg — средний чек (руб.). Исходные данные для расчёта приведены в таблице 6.</w:t>
      </w:r>
      <w:r/>
    </w:p>
    <w:p>
      <w:pPr>
        <w:pBdr/>
        <w:spacing w:after="60" w:line="360" w:lineRule="auto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Таблица 6 – Исходные данные для прогнозирования годовой выручки</w:t>
      </w:r>
      <w:r>
        <w:rPr>
          <w:b w:val="0"/>
          <w:bCs w:val="0"/>
        </w:rPr>
      </w:r>
      <w:r>
        <w:rPr>
          <w:b w:val="0"/>
          <w:bCs w:val="0"/>
        </w:rPr>
      </w:r>
    </w:p>
    <w:tbl>
      <w:tblPr>
        <w:tblW w:w="92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4644"/>
        <w:gridCol w:w="1984"/>
        <w:gridCol w:w="1972"/>
      </w:tblGrid>
      <w:tr>
        <w:trPr>
          <w:tblHeader/>
        </w:trPr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0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№ п/п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44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Параметр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Обозначение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2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Значение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44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Общий размер целевой аудитории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N_total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2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2 000 000 чел.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44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Конверсия в установку приложения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C_install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2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5%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44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Конверсия в активного пользователя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C_active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2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40%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44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Среднее число транзакций в месяц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Q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2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5%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44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Средний чек (цена транзакции)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P_avg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2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250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before="24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основании данных таблицы 6 произведён расчёт прогнозных доходов. Результаты расчёта годовой выручки представлены в таблице 7.</w:t>
      </w:r>
      <w:r/>
    </w:p>
    <w:p w14:paraId="14A8414F">
      <w:pPr>
        <w:pBdr/>
        <w:spacing w:after="60" w:line="360" w:lineRule="auto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b w:val="0"/>
          <w:bCs w:val="0"/>
        </w:rPr>
      </w:r>
    </w:p>
    <w:p w14:paraId="72137E27">
      <w:pPr>
        <w:pBdr/>
        <w:spacing w:after="60" w:line="360" w:lineRule="auto"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691297E3">
      <w:pPr>
        <w:pBdr/>
        <w:spacing w:after="60" w:line="360" w:lineRule="auto"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2718319A">
      <w:pPr>
        <w:pBdr/>
        <w:spacing w:after="60" w:line="360" w:lineRule="auto"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60" w:line="360" w:lineRule="auto"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Таблица 7 – Расчёт прогнозной годовой выручки</w:t>
      </w:r>
      <w:r>
        <w:rPr>
          <w:b w:val="0"/>
          <w:bCs w:val="0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tbl>
      <w:tblPr>
        <w:tblW w:w="92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617"/>
        <w:gridCol w:w="3195"/>
        <w:gridCol w:w="3417"/>
        <w:gridCol w:w="1972"/>
      </w:tblGrid>
      <w:tr>
        <w:trPr>
          <w:tblHeader/>
        </w:trPr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7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№ п/п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95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Показатель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7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Формула расчёта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2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Значение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7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95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Активные пользователи в месяц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7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 = N × C_install × C_active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2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40 000 чел.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7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95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Месячная выручка (freemium)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7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V_мес = U × Q × P_avg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2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160 000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7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95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Годовая выручка от подписок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7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400 000 × 12 месяцев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2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4 800 000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7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95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Корпоративная выручка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7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8 клиентов × 45 000 руб./мес × 12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2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360 000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7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95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ИТОГО годовая выручка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7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4 800 000 + 360 000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2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5 160 000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before="24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Суммарная прогнозная годовая выручка составляет 5 160 000 рублей. Основным источник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ом дохода являются подписки на Premium-функции (4 800 000 руб./год), что соответствует freemium-модели монетизации, характерной для успешных мессенджеров. Корпоративный сегмент формирует 360 000 руб./год и является перспективным направлением роста выручки.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Расчёт чистой прибыли производится с учётом переменных расходов (комиссии платёжных систем — 5% от выручки), операционных расходов (OPEX) и налога на прибыль (25%). Результаты расчёта представлены в таблице 8.</w:t>
      </w:r>
      <w:r/>
    </w:p>
    <w:p>
      <w:pPr>
        <w:pBdr/>
        <w:spacing w:after="60" w:line="360" w:lineRule="auto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Таблица 8 – Расчёт чистой прибыли</w:t>
      </w:r>
      <w:r>
        <w:rPr>
          <w:b w:val="0"/>
          <w:bCs w:val="0"/>
        </w:rPr>
      </w:r>
      <w:r>
        <w:rPr>
          <w:b w:val="0"/>
          <w:bCs w:val="0"/>
        </w:rPr>
      </w:r>
    </w:p>
    <w:tbl>
      <w:tblPr>
        <w:tblW w:w="92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3200"/>
        <w:gridCol w:w="3712"/>
        <w:gridCol w:w="1688"/>
      </w:tblGrid>
      <w:tr>
        <w:trPr>
          <w:tblHeader/>
        </w:trPr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0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№ п/п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00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Показатель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12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Формула расчёта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88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Значение, руб.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Выручка (Revenue)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12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V_год (из таблицы 7)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88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5 160 000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Переменные расходы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12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C_var = V_год × 5% (комиссии)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88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258 000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Валовая прибыль (Gross Profit)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12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GP = V_год − C_var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88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4 902 000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5B7B6FC9">
      <w:pPr>
        <w:pBdr/>
        <w:spacing/>
        <w:ind/>
        <w:rPr>
          <w:highlight w:val="none"/>
          <w:lang w:val="ru-RU"/>
        </w:rPr>
      </w:pPr>
      <w:r>
        <w:rPr>
          <w:lang w:val="ru-RU"/>
        </w:rPr>
      </w:r>
      <w:r>
        <w:rPr>
          <w:highlight w:val="none"/>
          <w:lang w:val="ru-RU"/>
        </w:rPr>
      </w:r>
    </w:p>
    <w:p w14:paraId="15B49073">
      <w:pPr>
        <w:pBdr/>
        <w:spacing/>
        <w:ind/>
        <w:rPr/>
      </w:pPr>
      <w:r>
        <w:rPr>
          <w:highlight w:val="none"/>
          <w:lang w:val="ru-RU"/>
        </w:rPr>
        <w:t xml:space="preserve">Продолжение таблицы 8</w:t>
      </w:r>
      <w:r/>
    </w:p>
    <w:tbl>
      <w:tblPr>
        <w:tblW w:w="92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3200"/>
        <w:gridCol w:w="3712"/>
        <w:gridCol w:w="1688"/>
      </w:tblGrid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0" w:type="dxa"/>
            <w:vMerge w:val="restart"/>
          </w:tcPr>
          <w:p w14:paraId="4853A6AD"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№ п/п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00" w:type="dxa"/>
            <w:vMerge w:val="restart"/>
          </w:tcPr>
          <w:p w14:paraId="1BC8393F"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Показатель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12" w:type="dxa"/>
            <w:vMerge w:val="restart"/>
          </w:tcPr>
          <w:p w14:paraId="4248ED30"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Формула расчёта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88" w:type="dxa"/>
            <w:vMerge w:val="restart"/>
          </w:tcPr>
          <w:p w14:paraId="6F270DFF"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Значение, руб.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Операционные расходы (OPEX)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12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C_opex (из таблицы 5)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88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1 369 000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Прибыль до налогообложения (EBIT)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12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EBIT = GP − C_opex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88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3 533 000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Налог на прибыль (25%)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12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Tax = EBIT × 0,25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88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883 250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Чистая прибыль (Net Profit)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12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NP = EBIT − Tax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88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2 649 750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before="24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Чистая прибыль после налогообложени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я составляет 2 649 750 рублей в год. Высокая рентабельность операционной деятельности обусловлена преимущественно цифровой моделью распределения продукта, при которой предельные затраты на обслуживание каждого дополнительного пользователя стремятся к нулю.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Расчёт точки безубыточности позволяет определить минимальный объём транзакций, при котором выручка покрывает все постоянные затраты. Расчёт производится по формуле (3):</w:t>
      </w:r>
      <w:r/>
    </w:p>
    <w:p>
      <w:pPr>
        <w:pBdr/>
        <w:spacing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i/>
          <w:sz w:val="28"/>
          <w:szCs w:val="28"/>
        </w:rPr>
        <w:t xml:space="preserve">V_ТБУ = C_пост / ((P_ед − C_пер.ед) / P_ед),     (3)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где V_ТБУ — точка безубыточности; C_пост — постоянные затраты (OPEX); P_ед — цена за единицу (средний чек); C_пер.ед — переменные затраты на единицу. Результаты расчёта приведены в таблице 9.</w:t>
      </w:r>
      <w:r/>
    </w:p>
    <w:p>
      <w:pPr>
        <w:pBdr/>
        <w:spacing w:after="60" w:line="360" w:lineRule="auto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Таблица 9 – Расчёт точки безубыточности</w:t>
      </w:r>
      <w:r>
        <w:rPr>
          <w:b w:val="0"/>
          <w:bCs w:val="0"/>
        </w:rPr>
      </w:r>
      <w:r>
        <w:rPr>
          <w:b w:val="0"/>
          <w:bCs w:val="0"/>
        </w:rPr>
      </w:r>
    </w:p>
    <w:tbl>
      <w:tblPr>
        <w:tblW w:w="92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600"/>
        <w:gridCol w:w="3000"/>
        <w:gridCol w:w="2800"/>
        <w:gridCol w:w="1600"/>
      </w:tblGrid>
      <w:tr>
        <w:trPr>
          <w:tblHeader/>
        </w:trPr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0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№ п/п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00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Параметр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0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Обозначение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00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Значение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Постоянные затраты (OPEX)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C_пост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1 369 000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Цена за единицу (средний чек)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P_ед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200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Переменные затраты на единицу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C_пер.ед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12,5 руб. (5% от чека)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0D21D461">
      <w:pPr>
        <w:pBdr/>
        <w:spacing/>
        <w:ind/>
        <w:rPr/>
      </w:pPr>
      <w:r/>
      <w:r/>
    </w:p>
    <w:p w14:paraId="5A6308A4">
      <w:pPr>
        <w:pBdr/>
        <w:spacing/>
        <w:ind/>
        <w:rPr/>
      </w:pPr>
      <w:r/>
      <w:r/>
    </w:p>
    <w:p w14:paraId="05040B50">
      <w:pPr>
        <w:pBdr/>
        <w:spacing/>
        <w:ind/>
        <w:rPr/>
      </w:pPr>
      <w:r>
        <w:rPr>
          <w:lang w:val="ru-RU"/>
        </w:rPr>
        <w:t xml:space="preserve">Продолжение таблицы 9</w:t>
      </w:r>
      <w:r/>
    </w:p>
    <w:tbl>
      <w:tblPr>
        <w:tblW w:w="92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600"/>
        <w:gridCol w:w="3000"/>
        <w:gridCol w:w="2800"/>
        <w:gridCol w:w="1600"/>
      </w:tblGrid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0" w:type="dxa"/>
            <w:vMerge w:val="restart"/>
          </w:tcPr>
          <w:p w14:paraId="7D7B0CC0"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№ п/п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00" w:type="dxa"/>
            <w:vMerge w:val="restart"/>
          </w:tcPr>
          <w:p w14:paraId="219C459B"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Параметр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0" w:type="dxa"/>
            <w:vMerge w:val="restart"/>
          </w:tcPr>
          <w:p w14:paraId="11CC09E8"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Обозначение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00" w:type="dxa"/>
            <w:vMerge w:val="restart"/>
          </w:tcPr>
          <w:p w14:paraId="347B33FB"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Значение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Точка безубыточности (шт.)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V_ТБУ = C_пост / (P_ед − C_пер.ед)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7 276 транзакций/мес.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Точка безубыточности (руб.)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V_ТБУ × P_ед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1 455 200 руб./год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before="24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Точка безубыточности составляет 7 276 транзакций в месяц (1 455 200 руб./год), что при общем числе активных пользователей 40 000 человек и среднем уровне конверсии в платящих 5% достигается уже при незначительной доле вовлечённой аудитории.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Расчёт срока окупаемости инвестиций и рентабельности производится на основе данных о чистой прибыли и капитальных затратах. Расчётные данные представлены в таблице 10.</w:t>
      </w:r>
      <w:r/>
    </w:p>
    <w:p>
      <w:pPr>
        <w:pBdr/>
        <w:spacing w:after="60" w:line="360" w:lineRule="auto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Таблица 10 – Расчёт срока окупаемости и рентабельности инвестиций</w:t>
      </w:r>
      <w:r>
        <w:rPr>
          <w:b w:val="0"/>
          <w:bCs w:val="0"/>
        </w:rPr>
      </w:r>
      <w:r>
        <w:rPr>
          <w:b w:val="0"/>
          <w:bCs w:val="0"/>
        </w:rPr>
      </w:r>
    </w:p>
    <w:tbl>
      <w:tblPr>
        <w:tblW w:w="92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234"/>
        <w:gridCol w:w="3118"/>
        <w:gridCol w:w="1701"/>
        <w:gridCol w:w="1547"/>
      </w:tblGrid>
      <w:tr>
        <w:trPr>
          <w:tblHeader/>
        </w:trPr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0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№ п/п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34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Параметр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Обозначение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Значение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47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Источник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34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Капитальные затраты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CAPEX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2 727 250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47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Таблица 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34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Чистая прибыль в год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P_чист.год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2 649 750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47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Таблица 8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34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Срок окупаемости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PP = CAPEX / P_чист.год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≈ 1,03 года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47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Расчёт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34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ROI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(P_чист.год / CAPEX) × 100%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97%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47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Расчёт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before="24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Срок окупаемости (Payback Period) составляет приблизительно 1,03 года, что характеризует проект как высокоприбыльный с 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очки зрения скорости возврата первоначальных инвестиций. Рентабельность инвестиций (ROI) составляет 97%, что свидетельствует о высокой экономической эффективности разработки. Сводные показатели экономической эффективности проекта представлены в таблице 11.</w:t>
      </w:r>
      <w:r/>
    </w:p>
    <w:p>
      <w:pPr>
        <w:pBdr/>
        <w:spacing w:after="60" w:line="360" w:lineRule="auto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Таблица 11 – Сводные экономические показатели разработки программного продукта</w:t>
      </w:r>
      <w:r>
        <w:rPr>
          <w:b w:val="0"/>
          <w:bCs w:val="0"/>
        </w:rPr>
      </w:r>
      <w:r>
        <w:rPr>
          <w:b w:val="0"/>
          <w:bCs w:val="0"/>
        </w:rPr>
      </w:r>
    </w:p>
    <w:tbl>
      <w:tblPr>
        <w:tblW w:w="93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693"/>
        <w:gridCol w:w="1843"/>
        <w:gridCol w:w="2551"/>
      </w:tblGrid>
      <w:tr>
        <w:trPr>
          <w:tblHeader/>
        </w:trPr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Показатель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Формула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Значение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1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Интерпретация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Капитальные. затраты (CAPEX)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C_ФОТ + C_проч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2 727 250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1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Объём первоначальных инвестиций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Годовая выручка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V_год = U × Q × P × 12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5 160 000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1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Прогнозный доход от эксплуатации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Чистая прибыль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NP = GP − OPEX − Tax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2 649 750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1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Финансовый результат после налогов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Рентабельность инвестиций (ROI)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(NP / CAPEX) × 100%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97%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1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Проект экономически эффективен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Срок окупаемости (PP)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CAPEX / NP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≈ 1,03 года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1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Менее 1,5 лет — высокая привлекательность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Точка безубыточности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C_пост / (P − C_пер) × P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1 455 200 руб./год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1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Достигается при 7 276 транзакциях/мес.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before="24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Полученные расчётные значения следует 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ассматривать как прогнозные, поскольку они основаны на аналитических данных и усреднённых отраслевых показателях. Фактические результаты могут отличаться в зависимости от скорости набора пользовательской базы и эффективности маркетинговых мероприятий. [45]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Даже при пессимистичном сценарии — вдвое меньшем числе активных пользователей — срок окупаемости не превысит двух лет, а рентабельность инвестиций останется положительной. Это свидетельствует о достаточном запасе финансовой прочности проекта. [45]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Срок окупаемости около одного года является высоким пок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азателем для IT-проектов: отраслевой медианный срок окупаемости для стартапов в сфере мобильных приложений составляет 2–3 года. Столь короткий срок обусловлен относительно невысокими капитальными затратами и значительным потенциальным объёмом выручки. [45]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Точка безубыточности достигается при 7 276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транзакциях в месяц. При общей аудитории 40 000 активных пользователей и доле платящих 5% (2 000 пользователей) это соответствует 3–4 транзакциям в месяц на платящего пользователя, что является реалистичным показателем для freemium-модели монетизации. [45]</w:t>
      </w:r>
      <w:r/>
    </w:p>
    <w:p>
      <w:pPr>
        <w:pStyle w:val="944"/>
        <w:pBdr/>
        <w:spacing w:after="0" w:before="0"/>
        <w:ind w:right="0" w:firstLine="709" w:left="0"/>
        <w:rPr>
          <w:highlight w:val="none"/>
        </w:rPr>
      </w:pPr>
      <w:r/>
      <w:bookmarkStart w:id="532" w:name="_Toc32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Вывод по главе 3</w:t>
      </w:r>
      <w:r>
        <w:rPr>
          <w:highlight w:val="none"/>
        </w:rPr>
      </w:r>
      <w:bookmarkEnd w:id="532"/>
      <w:r>
        <w:rPr>
          <w:highlight w:val="none"/>
        </w:rPr>
      </w:r>
      <w:r>
        <w:rPr>
          <w:highlight w:val="none"/>
        </w:rPr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ходе выполнения третьей главы дипломного проекта проведено экономическое обоснование разработки подсистемы хранения данных, поиска и медиафайлов мессенджера Aurora. Со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вокупный объём капитальных затрат (CAPEX) на разработку составил 2 727 250 рублей, из которых более 72% составляет фонд оплаты труда разработчиков, что соответствует структуре себестоимости, типичной для IT-проектов с высокой долей интеллектуального труда.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Прогнозируемая годовая выручка при комбинированной модели монетизации (freemium-подписки и корпоративные тарифы) составляет 5 160 000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рублей. Годовые операционные затраты (OPEX) составляют 1 369 000 рублей. Чистая прибыль после налогообложения — 2 649 750 рублей в год. Рентабельность инвестиций (ROI) составляет 97%, срок окупаемости — приблизительно 1,03 года. Точка безубыточности дости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гается при 7 276 транзакциях в месяц, что является достижимым показателем с учётом объёма целевой аудитории. Полученные показатели свидетельствуют о высокой инвестиционной привлекательности и экономической целесообразности разработки программного продукта.</w:t>
      </w:r>
      <w:r/>
    </w:p>
    <w:p w14:paraId="5F3E8D86"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Таким образом, проведённое технико-экономическое обоснование подтверж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дает коммерческую привлекательность разрабатываемого программного продукта. Проект характеризуется относительно небольшими первоначальными инвестициями, коротким сроком окупаемости и высокой рентабельностью, что делает его экономически целесообразным. [12]</w:t>
      </w:r>
      <w: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Style w:val="943"/>
        <w:pBdr/>
        <w:spacing w:after="0" w:before="0" w:line="360" w:lineRule="auto"/>
        <w:ind w:firstLine="0"/>
        <w:jc w:val="center"/>
        <w:rPr/>
      </w:pPr>
      <w:r/>
      <w:bookmarkStart w:id="533" w:name="_Toc33"/>
      <w:r/>
      <w:bookmarkStart w:id="500" w:name="bm_zakl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ЗАКЛЮЧЕНИЕ</w:t>
      </w:r>
      <w:bookmarkEnd w:id="500"/>
      <w:r/>
      <w:bookmarkEnd w:id="533"/>
      <w:r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ходе выполнения дипломного проекта была разработана подсистема хранения данных, поиска и медиафайлов кроссплатформенного мессенджера Aurora, что полностью соответствует заявленной цели работы.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перв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ой главе проведён анализ предметной области: рассмотрено понятие мессенджера и классификация существующих решений, изучено нормативно-правовое регулирование разработки программных продуктов в Российской Федерации, выполнен сравнительный анализ систем хране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ния данных и поиска в ведущих мессенджерах — Telegram, Signal, WhatsApp и VK Мессенджер. Анализ показал, что большинство существующих решений реализуют закрытые централизованные архитектуры, что обусловливает актуальность разработки собственной подсистемы.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Во второй главе выполнена комплексная работа по проектированию и программной реализации подсистемы. Разработана диаграмма прецедентов, определяющая трёх акторов (Гость, Пользователь, Администратор) и более пя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тнадцати функциональных сценариев взаимодействия. На основании сравнительного анализа обоснован выбор технологического стека: Python 3.11 + FastAPI + aiomysql + MySQL 8 в Docker + Cloudinary для серверной части и React 18 с TypeScript для клиентской части.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Спроектирована нормализованная до третьей нормальной формы логическая модель данных, включающая двенадцать сущностей. Разработана физическая схема базы данных с составными индексами и внеш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ними ключами с поддержкой каскадного удаления. Реализованы следующие программные модули: пул соединений DatabasePool (5–20 соединений); модуль хранения сообщений с постраничной выборкой (LIMIT) и мягким удалением; WebSocket-менеджер для доставки событий 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реальном времени; модуль полнотекстового поиска через LIKE с фильтрацией по правам доступа; подсистема загрузки и хранения медиафайлов с интеграцией Cloudinary. Функциональное тестирование по семи сценариям подтвердило корректность реализации всех модулей.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третьей главе проведено технико-экономическое обоснование разработки. Совокупный объём капитальных затрат (CAPEX) составил 2 727 250 рублей. Прогнозируемая годовая выручка при комбинированной модели монетизации — 5 160 000 рублей. Чистая прибыл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ь после налогообложения составляет 2 649 750 рублей в год. Рентабельность инвестиций (ROI) — 97%, срок окупаемости — около 1 года. Полученные показатели свидетельствуют о высокой инвестиционной привлекательности и экономической целесообразности разработки.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ходе аналитической части проведён обзор рынка мессенджеров, изучено нормати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вно-правовое регулирование в Российской Федерации и выполнен сравнительный анализ архитектур хранения данных в Telegram, Signal и WhatsApp. Анализ позволил сформулировать требования к разрабатываемой подсистеме и обосновать принятые проектные решения. [13]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Практическая часть включает проектирование диаграммы 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рецедентов, логической и физической моделей базы данных, а также архитектуры подсистемы из четырёх уровней. Реализованы семь программных модулей: пул соединений, хранение сообщений, WebSocket-менеджер, поиск, медиафайлы, аутентификация и тестирование. [12]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Перспективами развития подс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истемы являются: переход с LIKE-поиска на FULLTEXT-индексы MySQL для повышения производительности при росте объёма данных; реализация сквозного шифрования сообщений; добавление горизонтального масштабирования базы данных через репликацию master-slave. [43]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Все поставленные задачи дипломного проекта 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ыполнены в полном объёме. Разработанная подсистема хранения данных, поиска и медиафайлов обеспечивает надёжное хранение истории переписки, эффективный поиск по содержимому и корректную работу с медиафайлами в составе кроссплатформенного мессенджера Aurora.</w:t>
      </w:r>
      <w:r/>
    </w:p>
    <w:p w14:paraId="27CD6ED9">
      <w:pPr>
        <w:pBdr/>
        <w:shd w:val="nil" w:color="auto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</w:p>
    <w:p>
      <w:pPr>
        <w:pBdr/>
        <w:tabs>
          <w:tab w:val="right" w:leader="dot" w:pos="9208"/>
        </w:tabs>
        <w:spacing w:before="0" w:line="360" w:lineRule="auto"/>
        <w:ind w:left="0"/>
        <w:jc w:val="center"/>
        <w:rPr>
          <w:highlight w:val="none"/>
        </w:rPr>
      </w:pPr>
      <w:r/>
      <w:hyperlink w:tooltip="#bm_bib" w:anchor="bm_bib" w:history="1">
        <w:r>
          <w:rPr>
            <w:rFonts w:ascii="Times New Roman" w:hAnsi="Times New Roman" w:eastAsia="Times New Roman" w:cs="Times New Roman"/>
            <w:b/>
            <w:sz w:val="28"/>
            <w:szCs w:val="28"/>
          </w:rPr>
          <w:t xml:space="preserve">СПИСОК ИСПОЛЬЗОВАННЫХ ИСТОЧНИКОВ</w:t>
        </w:r>
      </w:hyperlink>
      <w:r>
        <w:rPr>
          <w:highlight w:val="none"/>
        </w:rPr>
      </w:r>
      <w:r>
        <w:rPr>
          <w:highlight w:val="none"/>
        </w:rPr>
      </w:r>
    </w:p>
    <w:p w14:paraId="655A7EF0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ГОСТы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стандарты</w:t>
      </w:r>
      <w:r>
        <w:rPr>
          <w:rFonts w:ascii="Times New Roman" w:hAnsi="Times New Roman" w:cs="Times New Roman"/>
          <w:sz w:val="28"/>
          <w:szCs w:val="28"/>
        </w:rPr>
        <w:t xml:space="preserve">, федеральные законы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25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Российская Федерация. Законы. Об информации, информационных технологиях и о защите информации: Федеральный закон от 27.07.2006 № 149-ФЗ (ред. от 12.12.2023) // СПС «КонсультантПлюс». — 2024.</w:t>
      </w:r>
      <w:r/>
    </w:p>
    <w:p>
      <w:pPr>
        <w:pStyle w:val="925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Российская Федерация. Законы. О персональных данных: Федеральный закон от 27.07.2006 № 152-ФЗ (ред. от 06.02.2023) // СПС «КонсультантПлюс». — 2024.</w:t>
      </w:r>
      <w:r/>
    </w:p>
    <w:p>
      <w:pPr>
        <w:pStyle w:val="925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ГОСТ Р ИСО/МЭК 12207-2010. Информационная технология. Системная и программная инженерия. Процессы жизненного цикла программных средств. — Москва: Стандартинформ, 2012. — 104 с.</w:t>
      </w:r>
      <w:r/>
    </w:p>
    <w:p>
      <w:pPr>
        <w:pStyle w:val="925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ГОСТ Р 34.10-2012. Информационная технология. Криптографическая защита информации. Процессы формирования и проверки электронной цифровой подписи. — Москва: Стандартинформ, 2013.</w:t>
      </w:r>
      <w:r/>
    </w:p>
    <w:p>
      <w:pPr>
        <w:pStyle w:val="925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ГОСТ 19.404-79. Единая система программной документации. Пояснительная записка. Требования к содержанию и оформлению. — Москва: Стандартинформ, 2010.</w:t>
      </w:r>
      <w:r/>
    </w:p>
    <w:p>
      <w:pPr>
        <w:pStyle w:val="925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ISO/IEC 25010:2011. Systems and software engineering — Systems and software Quality Requirements and Evaluation (SQuaRE) — System and software quality models. — ISO, 2011. — 34 p.</w:t>
      </w:r>
      <w:r/>
    </w:p>
    <w:p w14:paraId="41ADF4C8">
      <w:pPr>
        <w:pStyle w:val="1_498"/>
        <w:pBdr/>
        <w:shd w:val="clear" w:color="auto" w:fill="auto"/>
        <w:tabs>
          <w:tab w:val="left" w:leader="none" w:pos="1416"/>
        </w:tabs>
        <w:spacing/>
        <w:ind w:firstLine="0" w:left="709"/>
        <w:jc w:val="center"/>
        <w:rPr/>
      </w:pPr>
      <w:r>
        <w:t xml:space="preserve">Учебник, учебное пособие</w:t>
      </w:r>
      <w:r/>
      <w:r/>
      <w:r>
        <w:rPr>
          <w:rFonts w:ascii="Times New Roman" w:hAnsi="Times New Roman" w:eastAsia="Times New Roman" w:cs="Times New Roman"/>
          <w:sz w:val="28"/>
          <w:szCs w:val="28"/>
        </w:rPr>
      </w:r>
      <w:r/>
      <w:r/>
      <w:r/>
    </w:p>
    <w:p>
      <w:pPr>
        <w:pStyle w:val="925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OMG Unified Modeling Language (UML) Specification, Version 2.5.1. — Object Management Group, 2017. — URL: https://www.omg.org/spec/UML/2.5.1/ (дата обращения: 15.03.2026).</w:t>
      </w:r>
      <w:r/>
    </w:p>
    <w:p>
      <w:pPr>
        <w:pStyle w:val="925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Кириллов, В. В. Введение в реляционные базы данных / В. В. Кириллов, Г. Ю. Громов. — Санкт-Петербург: БХВ-Петербург, 2012. — 464 с.</w:t>
      </w:r>
      <w:r/>
    </w:p>
    <w:p>
      <w:pPr>
        <w:pStyle w:val="925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Лутц, М. Изучаем Python / М. Лутц; пер. с англ. А. Киселёва. — 5-е изд. — Москва: О'Рейли, 2020. — 1280 с.</w:t>
      </w:r>
      <w:r/>
    </w:p>
    <w:p>
      <w:pPr>
        <w:pStyle w:val="925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Мартин, Р. Чистая архитектура. Искусство разработки программного обеспечения / Р. Мартин; пер. с англ. — Санкт-Петербург: Питер, 2018. — 352 с.</w:t>
      </w:r>
      <w:r/>
    </w:p>
    <w:p>
      <w:pPr>
        <w:pStyle w:val="925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Ньюмен, С. Создание микросервисов / С. Ньюмен; пер. с англ. П. Миронова. — 2-е изд. — Санкт-Петербург: Питер, 2021. — 624 с.</w:t>
      </w:r>
      <w:r/>
    </w:p>
    <w:p>
      <w:pPr>
        <w:pStyle w:val="925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Прохоренок, Н. А. Python 3 и PyQt 6. Разработка приложений / Н. А. Прохоренок, В. А. Дронов. — Санкт-Петербург: БХВ-Петербург, 2022. — 896 с.</w:t>
      </w:r>
      <w:r/>
    </w:p>
    <w:p>
      <w:pPr>
        <w:pStyle w:val="925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Романовский, М. В. Защита информации в телекоммуникационных системах: учебное пособие / М. В. Романовский. — Москва: Академия, 2018. — 336 с.</w:t>
      </w:r>
      <w:r/>
    </w:p>
    <w:p>
      <w:pPr>
        <w:pStyle w:val="925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Форсье, Дж. Веб-разработка с применением Django и React / Дж. Форсье, П. Биссекс, У. Чун; пер. с англ. — Москва: ДМК Пресс, 2020. — 464 с.</w:t>
      </w:r>
      <w:r/>
    </w:p>
    <w:p w14:paraId="42C69741">
      <w:pPr>
        <w:pBdr/>
        <w:spacing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Иностранная литература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  <w:r/>
    </w:p>
    <w:p>
      <w:pPr>
        <w:pStyle w:val="925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Beazley, D. Python Cookbook: Recipes for Mastering Python 3 / D. Beazley, B. K. Jones. — 3rd ed. — Sebastopol: O'Reilly Media, 2013. — 706 p.</w:t>
      </w:r>
      <w:r/>
    </w:p>
    <w:p>
      <w:pPr>
        <w:pStyle w:val="925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Codd, E. F. A Relational Model of Data for Large Shared Data Banks / E. F. Codd. — Communications of the ACM. — 1970. — Vol. 13, № 6. — P. 377–387.</w:t>
      </w:r>
      <w:r/>
    </w:p>
    <w:p>
      <w:pPr>
        <w:pStyle w:val="925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Elmasri, R. Fundamentals of Database Systems / R. Elmasri, S. Navathe. — 7th ed. — Hoboken: Pearson, 2016. — 1272 p.</w:t>
      </w:r>
      <w:r/>
    </w:p>
    <w:p>
      <w:pPr>
        <w:pStyle w:val="925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Fette, I. The WebSocket Protocol: RFC 6455 / I. Fette, A. Melnikov. — IETF, 2011. — URL: https://datatracker.ietf.org/doc/html/rfc6455 (дата обращения: 12.03.2026).</w:t>
      </w:r>
      <w:r/>
    </w:p>
    <w:p>
      <w:pPr>
        <w:pStyle w:val="925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Fielding, R. Architectural Styles and the Design of Network-based Software Architectures: doctoral dissertation / R. Fielding. — University of California, Irvine, 2000. — 162 p.</w:t>
      </w:r>
      <w:r/>
    </w:p>
    <w:p>
      <w:pPr>
        <w:pStyle w:val="925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Gamma, E. Design Patterns: Elements of Reusable Object-Oriented Software / E. Gamma, R. Helm, R. Johnson, J. Vlissides. — Reading: Addison-Wesley, 1994. — 395 p.</w:t>
      </w:r>
      <w:r/>
    </w:p>
    <w:p>
      <w:pPr>
        <w:pStyle w:val="925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Grigorik, I. High Performance Browser Networking / I. Grigorik. — Sebastopol: O'Reilly Media, 2022. — 408 p.</w:t>
      </w:r>
      <w:r/>
    </w:p>
    <w:p>
      <w:pPr>
        <w:pStyle w:val="925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Kleppmann, M. Designing Data-Intensive Applications / M. Kleppmann. — Sebastopol: O'Reilly Media, 2017. — 590 p.</w:t>
      </w:r>
      <w:r/>
    </w:p>
    <w:p>
      <w:pPr>
        <w:pStyle w:val="925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Percival, H. Architecture Patterns with Python / H. Percival, B. Gregory. — Sebastopol: O'Reilly Media, 2020. — 280 p.</w:t>
      </w:r>
      <w:r/>
    </w:p>
    <w:p>
      <w:pPr>
        <w:pStyle w:val="925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Ramakrishnan, R. Database Management Systems / R. Ramakrishnan, J. Gehrke. — 3rd ed. — New York: McGraw-Hill, 2003. — 1065 p.</w:t>
      </w:r>
      <w:r/>
    </w:p>
    <w:p>
      <w:pPr>
        <w:pStyle w:val="925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Tanenbaum, A. S. Computer Networks / A. S. Tanenbaum, D. J. Wetherall. — 5th ed. — Upper Saddle River: Prentice Hall, 2011. — 960 p.</w:t>
      </w:r>
      <w:r/>
      <w:r/>
    </w:p>
    <w:p w14:paraId="091FA55B">
      <w:pPr>
        <w:pStyle w:val="1_498"/>
        <w:pBdr/>
        <w:shd w:val="clear" w:color="auto" w:fill="auto"/>
        <w:tabs>
          <w:tab w:val="left" w:leader="none" w:pos="1420"/>
        </w:tabs>
        <w:spacing/>
        <w:ind w:right="0" w:firstLine="0" w:left="0"/>
        <w:jc w:val="center"/>
        <w:rPr/>
      </w:pPr>
      <w:r/>
      <w:r>
        <w:rPr>
          <w:rFonts w:ascii="Times New Roman" w:hAnsi="Times New Roman" w:cs="Times New Roman"/>
          <w:sz w:val="28"/>
          <w:szCs w:val="28"/>
        </w:rPr>
        <w:t xml:space="preserve">Интернет-ресурсы</w:t>
      </w:r>
      <w:r/>
      <w:r/>
      <w:r/>
    </w:p>
    <w:p>
      <w:pPr>
        <w:pStyle w:val="925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aiomysql Documentation. — 2024. — URL: https://aiomysql.readthedocs.io/ (дата обращения: 12.03.2026).</w:t>
      </w:r>
      <w:r/>
    </w:p>
    <w:p>
      <w:pPr>
        <w:pStyle w:val="925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bcrypt: Modern password hashing library. — 2024. — URL: https://pypi.org/project/bcrypt/ (дата обращения: 15.03.2026).</w:t>
      </w:r>
      <w:r/>
    </w:p>
    <w:p>
      <w:pPr>
        <w:pStyle w:val="925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Cloudinary Documentation. — Cloudinary Ltd., 2024. — URL: https://cloudinary.com/documentation (дата обращения: 10.03.2026).</w:t>
      </w:r>
      <w:r/>
    </w:p>
    <w:p>
      <w:pPr>
        <w:pStyle w:val="925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Docker Documentation: официальная документация. — Docker Inc., 2024. — URL: https://docs.docker.com/ (дата обращения: 14.03.2026).</w:t>
      </w:r>
      <w:r/>
    </w:p>
    <w:p>
      <w:pPr>
        <w:pStyle w:val="925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FastAPI — современный веб-фреймворк для создания API с Python: документация. — 2024. — URL: https://fastapi.tiangolo.com/ (дата обращения: 11.03.2026).</w:t>
      </w:r>
      <w:r/>
    </w:p>
    <w:p>
      <w:pPr>
        <w:pStyle w:val="925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FastAPI Documentation. Advanced User Guide. — 2024. — URL: https://fastapi.tiangolo.com/advanced/ (дата обращения: 11.03.2026).</w:t>
      </w:r>
      <w:r/>
    </w:p>
    <w:p>
      <w:pPr>
        <w:pStyle w:val="925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Microsoft Azure Architecture Center. N-tier architecture style. — Microsoft, 2024. — URL: https://learn.microsoft.com/en-us/azure/architecture/guide/architecture-styles/n-tier (дата обращения: 14.03.2026).</w:t>
      </w:r>
      <w:r/>
    </w:p>
    <w:p>
      <w:pPr>
        <w:pStyle w:val="925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Мессенджеры в России: итоги 2024 года. — Brand Analytics, 2024. — URL: https://br-analytics.ru/blog/messengery-v-rossii/ (дата обращения: 22.03.2026).</w:t>
      </w:r>
      <w:r/>
    </w:p>
    <w:p>
      <w:pPr>
        <w:pStyle w:val="925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MySQL 8.0 Reference Manual. — Oracle Corporation, 2024. — URL: https://dev.mysql.com/doc/refman/8.0/en/ (дата обращения: 10.03.2026).</w:t>
      </w:r>
      <w:r/>
    </w:p>
    <w:p>
      <w:pPr>
        <w:pStyle w:val="925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PostgreSQL Documentation 16. The PostgreSQL Global Development Group. — 2024. — URL: https://www.postgresql.org/docs/16/ (дата обращения: 15.03.2026).</w:t>
      </w:r>
      <w:r/>
    </w:p>
    <w:p>
      <w:pPr>
        <w:pStyle w:val="925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Pydantic Documentation. — 2024. — URL: https://docs.pydantic.dev/ (дата обращения: 10.03.2026).</w:t>
      </w:r>
      <w:r/>
    </w:p>
    <w:p>
      <w:pPr>
        <w:pStyle w:val="925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PyJWT: Python library for JSON Web Tokens. — 2024. — URL: https://pyjwt.readthedocs.io/ (дата обращения: 15.03.2026).</w:t>
      </w:r>
      <w:r/>
    </w:p>
    <w:p>
      <w:pPr>
        <w:pStyle w:val="925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Python asyncio — Asynchronous I/O: официальная документация. — Python Software Foundation, 2024. — URL: https://docs.python.org/3/library/asyncio.html (дата обращения: 18.03.2026).</w:t>
      </w:r>
      <w:r/>
    </w:p>
    <w:p>
      <w:pPr>
        <w:pStyle w:val="925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Python Software Foundation: официальный сайт. — 2024. — URL: https://www.python.org (дата обращения: 20.03.2026).</w:t>
      </w:r>
      <w:r/>
    </w:p>
    <w:p>
      <w:pPr>
        <w:pStyle w:val="925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React Documentation. — Meta Platforms, 2024. — URL: https://react.dev/ (дата обращения: 08.03.2026).</w:t>
      </w:r>
      <w:r/>
    </w:p>
    <w:p>
      <w:pPr>
        <w:pStyle w:val="925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Signal Protocol Documentation. — Open Whisper Systems, 2024. — URL: https://signal.org/docs/ (дата обращения: 18.03.2026).</w:t>
      </w:r>
      <w:r/>
    </w:p>
    <w:p>
      <w:pPr>
        <w:pStyle w:val="925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SQLAlchemy 2.0 Documentation. — 2024. — URL: https://docs.sqlalchemy.org/en/20/ (дата обращения: 12.03.2026).</w:t>
      </w:r>
      <w:r/>
    </w:p>
    <w:p>
      <w:pPr>
        <w:pStyle w:val="925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SQLite Documentation: официальная документация. — 2024. — URL: https://www.sqlite.org/docs.html (дата обращения: 15.03.2026).</w:t>
      </w:r>
      <w:r/>
    </w:p>
    <w:p>
      <w:pPr>
        <w:pStyle w:val="925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Stack Overflow Developer Survey 2024: результаты ежегодного опроса разработчиков. — Stack Overflow, 2024. — URL: https://survey.stackoverflow.co/2024 (дата обращения: 25.03.2026).</w:t>
      </w:r>
      <w:r/>
    </w:p>
    <w:p>
      <w:pPr>
        <w:pStyle w:val="925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Statista. Number of mobile messaging app users worldwide from 2018 to 2027. — Statista Inc., 2024. — URL: https://www.statista.com/statistics/483255/number-of-mobile-messaging-users-worldwide/ (дата обращения: 20.03.2026).</w:t>
      </w:r>
      <w:r/>
    </w:p>
    <w:p>
      <w:pPr>
        <w:pStyle w:val="925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Telegram MTProto Mobile Protocol. — Telegram Messenger LLP, 2024. — URL: https://core.telegram.org/mtproto (дата обращения: 18.03.2026).</w:t>
      </w:r>
      <w:r/>
    </w:p>
    <w:p>
      <w:pPr>
        <w:pStyle w:val="925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TypeScript Handbook. — Microsoft Corporation, 2024. — URL: https://www.typescriptlang.org/docs/ (дата обращения: 09.03.2026).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943"/>
        <w:pBdr/>
        <w:spacing w:after="0" w:before="0" w:line="360" w:lineRule="auto"/>
        <w:ind/>
        <w:jc w:val="center"/>
        <w:rPr/>
      </w:pPr>
      <w:r/>
      <w:bookmarkStart w:id="701" w:name="_Toc35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ПРИЛОЖЕНИЕ А</w:t>
      </w:r>
      <w:bookmarkEnd w:id="701"/>
      <w:r/>
      <w:r/>
    </w:p>
    <w:p>
      <w:pPr>
        <w:pBdr/>
        <w:spacing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Тестирование функциональной пригодности приложения</w:t>
      </w:r>
      <w:r/>
    </w:p>
    <w:p>
      <w:pPr>
        <w:pBdr/>
        <w:spacing w:after="60" w:before="12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А.1 – Тестирование функциональной пригодности роли «Гость»</w:t>
      </w:r>
      <w:r/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20"/>
        <w:gridCol w:w="1510"/>
        <w:gridCol w:w="621"/>
        <w:gridCol w:w="2191"/>
        <w:gridCol w:w="1587"/>
        <w:gridCol w:w="1568"/>
        <w:gridCol w:w="1457"/>
      </w:tblGrid>
      <w:tr>
        <w:trPr>
          <w:trHeight w:val="400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0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№</w:t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10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Тест-кейс</w:t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1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Тип</w:t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1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Действия</w:t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87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Исходные данные</w:t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8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Ожидаемый результат</w:t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57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Фактический результат</w:t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0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10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Регистрация с корректными данными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1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1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Перейти на страницу регистрации → ввести уникальный тег, email, пароль → нажать «Зарегистрироваться»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87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{username: «test_user», email: «test@mail.ru», password: «Pass123!»}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8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Учётная запись создана, пользователь перенаправлен на страницу настройки профиля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57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Запись создана в таблице users, JWT-токен возвращён, профиль доступен</w:t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0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10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Авторизация с корректными данными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1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1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Перейти на страницу входа → ввести email и пароль → нажать «Войти»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87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{email: «test@mail.ru», password: «Pass123!»}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8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Пользователь авторизован, открыт главный экран со списком чатов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57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JWT-токен получен, интерфейс загружен корректно</w:t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0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10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Регистрация с уже занятым тегом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1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1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Ввести тег, который уже зарегистрирован в системе → нажать «Зарегистрироваться»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87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{tag: «kayano»}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8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Отображается ошибка: «Данный тег уже занят»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57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Сервер возвращает код 409, сообщение об ошибке отображается</w:t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0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10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Авторизация с неверным паролем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1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1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Ввести корректный email и неверный пароль → нажать «Войти»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87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{email: «test@mail.ru», password: «WrongPass»}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8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Отображается ошибка: «Неверный email или пароль»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57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Сервер возвращает код 401, вход не выполнен</w:t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0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10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Обращение к защищённому эндпоинту без токена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1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1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Отправить GET-запрос к /api/users/me без заголовка Authorization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87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Authorization: отсутствует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8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Сервер возвращает HTTP 401 Unauthorized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57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Ответ: 401 Unauthorized, доступ запрещён</w:t>
            </w:r>
            <w:r>
              <w:rPr>
                <w:sz w:val="32"/>
                <w:szCs w:val="32"/>
              </w:rPr>
            </w:r>
          </w:p>
        </w:tc>
      </w:tr>
    </w:tbl>
    <w:p w14:paraId="75B70978">
      <w:pPr>
        <w:pBdr/>
        <w:spacing w:after="60" w:before="12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A4CA1AB">
      <w:pPr>
        <w:pBdr/>
        <w:spacing w:after="60" w:before="120"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А.2 – Тестирование функциональной пригодности роли «Пользователь»</w:t>
      </w:r>
      <w:r/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276"/>
        <w:gridCol w:w="709"/>
        <w:gridCol w:w="2126"/>
        <w:gridCol w:w="1417"/>
        <w:gridCol w:w="1559"/>
        <w:gridCol w:w="1701"/>
      </w:tblGrid>
      <w:tr>
        <w:trPr>
          <w:trHeight w:val="400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№</w:t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Тест-кейс</w:t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Тип</w:t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Действия</w:t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Исходные данные</w:t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Ожидаемый результат</w:t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Фактический результат</w:t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Отправка сообщения онлайн-пользователю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Открыть личный чат → ввести текст → нажать «Отправить»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{text: «Привет!», receiver_id: 2}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Сообщение отображается в чате, получатель видит его в реальном времени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Запись сохранена в таблице messages, WebSocket-событие доставлено</w:t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Отправка сообщения офлайн-пользователю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Открыть чат с офлайн-пользователем → ввести текст → отправить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{text: «Сообщение», receiver_id: 3}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Сообщение сохранено с флагом delivered = FALSE; доставлено при подключении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Запись в БД создана, при входе адресата флаг delivered обновлён до TRUE</w:t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Загрузка изображения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Нажать кнопку прикрепления → выбрать PNG-файл (5 МБ) → отправить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{file: image.png, size: 5 МБ, type: image/png}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Изображение загружено, URL сохранён в базе данных, превью отображается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Файл загружен в Cloudinary, URL сохранён в поле file_path</w:t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Поиск сообщения по ключевому слову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Открыть панель поиска → ввести слово → нажать «Найти»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{query: «привет»}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Список сообщений, содержащих «привет», отображается корректно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Возвращены только сообщения текущего пользователя с данной подстрокой</w:t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Поиск пользователя по тегу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Открыть поиск → ввести тег пользователя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{tag: «@kayano»}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Профиль пользователя с данным тегом отображается в результатах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Метод get_user_by_tag выполнен, данные профиля возвращены</w:t>
            </w:r>
            <w:r>
              <w:rPr>
                <w:sz w:val="32"/>
                <w:szCs w:val="32"/>
              </w:rPr>
            </w:r>
          </w:p>
        </w:tc>
      </w:tr>
    </w:tbl>
    <w:p w14:paraId="19F8623F">
      <w:pPr>
        <w:pBdr/>
        <w:spacing/>
        <w:ind/>
        <w:rPr/>
      </w:pPr>
      <w:r/>
      <w:r/>
      <w:r/>
    </w:p>
    <w:p w14:paraId="69E69F0B">
      <w:pPr>
        <w:pBdr/>
        <w:spacing/>
        <w:ind/>
        <w:rPr/>
      </w:pPr>
      <w:r/>
      <w:r/>
      <w:r/>
    </w:p>
    <w:p w14:paraId="2FE96CBF">
      <w:pPr>
        <w:pBdr/>
        <w:spacing/>
        <w:ind/>
        <w:rPr/>
      </w:pPr>
      <w:r/>
      <w:r/>
      <w:r/>
    </w:p>
    <w:p w14:paraId="486F211C">
      <w:pPr>
        <w:pBdr/>
        <w:spacing/>
        <w:ind/>
        <w:rPr/>
      </w:pPr>
      <w:r/>
      <w:r/>
      <w:r/>
    </w:p>
    <w:p w14:paraId="7E7D28E7">
      <w:pPr>
        <w:pBdr/>
        <w:spacing/>
        <w:ind/>
        <w:rPr/>
      </w:pPr>
      <w:r/>
      <w:r/>
      <w:r/>
    </w:p>
    <w:p w14:paraId="689957A8">
      <w:pPr>
        <w:pBdr/>
        <w:spacing/>
        <w:ind/>
        <w:rPr/>
      </w:pPr>
      <w:r/>
      <w:r/>
      <w:r/>
    </w:p>
    <w:p w14:paraId="1C496A79">
      <w:pPr>
        <w:pBdr/>
        <w:spacing/>
        <w:ind/>
        <w:rPr/>
      </w:pPr>
      <w:r>
        <w:rPr>
          <w:lang w:val="ru-RU"/>
        </w:rPr>
        <w:t xml:space="preserve">Продолжение таблицы </w:t>
      </w:r>
      <w:r>
        <w:rPr>
          <w:lang w:val="en-US"/>
        </w:rPr>
        <w:t xml:space="preserve">A.2</w:t>
      </w:r>
      <w:r/>
      <w:r/>
      <w:r/>
      <w:r/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276"/>
        <w:gridCol w:w="709"/>
        <w:gridCol w:w="2126"/>
        <w:gridCol w:w="1417"/>
        <w:gridCol w:w="1559"/>
        <w:gridCol w:w="1701"/>
      </w:tblGrid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  <w:vMerge w:val="restart"/>
          </w:tcPr>
          <w:p w14:paraId="0F390490"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№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  <w:vMerge w:val="restart"/>
          </w:tcPr>
          <w:p w14:paraId="4CB5D6D0"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Тест-кейс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  <w:vMerge w:val="restart"/>
          </w:tcPr>
          <w:p w14:paraId="3F123E48"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Тип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vMerge w:val="restart"/>
          </w:tcPr>
          <w:p w14:paraId="73D9180E"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Действия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  <w:vMerge w:val="restart"/>
          </w:tcPr>
          <w:p w14:paraId="0E6373FF"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Исходные данные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vMerge w:val="restart"/>
          </w:tcPr>
          <w:p w14:paraId="7C97493E"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Ожидаемый результат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  <w:vMerge w:val="restart"/>
          </w:tcPr>
          <w:p w14:paraId="26CE5DA9"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Фактический результат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6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Создание группового чата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Нажать «Создать группу» → ввести название → добавить участников → сохранить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{name: «Тестовая группа», members: [user2, user3]}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Группа создана, участники добавлены, отображается в списке чатов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Записи в таблицах groups и group_members созданы корректно</w:t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7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Добавление участника в группу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Открыть настройки группы → «Добавить участника» → выбрать пользователя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{group_id: 1, user_tag: «@newuser»}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Новый участник добавлен, отображается в списке группы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Запись в group_members создана, системное сообщение отправлено</w:t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8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Удаление сообщения «для всех»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Навести курсор на сообщение → «Удалить» → «Для всех»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{message_id: 42, for_self: false}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Сообщение скрыто у всех участников диалога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Флаг is_deleted = TRUE установлен, сообщение не отображается ни у кого</w:t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9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Удаление сообщения «только для себя»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Навести курсор на сообщение → «Удалить» → «Только для меня»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{message_id: 43, for_self: true, current_user_id: 1}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Сообщение скрыто только у инициатора, видно второму участнику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Флаг deleted_by_sender = 1, у получателя сообщение отображается</w:t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10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Редактирование сообщения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Навести курсор на своё сообщение → «Редактировать» → изменить текст → сохранить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{message_id: 44, new_text: «Исправленный текст»}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Сообщение обновлено, отображается маркер «изменено»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Поля message_text и edited_at обновлены в базе данных</w:t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11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Постановка реакции на сообщение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Нажать на иконку реакций рядом с сообщением → выбрать эмодзи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{message_id: 45, emoji: «👍», user_id: 1}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Реакция отображается под сообщением у всех участников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Запись в message_reactions создана, WebSocket-событие разослано</w:t>
            </w:r>
            <w:r>
              <w:rPr>
                <w:sz w:val="32"/>
                <w:szCs w:val="32"/>
              </w:rPr>
            </w:r>
          </w:p>
        </w:tc>
      </w:tr>
    </w:tbl>
    <w:p w14:paraId="44B24F32">
      <w:pPr>
        <w:pBdr/>
        <w:spacing/>
        <w:ind/>
        <w:rPr/>
      </w:pPr>
      <w:r/>
      <w:r/>
      <w:r/>
    </w:p>
    <w:p w14:paraId="7B485856">
      <w:pPr>
        <w:pBdr/>
        <w:spacing/>
        <w:ind/>
        <w:rPr/>
      </w:pPr>
      <w:r/>
      <w:r/>
      <w:r/>
    </w:p>
    <w:p w14:paraId="538B3ACE">
      <w:pPr>
        <w:pBdr/>
        <w:spacing/>
        <w:ind/>
        <w:rPr/>
      </w:pPr>
      <w:r/>
      <w:r/>
      <w:r/>
    </w:p>
    <w:p w14:paraId="5DAF4649">
      <w:pPr>
        <w:pBdr/>
        <w:spacing/>
        <w:ind/>
        <w:rPr/>
      </w:pPr>
      <w:r/>
      <w:r/>
      <w:r/>
    </w:p>
    <w:p w14:paraId="52C1F590">
      <w:pPr>
        <w:pBdr/>
        <w:spacing/>
        <w:ind/>
        <w:rPr/>
      </w:pPr>
      <w:r/>
      <w:r/>
      <w:r/>
    </w:p>
    <w:p w14:paraId="1988ABE5">
      <w:pPr>
        <w:pBdr/>
        <w:spacing/>
        <w:ind/>
        <w:rPr/>
      </w:pPr>
      <w:r/>
      <w:r/>
      <w:r/>
    </w:p>
    <w:p w14:paraId="7C0F2746">
      <w:pPr>
        <w:pBdr/>
        <w:spacing/>
        <w:ind/>
        <w:rPr/>
      </w:pPr>
      <w:r/>
      <w:r/>
    </w:p>
    <w:p w14:paraId="50B4D66C">
      <w:pPr>
        <w:pBdr/>
        <w:spacing/>
        <w:ind/>
        <w:rPr/>
      </w:pPr>
      <w:r>
        <w:rPr>
          <w:lang w:val="ru-RU"/>
        </w:rPr>
        <w:t xml:space="preserve">Продолжение таблицы </w:t>
      </w:r>
      <w:r>
        <w:rPr>
          <w:lang w:val="en-US"/>
        </w:rPr>
        <w:t xml:space="preserve">A.2</w:t>
      </w:r>
      <w:r/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276"/>
        <w:gridCol w:w="709"/>
        <w:gridCol w:w="2126"/>
        <w:gridCol w:w="1417"/>
        <w:gridCol w:w="1559"/>
        <w:gridCol w:w="1701"/>
      </w:tblGrid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  <w:vMerge w:val="restart"/>
          </w:tcPr>
          <w:p w14:paraId="0F390490"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№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  <w:vMerge w:val="restart"/>
          </w:tcPr>
          <w:p w14:paraId="4CB5D6D0"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Тест-кейс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  <w:vMerge w:val="restart"/>
          </w:tcPr>
          <w:p w14:paraId="3F123E48"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Тип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vMerge w:val="restart"/>
          </w:tcPr>
          <w:p w14:paraId="73D9180E"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Действия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  <w:vMerge w:val="restart"/>
          </w:tcPr>
          <w:p w14:paraId="0E6373FF"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Исходные данные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vMerge w:val="restart"/>
          </w:tcPr>
          <w:p w14:paraId="7C97493E"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Ожидаемый результат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  <w:vMerge w:val="restart"/>
          </w:tcPr>
          <w:p w14:paraId="26CE5DA9"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Фактический результат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12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Отправка пустого сообщения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Очистить поле ввода → нажать «Отправить»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{text: «»}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Отправка заблокирована, сообщение не создаётся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Кнопка «Отправить» неактивна при пустом поле ввода</w:t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13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Загрузка файла превышающего допустимый размер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Прикрепить файл размером более 100 МБ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{file_size: 120 МБ}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Отображается ошибка: «Файл превышает допустимый размер»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Загрузка отклонена на стороне клиента, сообщение об ошибке показано</w:t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14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Редактирование чужого сообщения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Попытаться отредактировать сообщение другого пользователя через API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{message_id: 50, sender_id: 2, current_user_id: 1}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Сервер возвращает HTTP 403 Forbidden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Ответ: 403 Forbidden, редактирование отклонено</w:t>
            </w:r>
            <w:r>
              <w:rPr>
                <w:sz w:val="32"/>
                <w:szCs w:val="32"/>
              </w:rPr>
            </w:r>
          </w:p>
        </w:tc>
      </w:tr>
    </w:tbl>
    <w:p>
      <w:pPr>
        <w:pBdr/>
        <w:spacing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А.3 – Тестирование функциональной пригодности роли «Администратор»</w:t>
      </w:r>
      <w:r/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276"/>
        <w:gridCol w:w="709"/>
        <w:gridCol w:w="2126"/>
        <w:gridCol w:w="1417"/>
        <w:gridCol w:w="1559"/>
        <w:gridCol w:w="1701"/>
      </w:tblGrid>
      <w:tr>
        <w:trPr>
          <w:trHeight w:val="400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№</w:t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Тест-кейс</w:t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Тип</w:t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Действия</w:t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Исходные данные</w:t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Ожидаемый результат</w:t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Фактический результат</w:t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Просмотр списка обращений в поддержку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Открыть административную панель → перейти в раздел «Поддержка»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Авторизация с тегом администратора (@kayano)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Отображается список всех обращений пользователей с датой и статусом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Метод get_all_threads выполнен, список обращений загружен корректно</w:t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Ответ пользователю в поддержке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Открыть обращение → ввести текст ответа → нажать «Отправить»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{user_id: 5, message_text: «Ваш запрос обработан»}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Ответ сохранён с флагом is_admin_reply = TRUE, пользователь получает уведомление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Запись в support_messages создана, WebSocket-событие отправлено пользователю</w:t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Просмотр всех зарегистрированных пользователей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Административная панель → раздел «Пользователи»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Авторизация с правами администратора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Отображается список всех пользователей системы с их тегами и датами регистрации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Метод get_all_users выполнен, список пользователей загружен</w:t>
            </w:r>
            <w:r>
              <w:rPr>
                <w:sz w:val="32"/>
                <w:szCs w:val="32"/>
              </w:rPr>
            </w:r>
          </w:p>
        </w:tc>
      </w:tr>
    </w:tbl>
    <w:p w14:paraId="2D6E736B">
      <w:pPr>
        <w:pBdr/>
        <w:spacing/>
        <w:ind/>
        <w:rPr/>
      </w:pPr>
      <w:r>
        <w:rPr>
          <w:lang w:val="ru-RU"/>
        </w:rPr>
        <w:t xml:space="preserve">Продолжение таблицы А.3</w:t>
      </w:r>
      <w:r/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276"/>
        <w:gridCol w:w="709"/>
        <w:gridCol w:w="2126"/>
        <w:gridCol w:w="1417"/>
        <w:gridCol w:w="1559"/>
        <w:gridCol w:w="1701"/>
      </w:tblGrid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  <w:vMerge w:val="restart"/>
          </w:tcPr>
          <w:p w14:paraId="40B476A1"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№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  <w:vMerge w:val="restart"/>
          </w:tcPr>
          <w:p w14:paraId="541C8BC7"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Тест-кейс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  <w:vMerge w:val="restart"/>
          </w:tcPr>
          <w:p w14:paraId="48C9F895"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Тип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vMerge w:val="restart"/>
          </w:tcPr>
          <w:p w14:paraId="4B62C97D"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Действия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  <w:vMerge w:val="restart"/>
          </w:tcPr>
          <w:p w14:paraId="728254D0"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Исходные данные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vMerge w:val="restart"/>
          </w:tcPr>
          <w:p w14:paraId="1A07548C"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Ожидаемый результат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  <w:vMerge w:val="restart"/>
          </w:tcPr>
          <w:p w14:paraId="6F5EF693"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Фактический результат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Отправка сообщения от имени администратора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Открыть любой чат → ввести текст → отправить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{text: «Административное уведомление», receiver_id: 5}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Сообщение доставлено получателю, отображается аватар администратора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Запись в messages создана, доставлено через WebSocket</w:t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Ответ с пустым текстом в поддержке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Открыть обращение → оставить поле ответа пустым → нажать «Отправить»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{message_text: «»}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Отправка заблокирована, отображается ошибка валидации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Кнопка «Отправить» неактивна при пустом поле</w:t>
            </w:r>
            <w:r>
              <w:rPr>
                <w:sz w:val="32"/>
                <w:szCs w:val="32"/>
              </w:rPr>
            </w:r>
          </w:p>
        </w:tc>
      </w:tr>
    </w:tbl>
    <w:p w14:paraId="04EA09B2">
      <w:pPr>
        <w:pBdr/>
        <w:spacing/>
        <w:ind/>
        <w:rPr/>
      </w:pPr>
      <w:r/>
    </w:p>
    <w:sectPr>
      <w:footerReference w:type="default" r:id="rId10"/>
      <w:footnotePr/>
      <w:endnotePr/>
      <w:type w:val="nextPage"/>
      <w:pgSz w:h="16838" w:orient="portrait" w:w="11906"/>
      <w:pgMar w:top="1134" w:right="851" w:bottom="1134" w:left="1701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</w:r>
    <w:r>
      <w:rPr>
        <w:rFonts w:ascii="Times New Roman" w:hAnsi="Times New Roman" w:eastAsia="Times New Roman" w:cs="Times New Roman"/>
        <w:sz w:val="24"/>
        <w:szCs w:val="24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nsid w:val="0217784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766B24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2C2DEC8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6715795"/>
    <w:lvl w:ilvl="0">
      <w:isLgl w:val="false"/>
      <w:lvlJc w:val="left"/>
      <w:lvlText w:val="%1)"/>
      <w:numFmt w:val="russianLower"/>
      <w:pPr>
        <w:pBdr/>
        <w:spacing/>
        <w:ind w:hanging="360" w:left="720"/>
      </w:pPr>
      <w:rPr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C5B2A7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3A8967EE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72DBFD6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E217167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507C83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0D8706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D1E7A1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79E3F2B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4760E52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044A42B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4F3B10E8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48DD8D6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6782683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7C5A6763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220CE7A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183AF5F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3E6975D0"/>
    <w:lvl w:ilvl="0">
      <w:isLgl w:val="false"/>
      <w:lvlJc w:val="left"/>
      <w:lvlText w:val="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Table Grid"/>
    <w:basedOn w:val="7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Table Grid Light"/>
    <w:basedOn w:val="7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1"/>
    <w:basedOn w:val="7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2"/>
    <w:basedOn w:val="7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1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2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3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4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5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6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1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2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3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4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5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6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1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2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3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4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5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6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3" w:default="1">
    <w:name w:val="Normal"/>
    <w:qFormat/>
    <w:pPr>
      <w:pBdr/>
      <w:spacing/>
      <w:ind/>
    </w:pPr>
  </w:style>
  <w:style w:type="paragraph" w:styleId="884">
    <w:name w:val="Heading 7"/>
    <w:basedOn w:val="883"/>
    <w:next w:val="883"/>
    <w:link w:val="89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5">
    <w:name w:val="Heading 8"/>
    <w:basedOn w:val="883"/>
    <w:next w:val="883"/>
    <w:link w:val="89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6">
    <w:name w:val="Heading 9"/>
    <w:basedOn w:val="883"/>
    <w:next w:val="883"/>
    <w:link w:val="89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7" w:default="1">
    <w:name w:val="Default Paragraph Font"/>
    <w:uiPriority w:val="1"/>
    <w:semiHidden/>
    <w:unhideWhenUsed/>
    <w:pPr>
      <w:pBdr/>
      <w:spacing/>
      <w:ind/>
    </w:p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character" w:styleId="889">
    <w:name w:val="Heading 1 Char"/>
    <w:basedOn w:val="887"/>
    <w:link w:val="9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0">
    <w:name w:val="Heading 2 Char"/>
    <w:basedOn w:val="887"/>
    <w:link w:val="9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1">
    <w:name w:val="Heading 3 Char"/>
    <w:basedOn w:val="887"/>
    <w:link w:val="9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2">
    <w:name w:val="Heading 4 Char"/>
    <w:basedOn w:val="887"/>
    <w:link w:val="93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3">
    <w:name w:val="Heading 5 Char"/>
    <w:basedOn w:val="887"/>
    <w:link w:val="9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4">
    <w:name w:val="Heading 6 Char"/>
    <w:basedOn w:val="887"/>
    <w:link w:val="9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5">
    <w:name w:val="Heading 7 Char"/>
    <w:basedOn w:val="887"/>
    <w:link w:val="88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6">
    <w:name w:val="Heading 8 Char"/>
    <w:basedOn w:val="887"/>
    <w:link w:val="8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7">
    <w:name w:val="Heading 9 Char"/>
    <w:basedOn w:val="887"/>
    <w:link w:val="88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8">
    <w:name w:val="Title Char"/>
    <w:basedOn w:val="887"/>
    <w:link w:val="93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9">
    <w:name w:val="Subtitle"/>
    <w:basedOn w:val="883"/>
    <w:next w:val="883"/>
    <w:link w:val="90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0">
    <w:name w:val="Subtitle Char"/>
    <w:basedOn w:val="887"/>
    <w:link w:val="89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1">
    <w:name w:val="Quote"/>
    <w:basedOn w:val="883"/>
    <w:next w:val="883"/>
    <w:link w:val="90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2">
    <w:name w:val="Quote Char"/>
    <w:basedOn w:val="887"/>
    <w:link w:val="90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3">
    <w:name w:val="Intense Emphasis"/>
    <w:basedOn w:val="88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4">
    <w:name w:val="Intense Quote"/>
    <w:basedOn w:val="883"/>
    <w:next w:val="883"/>
    <w:link w:val="90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5">
    <w:name w:val="Intense Quote Char"/>
    <w:basedOn w:val="887"/>
    <w:link w:val="90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6">
    <w:name w:val="Intense Reference"/>
    <w:basedOn w:val="88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7">
    <w:name w:val="No Spacing"/>
    <w:basedOn w:val="883"/>
    <w:uiPriority w:val="1"/>
    <w:qFormat/>
    <w:pPr>
      <w:pBdr/>
      <w:spacing w:after="0" w:line="240" w:lineRule="auto"/>
      <w:ind/>
    </w:pPr>
  </w:style>
  <w:style w:type="character" w:styleId="908">
    <w:name w:val="Subtle Emphasis"/>
    <w:basedOn w:val="88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9">
    <w:name w:val="Emphasis"/>
    <w:basedOn w:val="887"/>
    <w:uiPriority w:val="20"/>
    <w:qFormat/>
    <w:pPr>
      <w:pBdr/>
      <w:spacing/>
      <w:ind/>
    </w:pPr>
    <w:rPr>
      <w:i/>
      <w:iCs/>
    </w:rPr>
  </w:style>
  <w:style w:type="character" w:styleId="910">
    <w:name w:val="Subtle Reference"/>
    <w:basedOn w:val="88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1">
    <w:name w:val="Book Title"/>
    <w:basedOn w:val="88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2">
    <w:name w:val="Header"/>
    <w:basedOn w:val="883"/>
    <w:link w:val="91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3">
    <w:name w:val="Header Char"/>
    <w:basedOn w:val="887"/>
    <w:link w:val="912"/>
    <w:uiPriority w:val="99"/>
    <w:pPr>
      <w:pBdr/>
      <w:spacing/>
      <w:ind/>
    </w:pPr>
  </w:style>
  <w:style w:type="paragraph" w:styleId="914">
    <w:name w:val="Footer"/>
    <w:basedOn w:val="883"/>
    <w:link w:val="91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5">
    <w:name w:val="Footer Char"/>
    <w:basedOn w:val="887"/>
    <w:link w:val="914"/>
    <w:uiPriority w:val="99"/>
    <w:pPr>
      <w:pBdr/>
      <w:spacing/>
      <w:ind/>
    </w:pPr>
  </w:style>
  <w:style w:type="paragraph" w:styleId="916">
    <w:name w:val="Caption"/>
    <w:basedOn w:val="883"/>
    <w:next w:val="88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917">
    <w:name w:val="FollowedHyperlink"/>
    <w:basedOn w:val="88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8">
    <w:name w:val="toc 1"/>
    <w:basedOn w:val="883"/>
    <w:next w:val="883"/>
    <w:uiPriority w:val="39"/>
    <w:unhideWhenUsed/>
    <w:pPr>
      <w:pBdr/>
      <w:spacing w:after="100"/>
      <w:ind/>
    </w:pPr>
  </w:style>
  <w:style w:type="paragraph" w:styleId="919">
    <w:name w:val="toc 2"/>
    <w:basedOn w:val="883"/>
    <w:next w:val="883"/>
    <w:uiPriority w:val="39"/>
    <w:unhideWhenUsed/>
    <w:pPr>
      <w:pBdr/>
      <w:spacing w:after="100"/>
      <w:ind w:left="220"/>
    </w:pPr>
  </w:style>
  <w:style w:type="paragraph" w:styleId="920">
    <w:name w:val="toc 3"/>
    <w:basedOn w:val="883"/>
    <w:next w:val="883"/>
    <w:uiPriority w:val="39"/>
    <w:unhideWhenUsed/>
    <w:pPr>
      <w:pBdr/>
      <w:spacing w:after="100"/>
      <w:ind w:left="440"/>
    </w:pPr>
  </w:style>
  <w:style w:type="paragraph" w:styleId="921">
    <w:name w:val="toc 4"/>
    <w:basedOn w:val="883"/>
    <w:next w:val="883"/>
    <w:uiPriority w:val="39"/>
    <w:unhideWhenUsed/>
    <w:pPr>
      <w:pBdr/>
      <w:spacing w:after="100"/>
      <w:ind w:left="660"/>
    </w:pPr>
  </w:style>
  <w:style w:type="paragraph" w:styleId="922">
    <w:name w:val="toc 5"/>
    <w:basedOn w:val="883"/>
    <w:next w:val="883"/>
    <w:uiPriority w:val="39"/>
    <w:unhideWhenUsed/>
    <w:pPr>
      <w:pBdr/>
      <w:spacing w:after="100"/>
      <w:ind w:left="880"/>
    </w:pPr>
  </w:style>
  <w:style w:type="paragraph" w:styleId="923">
    <w:name w:val="toc 6"/>
    <w:basedOn w:val="883"/>
    <w:next w:val="883"/>
    <w:uiPriority w:val="39"/>
    <w:unhideWhenUsed/>
    <w:pPr>
      <w:pBdr/>
      <w:spacing w:after="100"/>
      <w:ind w:left="1100"/>
    </w:pPr>
  </w:style>
  <w:style w:type="paragraph" w:styleId="924">
    <w:name w:val="toc 7"/>
    <w:basedOn w:val="883"/>
    <w:next w:val="883"/>
    <w:uiPriority w:val="39"/>
    <w:unhideWhenUsed/>
    <w:pPr>
      <w:pBdr/>
      <w:spacing w:after="100"/>
      <w:ind w:left="1320"/>
    </w:pPr>
  </w:style>
  <w:style w:type="paragraph" w:styleId="925">
    <w:name w:val="toc 8"/>
    <w:basedOn w:val="883"/>
    <w:next w:val="883"/>
    <w:uiPriority w:val="39"/>
    <w:unhideWhenUsed/>
    <w:pPr>
      <w:pBdr/>
      <w:spacing w:after="100"/>
      <w:ind w:left="1540"/>
    </w:pPr>
  </w:style>
  <w:style w:type="paragraph" w:styleId="926">
    <w:name w:val="toc 9"/>
    <w:basedOn w:val="883"/>
    <w:next w:val="883"/>
    <w:uiPriority w:val="39"/>
    <w:unhideWhenUsed/>
    <w:pPr>
      <w:pBdr/>
      <w:spacing w:after="100"/>
      <w:ind w:left="1760"/>
    </w:pPr>
  </w:style>
  <w:style w:type="character" w:styleId="927">
    <w:name w:val="Placeholder Text"/>
    <w:basedOn w:val="887"/>
    <w:uiPriority w:val="99"/>
    <w:semiHidden/>
    <w:pPr>
      <w:pBdr/>
      <w:spacing/>
      <w:ind/>
    </w:pPr>
    <w:rPr>
      <w:color w:val="666666"/>
    </w:rPr>
  </w:style>
  <w:style w:type="paragraph" w:styleId="928">
    <w:name w:val="TOC Heading"/>
    <w:uiPriority w:val="39"/>
    <w:unhideWhenUsed/>
    <w:pPr>
      <w:pBdr/>
      <w:spacing/>
      <w:ind/>
    </w:pPr>
  </w:style>
  <w:style w:type="paragraph" w:styleId="929">
    <w:name w:val="table of figures"/>
    <w:basedOn w:val="883"/>
    <w:next w:val="883"/>
    <w:uiPriority w:val="99"/>
    <w:unhideWhenUsed/>
    <w:pPr>
      <w:pBdr/>
      <w:spacing w:after="0" w:afterAutospacing="0"/>
      <w:ind/>
    </w:pPr>
  </w:style>
  <w:style w:type="paragraph" w:styleId="930">
    <w:name w:val="Title"/>
    <w:qFormat/>
    <w:pPr>
      <w:pBdr/>
      <w:spacing/>
      <w:ind/>
    </w:pPr>
    <w:rPr>
      <w:sz w:val="56"/>
      <w:szCs w:val="56"/>
    </w:rPr>
  </w:style>
  <w:style w:type="paragraph" w:styleId="931">
    <w:name w:val="Heading 4"/>
    <w:qFormat/>
    <w:pPr>
      <w:pBdr/>
      <w:spacing/>
      <w:ind/>
    </w:pPr>
    <w:rPr>
      <w:i/>
      <w:iCs/>
      <w:color w:val="2e74b5"/>
    </w:rPr>
  </w:style>
  <w:style w:type="paragraph" w:styleId="932">
    <w:name w:val="Heading 5"/>
    <w:qFormat/>
    <w:pPr>
      <w:pBdr/>
      <w:spacing/>
      <w:ind/>
    </w:pPr>
    <w:rPr>
      <w:color w:val="2e74b5"/>
    </w:rPr>
  </w:style>
  <w:style w:type="paragraph" w:styleId="933">
    <w:name w:val="Heading 6"/>
    <w:qFormat/>
    <w:pPr>
      <w:pBdr/>
      <w:spacing/>
      <w:ind/>
    </w:pPr>
    <w:rPr>
      <w:color w:val="1f4d78"/>
    </w:rPr>
  </w:style>
  <w:style w:type="paragraph" w:styleId="934">
    <w:name w:val="Strong"/>
    <w:qFormat/>
    <w:pPr>
      <w:pBdr/>
      <w:spacing/>
      <w:ind/>
    </w:pPr>
    <w:rPr>
      <w:b/>
      <w:bCs/>
    </w:rPr>
  </w:style>
  <w:style w:type="paragraph" w:styleId="935">
    <w:name w:val="List Paragraph"/>
    <w:qFormat/>
    <w:pPr>
      <w:pBdr/>
      <w:spacing/>
      <w:ind/>
    </w:pPr>
  </w:style>
  <w:style w:type="character" w:styleId="93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3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38">
    <w:name w:val="footnote text"/>
    <w:link w:val="9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9">
    <w:name w:val="Footnote Text Char"/>
    <w:link w:val="93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4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41">
    <w:name w:val="endnote text"/>
    <w:link w:val="94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2">
    <w:name w:val="Endnote Text Char"/>
    <w:link w:val="941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943">
    <w:name w:val="Heading 1"/>
    <w:qFormat/>
    <w:pPr>
      <w:pBdr/>
      <w:spacing w:after="240" w:before="0" w:line="360" w:lineRule="auto"/>
      <w:ind/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944">
    <w:name w:val="Heading 2"/>
    <w:qFormat/>
    <w:pPr>
      <w:pBdr/>
      <w:spacing w:after="120" w:before="240" w:line="360" w:lineRule="auto"/>
      <w:ind/>
      <w:outlineLvl w:val="1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945">
    <w:name w:val="Heading 3"/>
    <w:qFormat/>
    <w:pPr>
      <w:pBdr/>
      <w:spacing w:after="60" w:before="120" w:line="360" w:lineRule="auto"/>
      <w:ind/>
      <w:outlineLvl w:val="2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1_498" w:customStyle="1">
    <w:name w:val="Основной текст1"/>
    <w:basedOn w:val="990"/>
    <w:link w:val="997"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clear" w:color="auto" w:fill="ffffff"/>
      <w:bidi w:val="false"/>
      <w:spacing w:after="0" w:afterAutospacing="0" w:before="0" w:beforeAutospacing="0" w:line="360" w:lineRule="auto"/>
      <w:ind w:right="0" w:firstLine="40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ru-RU" w:eastAsia="ru-RU" w:bidi="ru-RU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27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4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Table Grid"/>
    <w:basedOn w:val="14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Table Grid Light"/>
    <w:basedOn w:val="14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Plain Table 1"/>
    <w:basedOn w:val="14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Plain Table 2"/>
    <w:basedOn w:val="14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Plain Table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Plain Table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Plain Table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Grid Table 1 Light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Grid Table 1 Light 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Grid Table 1 Light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Grid Table 1 Light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Grid Table 1 Light 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Grid Table 1 Light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Grid Table 1 Light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Grid Table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Grid Table 2 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Grid Table 2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Grid Table 2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Grid Table 2 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Grid Table 2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Grid Table 2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Grid Table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Grid Table 3 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Grid Table 3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Grid Table 3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Grid Table 3 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Grid Table 3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Grid Table 3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Grid Table 4"/>
    <w:basedOn w:val="14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Grid Table 4 - Accent 1"/>
    <w:basedOn w:val="14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Grid Table 4 - Accent 2"/>
    <w:basedOn w:val="14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Grid Table 4 - Accent 3"/>
    <w:basedOn w:val="14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Grid Table 4 - Accent 4"/>
    <w:basedOn w:val="14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Grid Table 4 - Accent 5"/>
    <w:basedOn w:val="14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Grid Table 4 - Accent 6"/>
    <w:basedOn w:val="14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Grid Table 5 Dark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Grid Table 5 Dark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Grid Table 5 Dark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Grid Table 5 Dark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Grid Table 5 Dark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Grid Table 5 Dark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Grid Table 5 Dark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Grid Table 6 Colorful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Grid Table 6 Colorful 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Grid Table 6 Colorful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Grid Table 6 Colorful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Grid Table 6 Colorful 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Grid Table 6 Colorful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Grid Table 6 Colorful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Grid Table 7 Colorful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Grid Table 7 Colorful 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Grid Table 7 Colorful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Grid Table 7 Colorful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Grid Table 7 Colorful 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Grid Table 7 Colorful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Grid Table 7 Colorful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List Table 1 Light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List Table 1 Light 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List Table 1 Light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List Table 1 Light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List Table 1 Light 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List Table 1 Light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List Table 1 Light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List Table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List Table 2 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List Table 2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List Table 2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List Table 2 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List Table 2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List Table 2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List Table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List Table 3 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List Table 3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List Table 3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List Table 3 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List Table 3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List Table 3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List Table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List Table 4 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List Table 4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List Table 4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List Table 4 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List Table 4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List Table 4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List Table 5 Dark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List Table 5 Dark 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List Table 5 Dark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List Table 5 Dark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List Table 5 Dark 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List Table 5 Dark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List Table 5 Dark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List Table 6 Colorful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List Table 6 Colorful 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List Table 6 Colorful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List Table 6 Colorful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List Table 6 Colorful 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List Table 6 Colorful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List Table 6 Colorful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List Table 7 Colorful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List Table 7 Colorful 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List Table 7 Colorful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List Table 7 Colorful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List Table 7 Colorful 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List Table 7 Colorful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List Table 7 Colorful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Lined - Accent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Lined - Accent 1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Lined - Accent 2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Lined - Accent 3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Lined - Accent 4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Lined - Accent 5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Lined - Accent 6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Bordered &amp; Lined - Accent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Bordered &amp; Lined - Accent 1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Bordered &amp; Lined - Accent 2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Bordered &amp; Lined - Accent 3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Bordered &amp; Lined - Accent 4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Bordered &amp; Lined - Accent 5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Bordered &amp; Lined - Accent 6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Bordered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Bordered 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Bordered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Bordered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Bordered 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Bordered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Bordered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75" w:default="1">
    <w:name w:val="Normal"/>
    <w:qFormat/>
    <w:pPr>
      <w:pBdr/>
      <w:spacing/>
      <w:ind/>
    </w:pPr>
  </w:style>
  <w:style w:type="paragraph" w:styleId="1576">
    <w:name w:val="Heading 1"/>
    <w:basedOn w:val="1575"/>
    <w:next w:val="1575"/>
    <w:link w:val="158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77">
    <w:name w:val="Heading 2"/>
    <w:basedOn w:val="1575"/>
    <w:next w:val="1575"/>
    <w:link w:val="158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78">
    <w:name w:val="Heading 3"/>
    <w:basedOn w:val="1575"/>
    <w:next w:val="1575"/>
    <w:link w:val="158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79">
    <w:name w:val="Heading 4"/>
    <w:basedOn w:val="1575"/>
    <w:next w:val="1575"/>
    <w:link w:val="159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80">
    <w:name w:val="Heading 5"/>
    <w:basedOn w:val="1575"/>
    <w:next w:val="1575"/>
    <w:link w:val="159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81">
    <w:name w:val="Heading 6"/>
    <w:basedOn w:val="1575"/>
    <w:next w:val="1575"/>
    <w:link w:val="159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82">
    <w:name w:val="Heading 7"/>
    <w:basedOn w:val="1575"/>
    <w:next w:val="1575"/>
    <w:link w:val="159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83">
    <w:name w:val="Heading 8"/>
    <w:basedOn w:val="1575"/>
    <w:next w:val="1575"/>
    <w:link w:val="159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84">
    <w:name w:val="Heading 9"/>
    <w:basedOn w:val="1575"/>
    <w:next w:val="1575"/>
    <w:link w:val="159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85" w:default="1">
    <w:name w:val="Default Paragraph Font"/>
    <w:uiPriority w:val="1"/>
    <w:semiHidden/>
    <w:unhideWhenUsed/>
    <w:pPr>
      <w:pBdr/>
      <w:spacing/>
      <w:ind/>
    </w:pPr>
  </w:style>
  <w:style w:type="numbering" w:styleId="1586" w:default="1">
    <w:name w:val="No List"/>
    <w:uiPriority w:val="99"/>
    <w:semiHidden/>
    <w:unhideWhenUsed/>
    <w:pPr>
      <w:pBdr/>
      <w:spacing/>
      <w:ind/>
    </w:pPr>
  </w:style>
  <w:style w:type="character" w:styleId="1587">
    <w:name w:val="Heading 1 Char"/>
    <w:basedOn w:val="1585"/>
    <w:link w:val="15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88">
    <w:name w:val="Heading 2 Char"/>
    <w:basedOn w:val="1585"/>
    <w:link w:val="15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89">
    <w:name w:val="Heading 3 Char"/>
    <w:basedOn w:val="1585"/>
    <w:link w:val="15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90">
    <w:name w:val="Heading 4 Char"/>
    <w:basedOn w:val="1585"/>
    <w:link w:val="157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91">
    <w:name w:val="Heading 5 Char"/>
    <w:basedOn w:val="1585"/>
    <w:link w:val="15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92">
    <w:name w:val="Heading 6 Char"/>
    <w:basedOn w:val="1585"/>
    <w:link w:val="158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93">
    <w:name w:val="Heading 7 Char"/>
    <w:basedOn w:val="1585"/>
    <w:link w:val="158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94">
    <w:name w:val="Heading 8 Char"/>
    <w:basedOn w:val="1585"/>
    <w:link w:val="158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5">
    <w:name w:val="Heading 9 Char"/>
    <w:basedOn w:val="1585"/>
    <w:link w:val="158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6">
    <w:name w:val="Title"/>
    <w:basedOn w:val="1575"/>
    <w:next w:val="1575"/>
    <w:link w:val="159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7">
    <w:name w:val="Title Char"/>
    <w:basedOn w:val="1585"/>
    <w:link w:val="15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98">
    <w:name w:val="Subtitle"/>
    <w:basedOn w:val="1575"/>
    <w:next w:val="1575"/>
    <w:link w:val="159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99">
    <w:name w:val="Subtitle Char"/>
    <w:basedOn w:val="1585"/>
    <w:link w:val="159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00">
    <w:name w:val="Quote"/>
    <w:basedOn w:val="1575"/>
    <w:next w:val="1575"/>
    <w:link w:val="160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01">
    <w:name w:val="Quote Char"/>
    <w:basedOn w:val="1585"/>
    <w:link w:val="160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02">
    <w:name w:val="List Paragraph"/>
    <w:basedOn w:val="1575"/>
    <w:uiPriority w:val="34"/>
    <w:qFormat/>
    <w:pPr>
      <w:pBdr/>
      <w:spacing/>
      <w:ind w:left="720"/>
      <w:contextualSpacing w:val="true"/>
    </w:pPr>
  </w:style>
  <w:style w:type="character" w:styleId="1603">
    <w:name w:val="Intense Emphasis"/>
    <w:basedOn w:val="158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04">
    <w:name w:val="Intense Quote"/>
    <w:basedOn w:val="1575"/>
    <w:next w:val="1575"/>
    <w:link w:val="160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05">
    <w:name w:val="Intense Quote Char"/>
    <w:basedOn w:val="1585"/>
    <w:link w:val="160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06">
    <w:name w:val="Intense Reference"/>
    <w:basedOn w:val="158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07">
    <w:name w:val="No Spacing"/>
    <w:basedOn w:val="1575"/>
    <w:uiPriority w:val="1"/>
    <w:qFormat/>
    <w:pPr>
      <w:pBdr/>
      <w:spacing w:after="0" w:line="240" w:lineRule="auto"/>
      <w:ind/>
    </w:pPr>
  </w:style>
  <w:style w:type="character" w:styleId="1608">
    <w:name w:val="Subtle Emphasis"/>
    <w:basedOn w:val="158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09">
    <w:name w:val="Emphasis"/>
    <w:basedOn w:val="1585"/>
    <w:uiPriority w:val="20"/>
    <w:qFormat/>
    <w:pPr>
      <w:pBdr/>
      <w:spacing/>
      <w:ind/>
    </w:pPr>
    <w:rPr>
      <w:i/>
      <w:iCs/>
    </w:rPr>
  </w:style>
  <w:style w:type="character" w:styleId="1610">
    <w:name w:val="Strong"/>
    <w:basedOn w:val="1585"/>
    <w:uiPriority w:val="22"/>
    <w:qFormat/>
    <w:pPr>
      <w:pBdr/>
      <w:spacing/>
      <w:ind/>
    </w:pPr>
    <w:rPr>
      <w:b/>
      <w:bCs/>
    </w:rPr>
  </w:style>
  <w:style w:type="character" w:styleId="1611">
    <w:name w:val="Subtle Reference"/>
    <w:basedOn w:val="158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12">
    <w:name w:val="Book Title"/>
    <w:basedOn w:val="158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13">
    <w:name w:val="Header"/>
    <w:basedOn w:val="1575"/>
    <w:link w:val="161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14">
    <w:name w:val="Header Char"/>
    <w:basedOn w:val="1585"/>
    <w:link w:val="1613"/>
    <w:uiPriority w:val="99"/>
    <w:pPr>
      <w:pBdr/>
      <w:spacing/>
      <w:ind/>
    </w:pPr>
  </w:style>
  <w:style w:type="paragraph" w:styleId="1615">
    <w:name w:val="Footer"/>
    <w:basedOn w:val="1575"/>
    <w:link w:val="161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16">
    <w:name w:val="Footer Char"/>
    <w:basedOn w:val="1585"/>
    <w:link w:val="1615"/>
    <w:uiPriority w:val="99"/>
    <w:pPr>
      <w:pBdr/>
      <w:spacing/>
      <w:ind/>
    </w:pPr>
  </w:style>
  <w:style w:type="paragraph" w:styleId="1617">
    <w:name w:val="Caption"/>
    <w:basedOn w:val="1575"/>
    <w:next w:val="157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18">
    <w:name w:val="footnote text"/>
    <w:basedOn w:val="1575"/>
    <w:link w:val="16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19">
    <w:name w:val="Footnote Text Char"/>
    <w:basedOn w:val="1585"/>
    <w:link w:val="1618"/>
    <w:uiPriority w:val="99"/>
    <w:semiHidden/>
    <w:pPr>
      <w:pBdr/>
      <w:spacing/>
      <w:ind/>
    </w:pPr>
    <w:rPr>
      <w:sz w:val="20"/>
      <w:szCs w:val="20"/>
    </w:rPr>
  </w:style>
  <w:style w:type="character" w:styleId="1620">
    <w:name w:val="footnote reference"/>
    <w:basedOn w:val="1585"/>
    <w:uiPriority w:val="99"/>
    <w:semiHidden/>
    <w:unhideWhenUsed/>
    <w:pPr>
      <w:pBdr/>
      <w:spacing/>
      <w:ind/>
    </w:pPr>
    <w:rPr>
      <w:vertAlign w:val="superscript"/>
    </w:rPr>
  </w:style>
  <w:style w:type="paragraph" w:styleId="1621">
    <w:name w:val="endnote text"/>
    <w:basedOn w:val="1575"/>
    <w:link w:val="16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22">
    <w:name w:val="Endnote Text Char"/>
    <w:basedOn w:val="1585"/>
    <w:link w:val="1621"/>
    <w:uiPriority w:val="99"/>
    <w:semiHidden/>
    <w:pPr>
      <w:pBdr/>
      <w:spacing/>
      <w:ind/>
    </w:pPr>
    <w:rPr>
      <w:sz w:val="20"/>
      <w:szCs w:val="20"/>
    </w:rPr>
  </w:style>
  <w:style w:type="character" w:styleId="1623">
    <w:name w:val="endnote reference"/>
    <w:basedOn w:val="1585"/>
    <w:uiPriority w:val="99"/>
    <w:semiHidden/>
    <w:unhideWhenUsed/>
    <w:pPr>
      <w:pBdr/>
      <w:spacing/>
      <w:ind/>
    </w:pPr>
    <w:rPr>
      <w:vertAlign w:val="superscript"/>
    </w:rPr>
  </w:style>
  <w:style w:type="character" w:styleId="1624">
    <w:name w:val="Hyperlink"/>
    <w:basedOn w:val="158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25">
    <w:name w:val="FollowedHyperlink"/>
    <w:basedOn w:val="158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26">
    <w:name w:val="toc 1"/>
    <w:basedOn w:val="1575"/>
    <w:next w:val="1575"/>
    <w:uiPriority w:val="39"/>
    <w:unhideWhenUsed/>
    <w:pPr>
      <w:pBdr/>
      <w:spacing w:after="100"/>
      <w:ind/>
    </w:pPr>
  </w:style>
  <w:style w:type="paragraph" w:styleId="1627">
    <w:name w:val="toc 2"/>
    <w:basedOn w:val="1575"/>
    <w:next w:val="1575"/>
    <w:uiPriority w:val="39"/>
    <w:unhideWhenUsed/>
    <w:pPr>
      <w:pBdr/>
      <w:spacing w:after="100"/>
      <w:ind w:left="220"/>
    </w:pPr>
  </w:style>
  <w:style w:type="paragraph" w:styleId="1628">
    <w:name w:val="toc 3"/>
    <w:basedOn w:val="1575"/>
    <w:next w:val="1575"/>
    <w:uiPriority w:val="39"/>
    <w:unhideWhenUsed/>
    <w:pPr>
      <w:pBdr/>
      <w:spacing w:after="100"/>
      <w:ind w:left="440"/>
    </w:pPr>
  </w:style>
  <w:style w:type="paragraph" w:styleId="1629">
    <w:name w:val="toc 4"/>
    <w:basedOn w:val="1575"/>
    <w:next w:val="1575"/>
    <w:uiPriority w:val="39"/>
    <w:unhideWhenUsed/>
    <w:pPr>
      <w:pBdr/>
      <w:spacing w:after="100"/>
      <w:ind w:left="660"/>
    </w:pPr>
  </w:style>
  <w:style w:type="paragraph" w:styleId="1630">
    <w:name w:val="toc 5"/>
    <w:basedOn w:val="1575"/>
    <w:next w:val="1575"/>
    <w:uiPriority w:val="39"/>
    <w:unhideWhenUsed/>
    <w:pPr>
      <w:pBdr/>
      <w:spacing w:after="100"/>
      <w:ind w:left="880"/>
    </w:pPr>
  </w:style>
  <w:style w:type="paragraph" w:styleId="1631">
    <w:name w:val="toc 6"/>
    <w:basedOn w:val="1575"/>
    <w:next w:val="1575"/>
    <w:uiPriority w:val="39"/>
    <w:unhideWhenUsed/>
    <w:pPr>
      <w:pBdr/>
      <w:spacing w:after="100"/>
      <w:ind w:left="1100"/>
    </w:pPr>
  </w:style>
  <w:style w:type="paragraph" w:styleId="1632">
    <w:name w:val="toc 7"/>
    <w:basedOn w:val="1575"/>
    <w:next w:val="1575"/>
    <w:uiPriority w:val="39"/>
    <w:unhideWhenUsed/>
    <w:pPr>
      <w:pBdr/>
      <w:spacing w:after="100"/>
      <w:ind w:left="1320"/>
    </w:pPr>
  </w:style>
  <w:style w:type="paragraph" w:styleId="1633">
    <w:name w:val="toc 8"/>
    <w:basedOn w:val="1575"/>
    <w:next w:val="1575"/>
    <w:uiPriority w:val="39"/>
    <w:unhideWhenUsed/>
    <w:pPr>
      <w:pBdr/>
      <w:spacing w:after="100"/>
      <w:ind w:left="1540"/>
    </w:pPr>
  </w:style>
  <w:style w:type="paragraph" w:styleId="1634">
    <w:name w:val="toc 9"/>
    <w:basedOn w:val="1575"/>
    <w:next w:val="1575"/>
    <w:uiPriority w:val="39"/>
    <w:unhideWhenUsed/>
    <w:pPr>
      <w:pBdr/>
      <w:spacing w:after="100"/>
      <w:ind w:left="1760"/>
    </w:pPr>
  </w:style>
  <w:style w:type="character" w:styleId="1635">
    <w:name w:val="Placeholder Text"/>
    <w:basedOn w:val="1585"/>
    <w:uiPriority w:val="99"/>
    <w:semiHidden/>
    <w:pPr>
      <w:pBdr/>
      <w:spacing/>
      <w:ind/>
    </w:pPr>
    <w:rPr>
      <w:color w:val="666666"/>
    </w:rPr>
  </w:style>
  <w:style w:type="paragraph" w:styleId="1636">
    <w:name w:val="TOC Heading"/>
    <w:uiPriority w:val="39"/>
    <w:unhideWhenUsed/>
    <w:pPr>
      <w:pBdr/>
      <w:spacing/>
      <w:ind/>
    </w:pPr>
  </w:style>
  <w:style w:type="paragraph" w:styleId="1637">
    <w:name w:val="table of figures"/>
    <w:basedOn w:val="1575"/>
    <w:next w:val="1575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Мишенин Артём</dc:creator>
  <cp:revision>7</cp:revision>
  <dcterms:created xsi:type="dcterms:W3CDTF">2026-04-27T16:57:56Z</dcterms:created>
  <dcterms:modified xsi:type="dcterms:W3CDTF">2026-05-17T14:42:51Z</dcterms:modified>
</cp:coreProperties>
</file>