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22729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A56E2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«РОССИЙСКАЯ АКАДЕМИЯ НАРОДНОГО ХОЗЯЙСТВА и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74697A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ГОСУДАРСТВЕННОЙ СЛУЖБЫ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270CE7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 Президенте Российской Федерации»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0E30991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C82BFE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КОЛЛЕДЖ МНОГОУРОВНЕВОГО ПРОФЕССИОНАЛЬНОГО ОБРАЗОВАНИЯ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FF08BF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380CD61">
      <w:pPr>
        <w:widowControl w:val="false"/>
        <w:pBdr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spacing w:after="0" w:line="360" w:lineRule="auto"/>
        <w:ind w:left="5"/>
        <w:jc w:val="center"/>
        <w:rPr>
          <w:rFonts w:ascii="Times New Roman" w:hAnsi="Times New Roman" w:cs="Arial"/>
          <w:b/>
          <w:sz w:val="28"/>
          <w:szCs w:val="28"/>
        </w:rPr>
      </w:pPr>
      <w:r>
        <w:rPr>
          <w:rFonts w:ascii="Times New Roman" w:hAnsi="Times New Roman" w:cs="Arial"/>
          <w:b/>
          <w:spacing w:val="-12"/>
          <w:sz w:val="28"/>
          <w:szCs w:val="28"/>
        </w:rPr>
        <w:t xml:space="preserve">Специальность </w:t>
      </w:r>
      <w:r>
        <w:rPr>
          <w:rFonts w:ascii="Times New Roman" w:hAnsi="Times New Roman" w:cs="Arial"/>
          <w:spacing w:val="-12"/>
          <w:sz w:val="28"/>
          <w:szCs w:val="28"/>
          <w:u w:val="single"/>
        </w:rPr>
        <w:t xml:space="preserve">09.02.07 Информационные системы и программирование</w:t>
      </w:r>
      <w:r>
        <w:rPr>
          <w:rFonts w:ascii="Times New Roman" w:hAnsi="Times New Roman" w:cs="Arial"/>
          <w:b/>
          <w:sz w:val="28"/>
          <w:szCs w:val="28"/>
        </w:rPr>
      </w:r>
      <w:r>
        <w:rPr>
          <w:rFonts w:ascii="Times New Roman" w:hAnsi="Times New Roman" w:cs="Arial"/>
          <w:b/>
          <w:sz w:val="28"/>
          <w:szCs w:val="28"/>
        </w:rPr>
      </w:r>
    </w:p>
    <w:p w14:paraId="55A4C9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FD3EA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15023AF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279E331A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УТВЕРЖДАЮ</w:t>
      </w:r>
      <w:r>
        <w:rPr>
          <w:rFonts w:ascii="Times New Roman" w:hAnsi="Times New Roman" w:cs="Arial"/>
          <w:sz w:val="28"/>
          <w:szCs w:val="28"/>
        </w:rPr>
      </w:r>
    </w:p>
    <w:p w14:paraId="39C26C16">
      <w:pPr>
        <w:widowControl w:val="false"/>
        <w:pBdr/>
        <w:tabs>
          <w:tab w:val="right" w:leader="none" w:pos="9355"/>
        </w:tabs>
        <w:spacing w:after="0" w:line="240" w:lineRule="auto"/>
        <w:ind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ab/>
        <w:t xml:space="preserve">Зам. директора КМПО РАНХиГС</w:t>
      </w:r>
      <w:r>
        <w:rPr>
          <w:rFonts w:ascii="Times New Roman" w:hAnsi="Times New Roman" w:cs="Arial"/>
          <w:sz w:val="28"/>
          <w:szCs w:val="28"/>
        </w:rPr>
      </w:r>
    </w:p>
    <w:p w14:paraId="75E61CD7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_________________С.Ф. Гасанов</w:t>
      </w:r>
      <w:r>
        <w:rPr>
          <w:rFonts w:ascii="Times New Roman" w:hAnsi="Times New Roman" w:cs="Arial"/>
          <w:sz w:val="28"/>
          <w:szCs w:val="28"/>
        </w:rPr>
      </w:r>
    </w:p>
    <w:p w14:paraId="16489EB4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«_____» _______________ 2026 г.</w:t>
      </w:r>
      <w:r>
        <w:rPr>
          <w:rFonts w:ascii="Times New Roman" w:hAnsi="Times New Roman" w:cs="Arial"/>
          <w:sz w:val="28"/>
          <w:szCs w:val="28"/>
        </w:rPr>
      </w:r>
    </w:p>
    <w:p w14:paraId="3C2AC0BF">
      <w:pPr>
        <w:widowControl w:val="false"/>
        <w:pBdr/>
        <w:tabs>
          <w:tab w:val="left" w:leader="none" w:pos="6255"/>
        </w:tabs>
        <w:spacing w:after="0" w:line="240" w:lineRule="auto"/>
        <w:ind/>
        <w:jc w:val="center"/>
        <w:rPr>
          <w:rFonts w:ascii="Times New Roman" w:hAnsi="Times New Roman" w:cs="Arial"/>
          <w:b/>
          <w:sz w:val="28"/>
          <w:szCs w:val="28"/>
        </w:rPr>
      </w:pPr>
      <w:r>
        <w:rPr>
          <w:rFonts w:ascii="Times New Roman" w:hAnsi="Times New Roman" w:cs="Arial"/>
          <w:b/>
          <w:sz w:val="28"/>
          <w:szCs w:val="28"/>
        </w:rPr>
      </w:r>
      <w:r>
        <w:rPr>
          <w:rFonts w:ascii="Times New Roman" w:hAnsi="Times New Roman" w:cs="Arial"/>
          <w:b/>
          <w:sz w:val="28"/>
          <w:szCs w:val="28"/>
        </w:rPr>
      </w:r>
    </w:p>
    <w:p w14:paraId="3AA0E52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7C3141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A39B1F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4A1317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ДИПЛОМНЫЙ ПРОЕКТ</w:t>
      </w:r>
      <w:r>
        <w:rPr>
          <w:rFonts w:ascii="Times New Roman" w:hAnsi="Times New Roman" w:cs="Times New Roman"/>
          <w:b/>
          <w:sz w:val="40"/>
          <w:szCs w:val="40"/>
        </w:rPr>
      </w:r>
    </w:p>
    <w:p w14:paraId="6FF261C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0E285F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на тему: «Кроссплатформенный клиент-сервис для обмена сообщениями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. Подсистема хранения данных, поиска и медиа-файлов</w:t>
      </w:r>
      <w:r>
        <w:rPr>
          <w:rFonts w:ascii="Times New Roman" w:hAnsi="Times New Roman" w:cs="Times New Roman"/>
          <w:b/>
          <w:sz w:val="36"/>
          <w:szCs w:val="36"/>
        </w:rPr>
        <w:t xml:space="preserve">»</w:t>
      </w:r>
      <w:r>
        <w:rPr>
          <w:rFonts w:ascii="Times New Roman" w:hAnsi="Times New Roman" w:cs="Times New Roman"/>
          <w:b/>
          <w:sz w:val="36"/>
          <w:szCs w:val="36"/>
        </w:rPr>
      </w:r>
    </w:p>
    <w:p w14:paraId="5A342CA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02DAA67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7404045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38CA779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tbl>
      <w:tblPr>
        <w:tblInd w:w="5" w:type="dxa"/>
        <w:tblW w:w="0" w:type="auto"/>
        <w:tblBorders/>
        <w:tblLook w:val="04A0" w:firstRow="1" w:lastRow="0" w:firstColumn="1" w:lastColumn="0" w:noHBand="0" w:noVBand="1"/>
      </w:tblPr>
      <w:tblGrid>
        <w:gridCol w:w="4526"/>
        <w:gridCol w:w="2552"/>
        <w:gridCol w:w="2261"/>
      </w:tblGrid>
      <w:tr>
        <w:trPr/>
        <w:tc>
          <w:tcPr>
            <w:shd w:val="clear" w:color="ffffff" w:fill="ffffff"/>
            <w:tcBorders/>
            <w:tcW w:w="4526" w:type="dxa"/>
          </w:tcPr>
          <w:p w14:paraId="46B59218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  <w:lang w:val="ru-RU"/>
              </w:rPr>
              <w:t xml:space="preserve">403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  <w:t xml:space="preserve">ИС-2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Arial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Arial"/>
                <w:sz w:val="24"/>
                <w:szCs w:val="24"/>
                <w:lang w:val="en-US"/>
              </w:rPr>
            </w:r>
          </w:p>
          <w:p w14:paraId="607B12A9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18F1D8A5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3A9B4A2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auto"/>
                <w:sz w:val="24"/>
                <w:szCs w:val="24"/>
                <w:lang w:val="ru-RU"/>
              </w:rPr>
              <w:t xml:space="preserve">А. Г. Мишенин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w14:paraId="6F2DBBBF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Руководитель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7E02BE36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6908875E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0AA6ECF5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Ю.Г. Грибова</w:t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w14:paraId="593DC22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Нормоконтролер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75D807D2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2ADAFD11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511EEE4B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Ю.Г. Грибова</w:t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w14:paraId="512CDAD8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Консультант по технико-экономическому обоснованию проекта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0FD1F7AA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40E2679D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649B614B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7CDCCBB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left"/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r>
          </w:p>
          <w:p w14:paraId="6BAC390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000000" w:themeColor="text1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  <w:lang w:val="ru-RU"/>
              </w:rPr>
              <w:t xml:space="preserve">М. В. Вартанова</w:t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  <w:highlight w:val="none"/>
                <w:lang w:val="ru-RU"/>
              </w:rPr>
            </w:r>
          </w:p>
        </w:tc>
      </w:tr>
      <w:tr>
        <w:trPr>
          <w:trHeight w:val="629"/>
        </w:trPr>
        <w:tc>
          <w:tcPr>
            <w:shd w:val="clear" w:color="ffffff" w:fill="ffffff"/>
            <w:tcBorders/>
            <w:tcW w:w="4526" w:type="dxa"/>
          </w:tcPr>
          <w:p w14:paraId="11C614D0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Старший консультант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69EC16D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4D0AA17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6A0D2249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  <w:t xml:space="preserve">Рудометкина М.Н.</w:t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r>
          </w:p>
        </w:tc>
      </w:tr>
    </w:tbl>
    <w:p w14:paraId="1B19EBE5"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58595D5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E35FF5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5B983A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МОСКВА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1A14932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6</w:t>
      </w:r>
      <w:r>
        <w:rPr>
          <w:rFonts w:ascii="Times New Roman" w:hAnsi="Times New Roman" w:cs="Times New Roman"/>
          <w:b/>
          <w:sz w:val="24"/>
          <w:szCs w:val="24"/>
        </w:rPr>
        <w:t xml:space="preserve"> г.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CF3E41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81F6A2C">
      <w:pPr>
        <w:pBdr/>
        <w:spacing w:after="24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426D7893">
          <w:pPr>
            <w:pStyle w:val="921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r>
            <w:fldChar w:fldCharType="begin"/>
            <w:instrText xml:space="preserve">TOC \o "1-9" \h </w:instrText>
            <w:fldChar w:fldCharType="separate"/>
          </w:r>
          <w:r/>
          <w:hyperlink w:tooltip="#_Toc1" w:anchor="_Toc1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  <w:caps/>
              </w:rPr>
              <w:t xml:space="preserve">ВВЕДЕНИЕ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</w:r>
            <w:r>
              <w:rPr>
                <w:rStyle w:val="939"/>
              </w:rPr>
              <w:t xml:space="preserve">2</w:t>
            </w:r>
            <w:r/>
            <w:r>
              <w:fldChar w:fldCharType="end"/>
            </w:r>
          </w:hyperlink>
          <w:r/>
        </w:p>
        <w:p w14:paraId="3124A172">
          <w:pPr>
            <w:pStyle w:val="921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2" w:anchor="_Toc2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  <w:caps/>
              </w:rPr>
              <w:t xml:space="preserve">1 Анализ предметной области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</w:r>
            <w:r>
              <w:rPr>
                <w:rStyle w:val="939"/>
              </w:rPr>
              <w:t xml:space="preserve">5</w:t>
            </w:r>
            <w:r/>
            <w:r>
              <w:fldChar w:fldCharType="end"/>
            </w:r>
          </w:hyperlink>
          <w:r/>
        </w:p>
        <w:p w14:paraId="1E5436DA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3" w:anchor="_Toc3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1.1 Понятие, сущность и основные виды программных продуктов класса мессенджеров. Системы хранения данных и поиска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</w:r>
            <w:r>
              <w:rPr>
                <w:rStyle w:val="939"/>
              </w:rPr>
              <w:t xml:space="preserve">5</w:t>
            </w:r>
            <w:r/>
            <w:r>
              <w:fldChar w:fldCharType="end"/>
            </w:r>
          </w:hyperlink>
          <w:r/>
        </w:p>
        <w:p w14:paraId="54BAB0F7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4" w:anchor="_Toc4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1.2 Нормативно-правовое регулирование разработки программного продукта в России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</w:r>
            <w:r>
              <w:rPr>
                <w:rStyle w:val="939"/>
              </w:rPr>
              <w:t xml:space="preserve">9</w:t>
            </w:r>
            <w:r/>
            <w:r>
              <w:fldChar w:fldCharType="end"/>
            </w:r>
          </w:hyperlink>
          <w:r/>
        </w:p>
        <w:p w14:paraId="218648D6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5" w:anchor="_Toc5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1.3 Анализ систем хранения данных и поиска в существующих мессенджерах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</w:r>
            <w:r>
              <w:rPr>
                <w:rStyle w:val="939"/>
              </w:rPr>
              <w:t xml:space="preserve">12</w:t>
            </w:r>
            <w:r/>
            <w:r>
              <w:fldChar w:fldCharType="end"/>
            </w:r>
          </w:hyperlink>
          <w:r/>
        </w:p>
        <w:p w14:paraId="73D57D0D">
          <w:pPr>
            <w:pStyle w:val="923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6" w:anchor="_Toc6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1.3.1 Архитектура хранения данных в Telegram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</w:r>
            <w:r>
              <w:rPr>
                <w:rStyle w:val="939"/>
              </w:rPr>
              <w:t xml:space="preserve">12</w:t>
            </w:r>
            <w:r/>
            <w:r>
              <w:fldChar w:fldCharType="end"/>
            </w:r>
          </w:hyperlink>
          <w:r/>
        </w:p>
        <w:p w14:paraId="3B491CD2">
          <w:pPr>
            <w:pStyle w:val="923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7" w:anchor="_Toc7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1.3.2 Архитектура хранения данных в Signal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</w:r>
            <w:r>
              <w:rPr>
                <w:rStyle w:val="939"/>
              </w:rPr>
              <w:t xml:space="preserve">13</w:t>
            </w:r>
            <w:r/>
            <w:r>
              <w:fldChar w:fldCharType="end"/>
            </w:r>
          </w:hyperlink>
          <w:r/>
        </w:p>
        <w:p w14:paraId="6BA7FE46">
          <w:pPr>
            <w:pStyle w:val="923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>
              <w:highlight w:val="none"/>
            </w:rPr>
          </w:pPr>
          <w:hyperlink w:tooltip="#_Toc8" w:anchor="_Toc8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1.3.3 Сравнительный анализ подходов к хранению и поиску данных</w:t>
            </w:r>
            <w:r>
              <w:rPr>
                <w:rStyle w:val="939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</w:r>
            <w:r>
              <w:rPr>
                <w:rStyle w:val="939"/>
              </w:rPr>
              <w:t xml:space="preserve">14</w:t>
            </w:r>
            <w:r/>
            <w:r>
              <w:fldChar w:fldCharType="end"/>
            </w:r>
          </w:hyperlink>
          <w:r>
            <w:rPr>
              <w:highlight w:val="none"/>
            </w:rPr>
          </w:r>
        </w:p>
        <w:p w14:paraId="030670A7">
          <w:pPr>
            <w:pStyle w:val="921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>
              <w:highlight w:val="none"/>
            </w:rPr>
          </w:pPr>
          <w:hyperlink w:tooltip="#_Toc9" w:anchor="_Toc9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 ПРОЕКТИРОВАНИЕ, РЕАЛИЗАЦИЯ И ТЕСТИРОВАНИЕ АВТОМАТИЗИРОВАННОЙ СИСТЕМЫ</w:t>
            </w:r>
            <w:r>
              <w:rPr>
                <w:rStyle w:val="939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</w:r>
            <w:r>
              <w:rPr>
                <w:rStyle w:val="939"/>
              </w:rPr>
              <w:t xml:space="preserve">16</w:t>
            </w:r>
            <w:r/>
            <w:r>
              <w:fldChar w:fldCharType="end"/>
            </w:r>
          </w:hyperlink>
          <w:r>
            <w:rPr>
              <w:highlight w:val="none"/>
            </w:rPr>
          </w:r>
        </w:p>
        <w:p w14:paraId="4EE6594C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10" w:anchor="_Toc10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2.1 Разработка предварительных проектных решений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</w:r>
            <w:r>
              <w:rPr>
                <w:rStyle w:val="939"/>
              </w:rPr>
              <w:t xml:space="preserve">17</w:t>
            </w:r>
            <w:r/>
            <w:r>
              <w:fldChar w:fldCharType="end"/>
            </w:r>
          </w:hyperlink>
          <w:r/>
        </w:p>
        <w:p w14:paraId="04CB1792">
          <w:pPr>
            <w:pStyle w:val="923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11" w:anchor="_Toc11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2.1.1 Разработка диаграммы прецедентов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</w:r>
            <w:r>
              <w:rPr>
                <w:rStyle w:val="939"/>
              </w:rPr>
              <w:t xml:space="preserve">17</w:t>
            </w:r>
            <w:r/>
            <w:r>
              <w:fldChar w:fldCharType="end"/>
            </w:r>
          </w:hyperlink>
          <w:r/>
        </w:p>
        <w:p w14:paraId="5BAC0023">
          <w:pPr>
            <w:pStyle w:val="923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12" w:anchor="_Toc12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2.1.2 Выбор инструментальных средств реализации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</w:r>
            <w:r>
              <w:rPr>
                <w:rStyle w:val="939"/>
              </w:rPr>
              <w:t xml:space="preserve">19</w:t>
            </w:r>
            <w:r/>
            <w:r>
              <w:fldChar w:fldCharType="end"/>
            </w:r>
          </w:hyperlink>
          <w:r/>
        </w:p>
        <w:p w14:paraId="6F5C0660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13" w:anchor="_Toc13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2.2 Проектирование базы данных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</w:r>
            <w:r>
              <w:rPr>
                <w:rStyle w:val="939"/>
              </w:rPr>
              <w:t xml:space="preserve">23</w:t>
            </w:r>
            <w:r/>
            <w:r>
              <w:fldChar w:fldCharType="end"/>
            </w:r>
          </w:hyperlink>
          <w:r/>
        </w:p>
        <w:p w14:paraId="18104959">
          <w:pPr>
            <w:pStyle w:val="923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14" w:anchor="_Toc14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2.2.1 Логическая модель данных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</w:r>
            <w:r>
              <w:rPr>
                <w:rStyle w:val="939"/>
              </w:rPr>
              <w:t xml:space="preserve">23</w:t>
            </w:r>
            <w:r/>
            <w:r>
              <w:fldChar w:fldCharType="end"/>
            </w:r>
          </w:hyperlink>
          <w:r/>
        </w:p>
        <w:p w14:paraId="099B78FD">
          <w:pPr>
            <w:pStyle w:val="923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15" w:anchor="_Toc15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2.2.2 Физическая схема базы данных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</w:r>
            <w:r>
              <w:rPr>
                <w:rStyle w:val="939"/>
              </w:rPr>
              <w:t xml:space="preserve">26</w:t>
            </w:r>
            <w:r/>
            <w:r>
              <w:fldChar w:fldCharType="end"/>
            </w:r>
          </w:hyperlink>
          <w:r/>
        </w:p>
        <w:p w14:paraId="57B5D78C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16" w:anchor="_Toc16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2.3 Проектирование архитектуры подсистемы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</w:r>
            <w:r>
              <w:rPr>
                <w:rStyle w:val="939"/>
              </w:rPr>
              <w:t xml:space="preserve">29</w:t>
            </w:r>
            <w:r/>
            <w:r>
              <w:fldChar w:fldCharType="end"/>
            </w:r>
          </w:hyperlink>
          <w:r/>
        </w:p>
        <w:p w14:paraId="256084F6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17" w:anchor="_Toc17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2.4 Реализация пула соединений с базой данных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</w:r>
            <w:r>
              <w:rPr>
                <w:rStyle w:val="939"/>
              </w:rPr>
              <w:t xml:space="preserve">32</w:t>
            </w:r>
            <w:r/>
            <w:r>
              <w:fldChar w:fldCharType="end"/>
            </w:r>
          </w:hyperlink>
          <w:r/>
        </w:p>
        <w:p w14:paraId="25A056AE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18" w:anchor="_Toc18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2.5 Реализация модуля хранения и управления историей сообщений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</w:r>
            <w:r>
              <w:rPr>
                <w:rStyle w:val="939"/>
              </w:rPr>
              <w:t xml:space="preserve">34</w:t>
            </w:r>
            <w:r/>
            <w:r>
              <w:fldChar w:fldCharType="end"/>
            </w:r>
          </w:hyperlink>
          <w:r/>
        </w:p>
        <w:p w14:paraId="45786C8B">
          <w:pPr>
            <w:pStyle w:val="923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19" w:anchor="_Toc19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2.5.1 Запись и чтение сообщений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</w:r>
            <w:r>
              <w:rPr>
                <w:rStyle w:val="939"/>
              </w:rPr>
              <w:t xml:space="preserve">34</w:t>
            </w:r>
            <w:r/>
            <w:r>
              <w:fldChar w:fldCharType="end"/>
            </w:r>
          </w:hyperlink>
          <w:r/>
        </w:p>
        <w:p w14:paraId="1AF953F4">
          <w:pPr>
            <w:pStyle w:val="923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20" w:anchor="_Toc20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2.5.2 Редактирование и удаление сообщений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</w:r>
            <w:r>
              <w:rPr>
                <w:rStyle w:val="939"/>
              </w:rPr>
              <w:t xml:space="preserve">37</w:t>
            </w:r>
            <w:r/>
            <w:r>
              <w:fldChar w:fldCharType="end"/>
            </w:r>
          </w:hyperlink>
          <w:r/>
        </w:p>
        <w:p w14:paraId="03AF3BB8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21" w:anchor="_Toc21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2.6 Реализация WebSocket-менеджера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</w:r>
            <w:r>
              <w:rPr>
                <w:rStyle w:val="939"/>
              </w:rPr>
              <w:t xml:space="preserve">39</w:t>
            </w:r>
            <w:r/>
            <w:r>
              <w:fldChar w:fldCharType="end"/>
            </w:r>
          </w:hyperlink>
          <w:r/>
        </w:p>
        <w:p w14:paraId="6B26C8E4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22" w:anchor="_Toc22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2.7 Реализация модуля полнотекстового поиска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</w:r>
            <w:r>
              <w:rPr>
                <w:rStyle w:val="939"/>
              </w:rPr>
              <w:t xml:space="preserve">42</w:t>
            </w:r>
            <w:r/>
            <w:r>
              <w:fldChar w:fldCharType="end"/>
            </w:r>
          </w:hyperlink>
          <w:r/>
        </w:p>
        <w:p w14:paraId="304611B1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23" w:anchor="_Toc23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2.8 Реализация подсистемы загрузки и хранения медиафайлов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</w:r>
            <w:r>
              <w:rPr>
                <w:rStyle w:val="939"/>
              </w:rPr>
              <w:t xml:space="preserve">44</w:t>
            </w:r>
            <w:r/>
            <w:r>
              <w:fldChar w:fldCharType="end"/>
            </w:r>
          </w:hyperlink>
          <w:r/>
        </w:p>
        <w:p w14:paraId="5A547602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24" w:anchor="_Toc24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2.9 Тестирование подсистемы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</w:r>
            <w:r>
              <w:rPr>
                <w:rStyle w:val="939"/>
              </w:rPr>
              <w:t xml:space="preserve">47</w:t>
            </w:r>
            <w:r/>
            <w:r>
              <w:fldChar w:fldCharType="end"/>
            </w:r>
          </w:hyperlink>
          <w:r/>
        </w:p>
        <w:p w14:paraId="7D65EB2E">
          <w:pPr>
            <w:pStyle w:val="921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>
              <w:highlight w:val="none"/>
            </w:rPr>
          </w:pPr>
          <w:hyperlink w:tooltip="#_Toc25" w:anchor="_Toc25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3 ТЕХНИКО-ЭКОНОМИЧЕСКОЕ ОБОСНОВАНИЕ</w:t>
            </w:r>
            <w:r>
              <w:rPr>
                <w:rStyle w:val="939"/>
                <w:highlight w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</w:r>
            <w:r>
              <w:rPr>
                <w:rStyle w:val="939"/>
              </w:rPr>
              <w:t xml:space="preserve">50</w:t>
            </w:r>
            <w:r/>
            <w:r>
              <w:fldChar w:fldCharType="end"/>
            </w:r>
          </w:hyperlink>
          <w:r>
            <w:rPr>
              <w:highlight w:val="none"/>
            </w:rPr>
          </w:r>
        </w:p>
        <w:p w14:paraId="03A4E249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26" w:anchor="_Toc26" w:history="1">
            <w:r>
              <w:rPr>
                <w:rStyle w:val="939"/>
              </w:rPr>
            </w:r>
            <w:r>
              <w:rPr>
                <w:rStyle w:val="939"/>
              </w:rPr>
              <w:t xml:space="preserve">3.1 Основные характеристики разрабатываемого программного продукта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</w:r>
            <w:r>
              <w:rPr>
                <w:rStyle w:val="939"/>
              </w:rPr>
              <w:t xml:space="preserve">50</w:t>
            </w:r>
            <w:r/>
            <w:r>
              <w:fldChar w:fldCharType="end"/>
            </w:r>
          </w:hyperlink>
          <w:r/>
        </w:p>
        <w:p w14:paraId="1B23B6CB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27" w:anchor="_Toc27" w:history="1">
            <w:r>
              <w:rPr>
                <w:rStyle w:val="939"/>
              </w:rPr>
            </w:r>
            <w:r>
              <w:rPr>
                <w:rStyle w:val="939"/>
              </w:rPr>
              <w:t xml:space="preserve">3.2 Расчёт экономических показателей разработки программного продукта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</w:r>
            <w:r>
              <w:rPr>
                <w:rStyle w:val="939"/>
              </w:rPr>
              <w:t xml:space="preserve">51</w:t>
            </w:r>
            <w:r/>
            <w:r>
              <w:fldChar w:fldCharType="end"/>
            </w:r>
          </w:hyperlink>
          <w:r/>
        </w:p>
        <w:p w14:paraId="71B67BD2">
          <w:pPr>
            <w:pStyle w:val="922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28" w:anchor="_Toc28" w:history="1">
            <w:r>
              <w:rPr>
                <w:rStyle w:val="939"/>
              </w:rPr>
            </w:r>
            <w:r>
              <w:rPr>
                <w:rStyle w:val="939"/>
              </w:rPr>
              <w:t xml:space="preserve">3.3 Анализ эффективности внедрения программного продукта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</w:r>
            <w:r>
              <w:rPr>
                <w:rStyle w:val="939"/>
              </w:rPr>
              <w:t xml:space="preserve">54</w:t>
            </w:r>
            <w:r/>
            <w:r>
              <w:fldChar w:fldCharType="end"/>
            </w:r>
          </w:hyperlink>
          <w:r/>
        </w:p>
        <w:p w14:paraId="6A388F01">
          <w:pPr>
            <w:pStyle w:val="921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29" w:anchor="_Toc29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ЗАКЛЮЧЕНИЕ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</w:r>
            <w:r>
              <w:rPr>
                <w:rStyle w:val="939"/>
              </w:rPr>
              <w:t xml:space="preserve">59</w:t>
            </w:r>
            <w:r/>
            <w:r>
              <w:fldChar w:fldCharType="end"/>
            </w:r>
          </w:hyperlink>
          <w:r/>
        </w:p>
        <w:p w14:paraId="087F3727">
          <w:pPr>
            <w:pStyle w:val="921"/>
            <w:pBdr/>
            <w:tabs>
              <w:tab w:val="right" w:leader="dot" w:pos="9354"/>
            </w:tabs>
            <w:spacing w:after="0" w:line="360" w:lineRule="auto"/>
            <w:ind w:right="0" w:firstLine="0" w:left="0"/>
            <w:rPr/>
          </w:pPr>
          <w:hyperlink w:tooltip="#_Toc30" w:anchor="_Toc30" w:history="1">
            <w:r>
              <w:rPr>
                <w:rStyle w:val="939"/>
              </w:rPr>
            </w:r>
            <w:r>
              <w:rPr>
                <w:rStyle w:val="939"/>
                <w:rFonts w:ascii="Times New Roman" w:hAnsi="Times New Roman" w:eastAsia="Times New Roman" w:cs="Times New Roman"/>
              </w:rPr>
              <w:t xml:space="preserve">ПРИЛОЖЕНИЕ А</w:t>
            </w:r>
            <w:r>
              <w:rPr>
                <w:rStyle w:val="939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</w:r>
            <w:r>
              <w:rPr>
                <w:rStyle w:val="939"/>
              </w:rPr>
              <w:t xml:space="preserve">66</w:t>
            </w:r>
            <w:r/>
            <w:r>
              <w:fldChar w:fldCharType="end"/>
            </w:r>
          </w:hyperlink>
          <w:r/>
        </w:p>
        <w:p w14:paraId="5C6F9F7C">
          <w:pPr>
            <w:pBdr/>
            <w:spacing w:line="360" w:lineRule="auto"/>
            <w:ind w:right="0" w:firstLine="0" w:left="0"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  <w:sectPr>
          <w:footerReference w:type="default" r:id="rId10"/>
          <w:footnotePr/>
          <w:endnotePr/>
          <w:type w:val="nextPage"/>
          <w:pgSz w:h="16838" w:orient="portrait" w:w="11906"/>
          <w:pgMar w:top="1134" w:right="851" w:bottom="1134" w:left="1701" w:header="709" w:footer="709" w:gutter="0"/>
          <w:cols w:num="1" w:sep="0" w:space="1701" w:equalWidth="1"/>
        </w:sectPr>
      </w:pPr>
      <w:r/>
      <w:r/>
    </w:p>
    <w:p w14:paraId="01300A52">
      <w:pPr>
        <w:pBdr/>
        <w:spacing/>
        <w:ind/>
        <w:rPr/>
      </w:pPr>
      <w:r/>
      <w:r/>
      <w:r/>
    </w:p>
    <w:p>
      <w:pPr>
        <w:pStyle w:val="946"/>
        <w:pageBreakBefore w:val="true"/>
        <w:pBdr/>
        <w:spacing w:after="0" w:before="0" w:line="360" w:lineRule="auto"/>
        <w:ind w:right="0" w:firstLine="0" w:left="0"/>
        <w:jc w:val="center"/>
        <w:rPr/>
      </w:pPr>
      <w:r/>
      <w:bookmarkStart w:id="501" w:name="_Toc1"/>
      <w:r/>
      <w:bookmarkStart w:id="400" w:name="bm_intro"/>
      <w:r/>
      <w:bookmarkEnd w:id="400"/>
      <w:r/>
      <w:bookmarkStart w:id="1" w:name="intro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ВВЕДЕНИЕ</w:t>
      </w:r>
      <w:bookmarkEnd w:id="1"/>
      <w:r/>
      <w:bookmarkEnd w:id="501"/>
      <w:r/>
      <w:r/>
    </w:p>
    <w:p w14:paraId="3802419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современном мире информационные технологии проникают во все сферы жизни, а си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стемы мгновенного обмена сообщениями стали неотъемлемым инструментом как повседневного, так и делового общения. Мессенджеры обеспечивают оперативную коммуникацию между людьми вне зависимости от их местонахождения, поддерживают передачу текстовых сообщений,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медиафайлов и документов в режиме реального времени. По данным аналитических агентств, совокупная ежемесячная аудитория ведущих мессенджеров превышает четыре миллиарда пользователей, а объём пересылаемых сообщений исчисляется десятками миллиардов в сутки.</w:t>
      </w:r>
      <w:r/>
    </w:p>
    <w:p w14:paraId="5F5DB34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Актуальность данной темы обусловлена рядом факторов. Большинство коммерческих мессенджеров являются закрытыми централизованными платформами, что созд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аёт риски утечки персональных данных и ограничивает возможность независимого контроля над хранением информации. Разработка собственного кроссплатформенного решения позволяет изучить весь цикл создания клиент-серверного приложения — от проектирования базы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анных до реализации механизмов поиска и работы с медиафайлами. Кроме того, требования российского законодательства в части хранения и защиты персональных данных делают задачу проектирования подсистемы хранения особенно значимой с практической точки зрения.</w:t>
      </w:r>
      <w:r/>
    </w:p>
    <w:p w14:paraId="75ECE425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дипломного проекта является разработка подсистемы хранения данных, поиска и медиафайлов кроссплатформенного мессенджера Aurora, обеспечивающей надёжное хранение истории переписки, эффективный поиск по содержимому и корректную работу с медиафайлами.</w:t>
      </w:r>
      <w:r/>
    </w:p>
    <w:p w14:paraId="6B18298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поставленной цели были сформулированы следующие задачи:</w:t>
      </w:r>
      <w:r/>
    </w:p>
    <w:p w14:paraId="511BB09F">
      <w:pPr>
        <w:pStyle w:val="938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предметную область мессенджеров и провести сравнительный анализ существующих решений по организации хранения данных и поиска;</w:t>
      </w:r>
      <w:r/>
    </w:p>
    <w:p w14:paraId="6EBEE9A9">
      <w:pPr>
        <w:pStyle w:val="938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рассмотреть нормативно-правовое регулирование разработки программных продуктов в Российской Федерации;</w:t>
      </w:r>
      <w:r/>
    </w:p>
    <w:p w14:paraId="43663BF9">
      <w:pPr>
        <w:pStyle w:val="938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диаграмму прецедентов и обосновать выбор инструментальных средств реализации подсистемы;</w:t>
      </w:r>
      <w:r/>
    </w:p>
    <w:p w14:paraId="0BA0704C">
      <w:pPr>
        <w:pStyle w:val="938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спроектировать схему базы данных с учётом хранения сообщений, пользователей, каналов и медиафайлов;</w:t>
      </w:r>
      <w:r/>
    </w:p>
    <w:p w14:paraId="401F9511">
      <w:pPr>
        <w:pStyle w:val="938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модуль хранения и управления историей сообщений с поддержкой курсорной пагинации;</w:t>
      </w:r>
      <w:r/>
    </w:p>
    <w:p w14:paraId="0584D09C">
      <w:pPr>
        <w:pStyle w:val="938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модуль полнотекстового поиска по сообщениям, пользователям и каналам;</w:t>
      </w:r>
      <w:r/>
    </w:p>
    <w:p w14:paraId="2FCB87D4">
      <w:pPr>
        <w:pStyle w:val="938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подсистему загрузки, хранения и передачи медиафайлов с дедупликацией и генерацией миниатюр.</w:t>
      </w:r>
      <w:r/>
    </w:p>
    <w:p w14:paraId="28739B04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исследования является процесс проектирования и разработки подсистемы хранения данных кроссплатформенного клиент-серверного приложения для обмена сообщениями.</w:t>
      </w:r>
      <w:r/>
    </w:p>
    <w:p w14:paraId="034F5C09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Предметом исследования выступают методы и технологии организации хранилищ данных, алгоритмы полнотекстового поиска, а также механизмы передачи и хранения медиафайлов в системах обмена сообщениями.</w:t>
      </w:r>
      <w:r/>
    </w:p>
    <w:p w14:paraId="706F8FB6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Дипломный проект выполнен в рамках группового проекта. В данной работе рассматривается подсистема хранения данных, поиска и медиафайлов.</w:t>
      </w:r>
      <w:r/>
    </w:p>
    <w:p w14:paraId="70544106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первой главе проводится анализ предметной области: рассматривается понятие мессенджера и классификация сущес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твующих решений, изучается нормативно-правовая база Российской Федерации в части разработки программных продуктов, а также выполняется сравнительный анализ систем хранения данных и поиска в ведущих мессенджерах — Telegram, Signal, WhatsApp и VK Мессенджер.</w:t>
      </w:r>
      <w:r/>
    </w:p>
    <w:p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Вторая глава содержит практическую разработку подсистемы: разработаны диаграмма прецедентов и предварительные проектные реше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ния, обоснован выбор инструментальных средств (Python, FastAPI, MySQL 8 на Docker, SQLAlchemy), спроектирована схема базы данных, описана архитектура подсистемы, реализованы модули хранения истории сообщений, полнотекстового поиска и работы с медиафайлами.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Актуальность темы определяется несколькими факторами. Во-первых, большинство коммерческих мессенджеров хранят данные на зарубежных серверах, что противоречит требованиям Федерального закона № 152-ФЗ о локализации персональных данных российских граждан.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Во-вторых, закрытый исходный код доминирующих платформ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исключает независимую верификацию заявленных свойств безопасности, что создаёт риски для конфиденциальности пользователей. В-третьих, изучение полного цикла разработки клиент-серверного приложения представляет самостоятельную учебно-практическую ценность.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исследования является процесс проектирования и разраб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отки подсистемы хранения данных кроссплатформенного мессенджера. Предметом исследования выступают методы и технологии организации реляционных хранилищ данных, механизмы полнотекстового поиска и алгоритмы работы с медиафайлами в системах обмена сообщениями.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Дипломный проект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ыполнен в рамках группового проекта. В данной работе рассматривается подсистема хранения данных, поиска и медиафайлов. Остальные компоненты системы — клиентское приложение, система звонков, модуль уведомлений — реализованы другими участниками проекта. [12]</w:t>
      </w:r>
      <w:r/>
    </w:p>
    <w:p>
      <w:pPr>
        <w:pStyle w:val="946"/>
        <w:pageBreakBefore w:val="true"/>
        <w:pBdr/>
        <w:spacing w:after="0" w:before="0" w:line="360" w:lineRule="auto"/>
        <w:ind w:right="0" w:firstLine="0" w:left="0"/>
        <w:jc w:val="center"/>
        <w:rPr/>
      </w:pPr>
      <w:r/>
      <w:bookmarkStart w:id="502" w:name="_Toc2"/>
      <w:r/>
      <w:bookmarkStart w:id="401" w:name="bm_ch1"/>
      <w:r/>
      <w:bookmarkEnd w:id="401"/>
      <w:r/>
      <w:bookmarkStart w:id="1" w:name="h1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1 Анализ предметной области</w:t>
      </w:r>
      <w:bookmarkEnd w:id="1"/>
      <w:r/>
      <w:bookmarkEnd w:id="502"/>
      <w:r/>
      <w:r/>
    </w:p>
    <w:p>
      <w:pPr>
        <w:pStyle w:val="947"/>
        <w:pBdr/>
        <w:spacing w:after="0" w:before="0" w:line="360" w:lineRule="auto"/>
        <w:ind w:firstLine="709"/>
        <w:jc w:val="left"/>
        <w:rPr/>
      </w:pPr>
      <w:r/>
      <w:bookmarkStart w:id="503" w:name="_Toc3"/>
      <w:r/>
      <w:bookmarkStart w:id="402" w:name="bm_11"/>
      <w:r/>
      <w:bookmarkEnd w:id="402"/>
      <w:r/>
      <w:bookmarkStart w:id="1" w:name="h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Понятие, сущность и основные виды программных продуктов класса мессенджеров. Системы хранения данных и поиска</w:t>
      </w:r>
      <w:bookmarkEnd w:id="1"/>
      <w:r/>
      <w:bookmarkEnd w:id="503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Мессенджер — это прикладное программное обеспечение, предназначенное для обмена мгновенными сообщениями, передачи медиафайлов и осуществления голосовых и видеозвонков через сеть Интернет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 отличие от электронной почты, мессенджеры функционируют в режиме реального времени, что обеспечивает высокую скорость доставки сообщений и обратной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связи. Ключевой характеристикой современного этапа развития данного класса программного обеспечения является переход от исключительно развлекательной функции к полноценному инструменту для бизнеса, корпоративных коммуникаций и организации удалённой работы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Архитектурно любой мессенджер включает несколько ключевых подсистем: транспортный уровень (WebSocket, XMPP, MTProto), подсистему аутентификации, пользовательский интерфейс и подсистему хранения данных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Подсистема хранения данных является фундаментальным компонентом любого мессенджера.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её архитектуры непосредственно зависят надёжность доставки сообщений, скорость загрузки истории переписки, возможность поиска по переписке и корректность работы с медиафайлами. Выбор СУБД и схемы хранения данных определяет масштабируемость всей системы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[35]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Кроссплатформенность как сущностная характеристика современного мессенджера означает его способность функци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онировать на различных типах операционных систем и устройств: персональных компьютерах (Windows, macOS, Linux), мобильных платформах (Android, iOS), в веб-среде (браузерные версии). Реализация данного свойства достигается двумя основными архитектурными под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ходами: использованием единой кодовой базы с последующей компиляцией под целевые платформы (кроссплатформенные фреймворки типа Tauri, Electron) либо разработкой адаптированных нативных клиентов для каждой платформы при сохранении общего серверного бэкенда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[23]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Многообразие существующих на рынке мессенджеров можно систематизировать по ряду ключевых признаков, представленных в таблице 1.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– Классификация мессенджеров по ключевым признакам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3543"/>
        <w:gridCol w:w="2835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Классификационный признак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Виды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Примеры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Целевое назначение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Социальные, корпоративные, приватные, игровые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WhatsApp, Slack, Signal, Discord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Сетевая архитектура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Централизованные, децентрализованные, P2P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Telegram, Element, Briar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Модель распространения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Проприетарные, открытое ПО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Skype, Signal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Реализация кроссплатформенности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Независимая, с привязкой к устройству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Telegram, WhatsApp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 СУБД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Реляционные (SQLite, PostgreSQL), NoSQL (MongoDB, Cassandra)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 (PostgreSQL), Signal (SQLite)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месс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енджеры можно разделить на три группы. Первая группа — системы с локальной реляционной базой данных (SQLite), которая хранится на устройстве пользователя и синхронизируется с облачным сервером. Такой подход используют Signal и WhatsApp. Вторая группа — сис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темы с центральным облачным хранилищем на основе PostgreSQL или MySQL, обеспечивающим единую историю переписки на всех устройствах (Telegram, VK Мессенджер). Третья группа — гибридные системы, сочетающие локальное кэширование и облачное хранение (Discord).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организации поиска по переписке применяются три основных подхода: SQL LIKE-зап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росы (наиболее простое, но медленное на больших объёмах решение), полнотекстовый поиск средствами СУБД (FTS5 в SQLite, pg_trgm в PostgreSQL), а также внешние поисковые движки (Elasticsearch, Meilisearch) для высоконагруженных систем с миллионами сообщений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[35]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при проектировании подсистемы хранения данных мессенджера необходимо учитывать ожидаемый объём данных, требования к скорости поиска и доступности данных на нескольких устройствах одновременно.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определению, принятому в отечественной технической литературе, мессенджер представляет собой программное средство для обмена текстовыми и мультимедийными сообщениями в режиме реального времени через компьютерные сети. [9]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Клиент-серверная архитектура является наиболее распространён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ной моделью построения систем обмена сообщениями. В данной архитектуре клиентское приложение взаимодействует с центральным сервером, который обеспечивает хранение сообщений, управление пользователями и маршрутизацию данных между участниками переписки. [11]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Протокол WebSocket был разработан для преодоления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ограничений HTTP применительно к задачам реального времени. В отличие от HTTP, WebSocket обеспечивает полнодуплексный обмен данными через единственное TCP-соединение, позволяя серверу инициировать передачу данных клиенту без предварительного запроса. [18]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Мгновенные сообщения (instant messages) — разновидность онлайн-чата, предполагающая передачу текстов и файлов в режиме реального времени через сеть Интернет. В отличие от электронной почты, доставка сообщений происходит практически мгновенно. [25]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Рынок мессенджеров характеризуется устойчивой динамикой роста. По данным аналитической компании Statista, совокупная аудитория мобильных месс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енджеров к 2024 году превысила 3,5 миллиарда пользователей, а к 2027 году прогнозируется её увеличение до 4,2 миллиарда. В Российской Федерации аудитория трёх ведущих платформ (Telegram, WhatsApp, VK Мессенджер) насчитывает свыше 85 миллионов человек. [45]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технической точки зрения мессенджеры прошли несколько этапов эволюции. Ранние системы (IRC, ICQ, 1990–2000-е годы) работали по протоколам с хранением данных на клиентском устройстве. С распространением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смартфонов в 2007–2012 годах произошёл переход к централизованным клиент-серверным архитектурам с облачным хранением. Современный этап характеризуется использованием распределённых баз данных, сквозного шифрования и поддержки множества типов контента. [25]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мессенджеры делятся на три группы. Первая — облачная модель (Telegram, VK): история хр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анится на серверах и доступна с любого устройства. Вторая — локальная модель (Signal): сообщения хранятся на устройстве пользователя. Третья — гибридная модель (WhatsApp): локальное хранение с опциональным зашифрованным резервным копированием в облако. [9]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разрабатываемого мессенджера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Aurora выбрана серверная модель хранения. Это решение обеспечивает синхронизацию истории переписки между устройствами пользователя, серверный поиск по сообщениям и соответствие требованиям российского законодательства о локализации персональных данных.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 к подсистеме хранения данных различаются в зависимости от функциональности мессенджера. Базовые пла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тформы ограничиваются хранением текстовых сообщений. Расширенные платформы требуют поддержки медиафайлов, реакций, системных сообщений и сложных поисковых запросов. Корпоративные решения дополнительно предусматривают аудит-логи и разграничение доступа. [6]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Важной характеристикой мессенджера является поддержка работы на нескольких устройствах одновременно. Для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реализации этой функции серверная часть должна хранить полную историю переписки и обеспечивать её синхронизацию между всеми клиентскими приложениями пользователя. Это требование определяет выбор архитектуры базы данных и протокола доставки сообщений.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Функциональное разнообразие современных мессенджеров привело к появлению классификации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 типу контента: текстовые мессенджеры, мультимедийные платформы, корпоративные коммуникаторы и платформы-экосистемы. Мессенджер Aurora относится к категории расширенных мультимедийных платформ: он поддерживает текст, файлы, группы, каналы и реакции.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Высокая конкурентность рынка мессенджеров обусловле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сетевым эффектом: ценность платформы возрастает пропорционально числу её пользователей. Это создаёт высокий барьер входа для новых продуктов, однако формирует нишу для специализированных решений, ориентированных на конкретные потребности аудитории. [45]</w:t>
      </w:r>
      <w:r/>
    </w:p>
    <w:p>
      <w:pPr>
        <w:pStyle w:val="947"/>
        <w:pBdr/>
        <w:spacing w:after="0" w:before="0" w:line="360" w:lineRule="auto"/>
        <w:ind w:firstLine="709"/>
        <w:jc w:val="left"/>
        <w:rPr/>
      </w:pPr>
      <w:r/>
      <w:bookmarkStart w:id="504" w:name="_Toc4"/>
      <w:r/>
      <w:bookmarkStart w:id="403" w:name="bm_12"/>
      <w:r/>
      <w:bookmarkEnd w:id="403"/>
      <w:r/>
      <w:bookmarkStart w:id="1" w:name="h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Нормативно-правовое регулирование разработки программного продукта в России</w:t>
      </w:r>
      <w:bookmarkEnd w:id="1"/>
      <w:r/>
      <w:bookmarkEnd w:id="504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тка, внедрение и эксплуатация мессенджера невозможны без строгого соблюдения законодательной базы Российской Федерации. Несоблюдение норм авторского права или правил защиты персональных данных влечёт за собой существенные штрафы и риск блокировки продукта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основных нормативно-правовых актов, регулирующих разработку программного продукта в России:</w:t>
      </w:r>
      <w:r/>
    </w:p>
    <w:p>
      <w:pPr>
        <w:pStyle w:val="938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Конституция Российской Федерации (принята 12.12.1993): статья 23 гарантирует тайну переписки, статья 29 — свободу информации;</w:t>
      </w:r>
      <w:r/>
    </w:p>
    <w:p>
      <w:pPr>
        <w:pStyle w:val="938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Гражданский кодекс Российской Федерации (часть четвёртая) от 18.12.2006 № 230-ФЗ: статья 1261 относит программы для ЭВМ к объектам авторского права;</w:t>
      </w:r>
      <w:r/>
    </w:p>
    <w:p>
      <w:pPr>
        <w:pStyle w:val="938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от 27.07.2006 № 152-ФЗ «О персональных данных»: обязывает локализовывать базы данных с персональными данными на территории РФ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38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от 27.07.2006 № 149-ФЗ «Об информации, информационных технологиях и о защите информации»: определяет мессенджер как организатора распространения информации (ОРИ), обязывая хранить информацию о фактах приёма-передачи сообщений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38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19.404-79. Единая система программной документации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особое значение имеет Федеральный закон № 152-ФЗ «О персональных данных»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Закон обязывает разработчика обеспечить хранение персональных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граждан Российской Федерации исключительно на серверах, расположенных на территории РФ (статья 18.1). Для мессенджера это означает, что база данных с именами пользователей, номерами телефонов и историей переписки должна размещаться на российских серверах.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№ 149-ФЗ «Об информации»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обязывает мессенджеры, подпадающие под статус ОРИ, хранить переписку пользователей в течение шести месяцев. Это предъявляет дополнительные требования к объёму и надёжности хранилища, а также к процедурам резервного копирования.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2 – Требования законодательства РФ к подсистеме хранения данных мессенджера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Нормативный акт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Требование к подсистеме хранения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ФЗ № 152-ФЗ «О персональных данных»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Локализация БД на серверах в РФ, шифрование персональных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ФЗ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№ 149-ФЗ «Об информации»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Хранение истории переписки не менее 6 месяцев, предоставление по запросу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  <w:vMerge w:val="restart"/>
          </w:tcPr>
          <w:p w14:paraId="054859DF"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ГК РФ, часть 4 (ст. 1261)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  <w:vMerge w:val="restart"/>
          </w:tcPr>
          <w:p w14:paraId="18CB4806"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Защита исходного кода как объекта авторского права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успешная реализация подсистемы хранения данных требует не только технических решений, но и соответствия нормам российского законодательства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[1; 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Выбор СУБД PostgreSQL с возможностью развёртывания на отечественной серверной инфраструктуре позволяет выполнить требования по локализации данных и обеспечить необходимый уровень безопасности.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соответствии с Федеральным законом от 27.07.2006 № 152-ФЗ «О персональных данных» персональные данные — любая информация, относящаяся прямо или косвенно к определённому или определяемому физическому лицу (субъекту персональных данных).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Статья 18 Фе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дерального закона № 152-ФЗ устанавливает обязанность оператора при сборе персональных данных обеспечить их запись, систематизацию, накопление, хранение, уточнение и извлечение с использованием баз данных, находящихся на территории Российской Федерации.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№ 149-ФЗ «Об информации, информационных техно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логиях и о защите информации» закрепляет базовые принципы правового регулирования отношений в сфере информации и устанавливает обязанности организаторов распространения информации в сети «Интернет» по хранению данных на территории Российской Федерации. [1]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Особое значение для разработчик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ов мессенджеров имеет статья 10.1 Федерального закона № 149-ФЗ, обязывающая организаторов распространения информации хранить на территории РФ данные о фактах приёма и передачи сообщений в течение одного года, а сами сообщения — в течение шести месяцев. [1]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№ 152-ФЗ «О персональных данных» обязывает операт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оров, обрабатывающих данные российских граждан, хранить их в базах данных на территории России. Нарушение данного требования влечёт административную ответственность по статье 13.11 КоАП РФ и может стать основанием для блокировки сервиса Роскомнадзором.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Совокупность перечисленных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требований определяет следующие технические решения при проектировании Aurora: развёртывание серверной инфраструктуры в российском дата-центре, реализация механизмов идентификации пользователей, ведение журналов событий с установленным сроком хранения. [1]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Гражданский кодекс Российской Федерации (часть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четвёртая) регулирует отношения в сфере интеллектуальной собственности. Программное обеспечение, в том числе мессенджер Aurora, является объектом авторских прав. Правообладатель вправе использовать произведение любым не противоречащим закону способом. [4]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 регламентирует содержание пояснит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ельной записки к программному продукту, обязывая разработчика включать описание алгоритмов, структур данных и интерфейсов. Соблюдение данного стандарта обеспечивает единообразие технической документации и упрощает передачу проекта другим разработчикам. [5]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нормативно-правовое рег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улирование оказывает непосредственное влияние на технические решения, принятые при проектировании мессенджера Aurora: выбор российского хостинга, реализация идентификации пользователей, ведение журналов событий и обеспечение защиты персональных данных. [1]</w:t>
      </w:r>
      <w:r/>
    </w:p>
    <w:p>
      <w:pPr>
        <w:pStyle w:val="947"/>
        <w:pBdr/>
        <w:spacing w:after="0" w:before="0" w:line="360" w:lineRule="auto"/>
        <w:ind w:firstLine="709"/>
        <w:jc w:val="left"/>
        <w:rPr/>
      </w:pPr>
      <w:r/>
      <w:bookmarkStart w:id="505" w:name="_Toc5"/>
      <w:r/>
      <w:bookmarkStart w:id="404" w:name="bm_13"/>
      <w:r/>
      <w:bookmarkEnd w:id="404"/>
      <w:r/>
      <w:bookmarkStart w:id="1" w:name="h1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Анализ систем хранения данных и поиска в существующих мессенджерах</w:t>
      </w:r>
      <w:bookmarkEnd w:id="1"/>
      <w:r/>
      <w:bookmarkEnd w:id="505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данного раздела проведён сравнительный анализ подходов к хранению данных и реализации поиска, применяемых в ведущих мессенджерах: Telegram, Signal, WhatsApp и VK Мессенджер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[41; 46]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Анализ позволяет выявить наиболее эффективные технические решения, которые целесообразно использовать при разработке подсистемы хранения данных мессенджера Aurora.</w:t>
      </w:r>
      <w:r/>
    </w:p>
    <w:p>
      <w:pPr>
        <w:pStyle w:val="948"/>
        <w:pBdr/>
        <w:spacing w:after="0" w:before="0" w:line="360" w:lineRule="auto"/>
        <w:ind w:firstLine="709"/>
        <w:jc w:val="left"/>
        <w:rPr/>
      </w:pPr>
      <w:r/>
      <w:bookmarkStart w:id="506" w:name="_Toc6"/>
      <w:r/>
      <w:bookmarkStart w:id="405" w:name="bm_131"/>
      <w:r/>
      <w:bookmarkEnd w:id="40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1.3.1 Архитектура хранения данных в Telegram</w:t>
      </w:r>
      <w:r/>
      <w:bookmarkEnd w:id="506"/>
      <w:r/>
      <w:r/>
    </w:p>
    <w:p>
      <w:pPr>
        <w:pBdr/>
        <w:spacing w:after="0" w:before="0" w:line="0" w:lineRule="auto"/>
        <w:ind/>
        <w:rPr/>
      </w:pPr>
      <w:r/>
      <w:bookmarkStart w:id="1" w:name="h131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Telegram реализует облачную модель хранения сообщений с использованием собственного бинарного протокола MTProto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[46]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На стороне сервера применяется кластер PostgreSQL в сочетании с распределённым файловым хранилищем для медиафайлов. Ключевой особенностью является шифрование данных на уровне тр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анспорта (MTProto), однако в обычных чатах сообщения хранятся на серверах Telegram в расшифрованном виде — что позволяет реализовать синхронизацию истории на нескольких устройствах. Секретные чаты используют end-to-end шифрование (алгоритм Diffie-Hellman).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переписке в Teleg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ram реализован средствами полнотекстового поиска на стороне сервера. Клиент отправляет запрос, сервер выполняет поиск по своим индексам и возвращает результаты. Такой подход обеспечивает мгновенный поиск по всей истории переписки вне зависимости от объёма.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Серверная инфраструктура Telegram распределена по нескольким дата-центрам в разных странах (Нидерланды, Германия, США, Сингапур, Финляндия), что обеспечивает высокую доступность сервиса и минимальные задержки для глобальной аудитории. [10]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хранения медиафайлов Telegram применяет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обственную распределённую файловую систему с автоматической репликацией и дедупликацией. Идентичные файлы, загруженные разными пользователями, хранятся в единственном экземпляре по хешу содержимого, что существенно снижает объём занимаемого хранилища. [13]</w:t>
      </w:r>
      <w:r/>
    </w:p>
    <w:p>
      <w:pPr>
        <w:pStyle w:val="948"/>
        <w:pBdr/>
        <w:spacing w:after="0" w:before="0" w:line="360" w:lineRule="auto"/>
        <w:ind w:firstLine="709"/>
        <w:jc w:val="left"/>
        <w:rPr/>
      </w:pPr>
      <w:r/>
      <w:bookmarkStart w:id="507" w:name="_Toc7"/>
      <w:r/>
      <w:bookmarkStart w:id="406" w:name="bm_132"/>
      <w:r/>
      <w:bookmarkEnd w:id="40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1.3.2 Архитектура хранения данных в Signal</w:t>
      </w:r>
      <w:r/>
      <w:bookmarkEnd w:id="507"/>
      <w:r/>
      <w:r/>
    </w:p>
    <w:p>
      <w:pPr>
        <w:pBdr/>
        <w:spacing w:after="0" w:before="0" w:line="0" w:lineRule="auto"/>
        <w:ind/>
        <w:rPr/>
      </w:pPr>
      <w:r/>
      <w:bookmarkStart w:id="1" w:name="h132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Signal реализует принципиально иной подход: все сообщения хранятся исключительно на устройстве пользователя в локальной базе данных SQLite, зашифрованной с использованием ключа, производного от PIN-кода пользователя (алгоритм AES-256-GCM)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Серверы Signal не хранят содержимое сообщений, а лишь обеспечивают их транзитную доставку. End-to-end шифрование реализовано с использованием протокола Signal Protocol (Double Ratchet + X3DH).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переписке в Signal 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полняется локально — непосредственно в SQLite-базе на устройстве с использованием механизма FTS5 (Full-Text Search). Это обеспечивает конфиденциальность поиска, однако ограничивает его только теми сообщениями, которые присутствуют на конкретном устройстве.</w:t>
      </w:r>
      <w:r>
        <w:rPr>
          <w:highlight w:val="none"/>
        </w:rPr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Signal Protocol основан на алгори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тме Double Ratchet, обеспечивающем свойство прямой секретности (forward secrecy): компрометация одного сеансового ключа не раскрывает содержимое предыдущих сообщений. Данный протокол применяется также в WhatsApp и в механизме секретных чатов Telegram. [30]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Локальная баз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данных Signal реализована на основе SQLite с расширением SQLCipher, обеспечивающим шифрование файла базы данных. Это защищает данные при физическом доступе к устройству, однако делает невозможной синхронизацию истории при смене или утере устройства. [11]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Ограничением Signal как платформы является отсутствие обл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ачной синхронизации истории переписки. При смене устройства пользователь Signal теряет доступ к предыдущей переписке. Конфиденциальность в Signal обеспечивается сквозным шифрованием, минимизацией сбора метаданных и возможностью автоудаления сообщений. [41]</w:t>
      </w:r>
      <w:r/>
    </w:p>
    <w:p>
      <w:pPr>
        <w:pStyle w:val="948"/>
        <w:pBdr/>
        <w:spacing w:after="0" w:before="0" w:line="360" w:lineRule="auto"/>
        <w:ind w:firstLine="709"/>
        <w:jc w:val="left"/>
        <w:rPr>
          <w:highlight w:val="none"/>
        </w:rPr>
      </w:pPr>
      <w:r/>
      <w:bookmarkStart w:id="508" w:name="_Toc8"/>
      <w:r/>
      <w:bookmarkStart w:id="407" w:name="bm_133"/>
      <w:r/>
      <w:bookmarkEnd w:id="40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1.3.3 Сравнительный анализ подходов к хранению и поиску данных</w:t>
      </w:r>
      <w:r>
        <w:rPr>
          <w:highlight w:val="none"/>
        </w:rPr>
      </w:r>
      <w:bookmarkEnd w:id="508"/>
      <w:r/>
      <w:r>
        <w:rPr>
          <w:highlight w:val="none"/>
        </w:rPr>
      </w:r>
    </w:p>
    <w:p w14:paraId="68A0FD33">
      <w:pPr>
        <w:pBdr/>
        <w:spacing w:after="0" w:before="0" w:line="0" w:lineRule="auto"/>
        <w:ind/>
        <w:rPr/>
      </w:pPr>
      <w:r/>
      <w:bookmarkStart w:id="1" w:name="h133"/>
      <w:r/>
      <w:bookmarkEnd w:id="1"/>
      <w:r/>
      <w:r/>
    </w:p>
    <w:p w14:paraId="3F1C49C4">
      <w:pPr>
        <w:pBdr/>
        <w:spacing w:after="0" w:before="0" w:line="0" w:lineRule="auto"/>
        <w:ind/>
        <w:rPr/>
      </w:pPr>
      <w:r/>
      <w:r/>
    </w:p>
    <w:p w14:paraId="349880FC">
      <w:pPr>
        <w:pBdr/>
        <w:spacing w:after="0" w:before="0" w:line="0" w:lineRule="auto"/>
        <w:ind/>
        <w:rPr/>
      </w:pPr>
      <w:r/>
      <w:r/>
    </w:p>
    <w:p>
      <w:pPr>
        <w:pBdr/>
        <w:spacing w:after="0" w:before="0" w:line="0" w:lineRule="auto"/>
        <w:ind/>
        <w:rPr/>
      </w:pPr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анализа выбранных мессенджеров сформулированы ключевые критерии сравнения подходов к хранению данных. Результаты сравнительного анализа представлены в таблице 3.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3 – Сравнительный анализ систем хранения данных и поиска в мессенджерах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1753"/>
        <w:gridCol w:w="1404"/>
        <w:gridCol w:w="1404"/>
        <w:gridCol w:w="1453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Критерий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Signal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WhatsApp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VK Мессенджер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Место хранения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(облако)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Локально (устройство)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+ локально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(облако)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СУБД на сервере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PostgreSQL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Нет (E2E)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MySQL/Cassandra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 + Tarantool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СУБД на клиенте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(кэш)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(AES-256)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(AES-256)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(кэш)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Полнотекстовый поиск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Серверный (вся история)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Локальный FTS5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Локальный (ограничен)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Серверный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Синхронизация между устройствами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(облако)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Частичная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(облако)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Хранение медиафайлов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Собственный CDN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WhatsApp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VK CDN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таблицы 3 позволяет сделать ряд выводов, имеющих непосредственное значение для разработки подсистемы хранения данных мессенджера Aurora. Во-первых, для обеспечения синхронизации истории переписки между несколькими устройствами необходимо применять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серверную модель хранения на основе реляционной СУБД. PostgreSQL является наиболее распространённым и производительным выбором, обладая встроенными средствами полнотекстового поиска (tsvector/tsquery), транзакционностью и горизонтальной масштабируемостью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[35]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Во-вторых, анализ механизмов поиска показал, что наиболее удобным с точки зрения разработки яв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ляется полнотекстовый поиск средствами самой СУБД. Для начального объёма данных возможностей PostgreSQL FTS достаточно. В-третьих, шифрование хранимых данных обязательно как с точки зрения безопасности, так и в соответствии с требованиями законодательства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[1; 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проведённого анализа для подсистемы хранения данных мессенджера Aurora были приняты следующие технические решения: Postg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reSQL в качестве основной СУБД, SQLite для локального кэша на клиентской стороне, полнотекстовый поиск через tsvector/tsquery PostgreSQL, хранение медиафайлов в файловой системе сервера с записью метаданных в БД, шифрование транспортного уровня по TLS 1.3.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764592B1">
      <w:pPr>
        <w:pBdr/>
        <w:spacing w:after="0" w:before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Проведённый анализ позволяет сформулировать требования к подсистеме хранения данных мессенд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жера Aurora. Система должна обеспечивать надёжное хранение истории переписки с постраничной загрузкой, полнотекстовый поиск, хранение метаданных медиафайлов, отслеживание статусов доставки и прочтения, а также соответствие Федеральному закону № 152-ФЗ. [2]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Aurora учтён опыт анализируемых платформ: от Telegram заимствована идея разделения личных и групповых сообщений; от Signal — принцип мягкого удаления записей без физического стирания; от WhatsApp — механизм двойных статусов (доставлено / прочитано). [13]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анализа ведущих мессенджеров можно сформулировать ключевые принципы, которыми следует руководствоваться при проектировании подсистемы хранения данных. Во-первых, история переписки должна хранитьс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на сервере и быть доступна с любого устройства пользователя. Во-вторых, структура базы данных должна разделять личную переписку и групповые чаты в отдельных таблицах. В-третьих, удаление сообщений должно реализовываться по принципу мягкого удаления. [13]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также показал, что ни одна из рассмотре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нных платформ не обеспечивает одновременно все три ключевых требования: высокую функциональность, максимальную приватность и соответствие российскому законодательству. Именно это сочетание является целевой нишей для разрабатываемого мессенджера Aurora. [2]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архитектур хранения данны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 в ведущих мессенджерах позволяет выявить общие тенденции в развитии данной отрасли. Современные системы обмена сообщениями тяготеют к гибридным архитектурам, сочетающим высокую функциональность облачного хранения с элементами локальной защиты данных. [8]</w:t>
      </w:r>
      <w:r/>
    </w:p>
    <w:p>
      <w:pPr>
        <w:pStyle w:val="946"/>
        <w:pBdr/>
        <w:spacing w:after="0" w:line="360" w:lineRule="auto"/>
        <w:ind w:right="0" w:firstLine="0" w:left="0"/>
        <w:jc w:val="center"/>
        <w:rPr>
          <w:highlight w:val="none"/>
        </w:rPr>
      </w:pPr>
      <w:r/>
      <w:bookmarkStart w:id="509" w:name="_Toc9"/>
      <w:r>
        <w:br w:type="column"/>
      </w:r>
      <w:r/>
      <w:bookmarkStart w:id="101" w:name="bm_ch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 ПРОЕКТИРОВАНИЕ, РЕАЛИЗАЦИЯ И ТЕСТИРОВАНИЕ АВТОМАТИЗИРОВАННОЙ СИСТЕМЫ</w:t>
      </w:r>
      <w:bookmarkEnd w:id="101"/>
      <w:r>
        <w:rPr>
          <w:highlight w:val="none"/>
        </w:rPr>
      </w:r>
      <w:bookmarkEnd w:id="509"/>
      <w:r/>
      <w:r>
        <w:rPr>
          <w:highlight w:val="none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ая глава посвящена комплексному описанию проектирования и программной реализации подсистемы хранения данных, поиска и медиафайлов кроссплатформенного мессенджера Aurora. В соответствии со структурой дипломного проекта в главе последовательно представлены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редварительные проектные решения, включающие диаграмму прецедентов и выбор технологического стека, а также логическая и физическая модели базы данных, архитектурное описание подсистемы и реализация ключевых программных модулей с фрагментами исходного кода.</w:t>
      </w:r>
      <w:r/>
    </w:p>
    <w:p>
      <w:pPr>
        <w:pStyle w:val="947"/>
        <w:pBdr/>
        <w:spacing w:after="0" w:before="0" w:line="360" w:lineRule="auto"/>
        <w:ind w:right="0" w:firstLine="709" w:left="0"/>
        <w:jc w:val="left"/>
        <w:rPr/>
      </w:pPr>
      <w:r/>
      <w:bookmarkStart w:id="510" w:name="_Toc10"/>
      <w:r/>
      <w:bookmarkStart w:id="102" w:name="bm_2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2.1 Разработка предварительных проектных решений</w:t>
      </w:r>
      <w:bookmarkEnd w:id="102"/>
      <w:r/>
      <w:bookmarkEnd w:id="510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Предварительные проектные решения формируют концептуальную основу для последующей программной реализации. На данном этапе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определяются функциональные требования к системе, устанавливаются границы разрабатываемого программного продукта, выявляются роли участников системы и обосновывается выбор инструментальных средств, наиболее соответствующих техническим требованиям проекта.</w:t>
      </w:r>
      <w:r/>
    </w:p>
    <w:p>
      <w:pPr>
        <w:pStyle w:val="948"/>
        <w:pBdr/>
        <w:spacing w:after="0" w:before="0" w:line="360" w:lineRule="auto"/>
        <w:ind w:right="0" w:firstLine="709" w:left="0"/>
        <w:jc w:val="left"/>
        <w:rPr/>
      </w:pPr>
      <w:r/>
      <w:bookmarkStart w:id="511" w:name="_Toc11"/>
      <w:r/>
      <w:bookmarkStart w:id="103" w:name="bm_21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2.1.1 Разработка диаграммы прецедентов</w:t>
      </w:r>
      <w:bookmarkEnd w:id="103"/>
      <w:r/>
      <w:bookmarkEnd w:id="51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прецедентов (Use Case Diagram) представляет собой графическую модель функциональных требований к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истеме, описывающую взаимодействие внешних участников (акторов) с функциями (прецедентами) разрабатываемой системы. [13] Применение данной нотации обусловлено необходимостью формализации границ системы и перечня её функций до начала технической реализации.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мессенджере Aurora выделено три категории действующих лиц. Гость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—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незарегистрированный пользователь, взаимодействие которого с системой ограничено операциями регистрации и авторизации. Авторизованный пользователь располагает полным набором функций: отправка текстовых сообщений и медиафайлов, создание групп и каналов,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дписка на публичные каналы, поиск по переписке, реакции на сообщения, управление профилем и организация чатов по папкам. Администратор расширяет права пользователя функциями обработки обращений в службу технической поддержки и управления учётными записями.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прецедентов мессенджера Aurora представлена на рисунке 1.</w:t>
      </w:r>
      <w:r/>
    </w:p>
    <w:p>
      <w:pPr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8600" cy="381316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29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708600" cy="3813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9.50pt;height:300.2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>
          <w:b w:val="0"/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Рисунок 1 – Диаграмма прецедентов мессенджера Aurora</w:t>
      </w:r>
      <w:r>
        <w:rPr>
          <w:b w:val="0"/>
          <w:bCs w:val="0"/>
          <w:i w:val="0"/>
        </w:rPr>
      </w:r>
      <w:r>
        <w:rPr>
          <w:b w:val="0"/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разрабатываемой подсистемы хранения данных, поиска и медиафайлов реализованы следующие основные прецеденты.</w:t>
      </w:r>
      <w:r/>
    </w:p>
    <w:p>
      <w:pPr>
        <w:pStyle w:val="938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отправка текстового сообщения — пользователь формирует сообщение и передаёт его через WebSocket-соединение; сервер сохраняет запись в таблице messages (личная переписка) или group_messages (групповые чаты); [12]</w:t>
      </w:r>
      <w:r/>
    </w:p>
    <w:p>
      <w:pPr>
        <w:pStyle w:val="938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 истории переписки — при открытии диалога клиент запрашивает последние N сообщений; сервер выполняет выборку с сортировкой по убыванию временной метки и возвращает постраничный список; [12]</w:t>
      </w:r>
      <w:r/>
    </w:p>
    <w:p>
      <w:pPr>
        <w:pStyle w:val="938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полнотекстовый поиск — пользователь вводит поисковый запрос; сервер выполняет поиск вхождений подстроки оператором LIKE по полю message_text с фильтрацией по правам доступа; [43]</w:t>
      </w:r>
      <w:r/>
    </w:p>
    <w:p>
      <w:pPr>
        <w:pStyle w:val="938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 медиафайла — файл передаётся в облачное хранилище Cloudinary через официальный SDK; полученный публичный URL сохраняется в базе данных; [46]</w:t>
      </w:r>
      <w:r/>
    </w:p>
    <w:p>
      <w:pPr>
        <w:pStyle w:val="938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мягкое удаление сообщения — запись не удаляется физически, а помечается флагом is_deleted = TRUE, что сохраняет целостность цепочек цитирования; [12]</w:t>
      </w:r>
      <w:r/>
    </w:p>
    <w:p>
      <w:pPr>
        <w:pStyle w:val="938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реакции на сообщения — запись добавляется в таблицу message_reactions; событие рассылается через WebSocket всем участникам диалога в реальном времени; [21]</w:t>
      </w:r>
      <w:r/>
    </w:p>
    <w:p>
      <w:pPr>
        <w:pStyle w:val="938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управление группами и каналами — создание, редактирование и удаление записей в таблицах groups и group_members, назначение ролей участников.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Разработанная диаграмма прецедентов позволила формализовать функциональные требования к подсистеме и служит основой для проектирования модели данных и архитектуры.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прецедентов не описывает внутреннюю реализацию системы и не определяет порядок выполнения операций. Её назначение — зафиксировать, что система должна делать с точки зрения внешних участников, не вдаваясь в технические детали. [7]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прецедент может включать основной сценари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 (happy path) и альтернативные сценарии, охватывающие граничные случаи. Например, прецедент «Отправка сообщения» предусматривает как успешную доставку, так и ситуации недоступности адресата, превышения размера файла или отсутствия сетевого соединения. [7]</w:t>
      </w:r>
      <w:r/>
    </w:p>
    <w:p>
      <w:pPr>
        <w:pStyle w:val="948"/>
        <w:pBdr/>
        <w:spacing w:after="0" w:before="0" w:line="360" w:lineRule="auto"/>
        <w:ind w:right="0" w:firstLine="709" w:left="0"/>
        <w:jc w:val="left"/>
        <w:rPr/>
      </w:pPr>
      <w:r/>
      <w:bookmarkStart w:id="512" w:name="_Toc12"/>
      <w:r/>
      <w:bookmarkStart w:id="104" w:name="bm_21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2.1.2 Выбор инструментальных средств реализации</w:t>
      </w:r>
      <w:bookmarkEnd w:id="104"/>
      <w:r/>
      <w:bookmarkEnd w:id="512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Выбор технологического стека осуществлялся на основе сравнительного анализа альтернативных инструментов по критериям производи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тельности, поддержки асинхронного программирования, зрелости экосистемы и применимости к задачам систем реального времени. [14] Для серверной разработки выбран язык Python версии 3.11, обладающий развитой поддержкой asyncio и широкой экосистемой библиотек.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серверных веб-фреймворков приведён в таблице 4. В рамках анализа оценивались FastAPI, Flask и Django как наиболее распространённые решения для разработки веб-серверных приложений на языке Python в контексте задач реального времени.</w:t>
      </w:r>
      <w:r/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4 – Сравнительный анализ серверных фреймворков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3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2100"/>
        <w:gridCol w:w="2000"/>
        <w:gridCol w:w="2000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Критерий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FastAPI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Flask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Django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Асинхронность (asyncio/ASGI)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Нативная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Поддержка WebSocket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Встроенная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Через расширения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Django Channels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Автодокументация API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OpenAPI / Swagger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Отсутствует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Отсутствует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Валидация входных данных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Pydantic (автоматически)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Вручную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Serializers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Производительность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Высокая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Средняя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Средняя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Итог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Выбран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 подходит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 подходит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результатам анализа, представленного в таблице 4, для реализации серверной части выбран фреймворк FastAPI. [14] Ключевыми преимуществами данного фреймво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рка являются нативная поддержка асинхронного программирования через ASGI-сервер Uvicorn, автоматическая генерация OpenAPI-документации и встроенная валидация входных данных посредством библиотеки Pydantic, что исключает ручную проверку параметров запросов.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систем управления базами данных приведён в таблице 5. Для хранения структурированных данных мессенджера рассматривались MySQL 8, PostgreSQL и SQLite как наиболее распространённые реляционные СУБД.</w:t>
      </w:r>
      <w:r/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5 – Сравнительный анализ систем управления базами данных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93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2100"/>
        <w:gridCol w:w="2000"/>
        <w:gridCol w:w="2000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Критерий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 8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PostgreSQL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ACID-транзакции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(InnoDB)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JSON-столбцы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(jsonb)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Ограниченно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Многопользовательский доступ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Контейнеризация (Docker)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Официальный образ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Официальный образ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требуется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Полнотекстовый поиск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(FULLTEXT)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(ts_vector)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Ограниченно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Выбрана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Альтернатива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0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подходит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данных таблицы 5 выбрана СУБД MySQL 8, развёрнутая в Docker-контейнере на основе официального образа. [43] Движок хранилища InnoDB обеспечивает поддержку ACID-транзакций и внешни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 ключей. Поддержка столбцов типа JSON используется для хранения метаданных вложений и настроек приватности пользователей. SQLite исключена ввиду отсутствия полноценного многопользовательского конкурентного доступа, критически необходимого для мессенджера.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хранения медиафайлов приме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няется облачный сервис Cloudinary, [46] предоставляющий REST API для загрузки файлов, CDN-доставку и автоматическую оптимизацию изображений. Клиентская часть приложения реализована на React 18 с TypeScript, обеспечивающим статическую типизацию компонентов.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Главный экран мессенджера Aurora показан на рисунке 2.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72A3D27">
      <w:pPr>
        <w:pBdr/>
        <w:spacing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9215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874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39789" cy="3921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308.7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2 – главный экран Aurora: боковая панель со списком чатов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Выбор асинхронной модели программирования обусловлен природой операций в мессенджере: большинство из них — это ожида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ние ввода-вывода: обращение к базе данных, передача файлов, поддержание WebSocket-соединений. Асинхронный подход позволяет одному серверному процессу обслуживать тысячи таких ожиданий одновременно, не создавая отдельного потока для каждого соединения. [38]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Библиотека aiomysql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обеспечивает неблокирующее взаимодействие с MySQL без прерывания event loop Python. В отличие от синхронных драйверов (pymysql, mysqlclient), aiomysql позволяет выполнять несколько запросов к базе данных конкурентно в рамках одного потока выполнения. [18]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Технологический стек Aurora намеренно ограничен минимально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необходимым набором инструментов. Принцип «выбирать инструмент под задачу» определил отказ от ORM-фреймворков в пользу прямых параметризованных SQL-запросов через aiomysql, что даёт полный контроль над генерируемым SQL и упрощает оптимизацию запросов.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основного ин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струмента взаимодействия с сервером выбран протокол HTTP/REST для синхронных операций (авторизация, получение истории при открытии чата, загрузка файлов) и WebSocket для асинхронных событий реального времени (входящие сообщения, реакции, уведомления). [21]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Принятое разделение протоколов обусловлено следующими соображениями. HTTP хорошо подход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ит для запросов типа «запрос — ответ», при которых клиент ожидает конкретного результата. WebSocket обеспечивает постоянное двунаправленное соединение, что позволяет серверу инициировать передачу данных без предварительного запроса со стороны клиента. [21]</w:t>
      </w:r>
      <w:r/>
    </w:p>
    <w:p>
      <w:pPr>
        <w:pStyle w:val="947"/>
        <w:pBdr/>
        <w:spacing w:after="0" w:before="0" w:line="360" w:lineRule="auto"/>
        <w:ind w:right="0" w:firstLine="709" w:left="0"/>
        <w:jc w:val="left"/>
        <w:rPr/>
      </w:pPr>
      <w:r/>
      <w:bookmarkStart w:id="513" w:name="_Toc13"/>
      <w:r/>
      <w:bookmarkStart w:id="105" w:name="bm_2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2.2 Проектирование базы данных</w:t>
      </w:r>
      <w:bookmarkEnd w:id="105"/>
      <w:r/>
      <w:bookmarkEnd w:id="513"/>
      <w:r/>
      <w:r/>
    </w:p>
    <w:p>
      <w:pPr>
        <w:pStyle w:val="948"/>
        <w:pBdr/>
        <w:spacing w:after="0" w:before="0" w:line="360" w:lineRule="auto"/>
        <w:ind w:right="0" w:firstLine="709" w:left="0"/>
        <w:jc w:val="left"/>
        <w:rPr/>
      </w:pPr>
      <w:r/>
      <w:bookmarkStart w:id="514" w:name="_Toc14"/>
      <w:r/>
      <w:bookmarkStart w:id="106" w:name="bm_22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2.2.1 Логическая модель данных</w:t>
      </w:r>
      <w:bookmarkEnd w:id="106"/>
      <w:r/>
      <w:bookmarkEnd w:id="514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Логическая модель данных описывает структуру информации в терминах сущностей, их атрибутов и отношений, абстрагируясь от физических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еталей конкретной СУБД. [8] На данном этапе определяются объекты предметной области, их свойства и правила взаимодействия; схема нормализуется до третьей нормальной формы (3НФ), что исключает транзитивные зависимости атрибутов и аномалии обновления данных.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логической модели мессенджера Aurora решались следующие задачи.</w:t>
      </w:r>
      <w:r/>
    </w:p>
    <w:p>
      <w:pPr>
        <w:pStyle w:val="938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основных сущностей системы (пользователи, сообщения, группы, реакции, папки, поддержка, теги) и их информационных атрибутов; [8]</w:t>
      </w:r>
      <w:r/>
    </w:p>
    <w:p>
      <w:pPr>
        <w:pStyle w:val="938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установление типов отношений между сущностями: один-ко-многим (1:N) и многие-ко-многим (M:N); [34]</w:t>
      </w:r>
      <w:r/>
    </w:p>
    <w:p>
      <w:pPr>
        <w:pStyle w:val="938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связующих сущностей для отношений M:N (УЧАСТНИК ГРУППЫ, ЧАТ В ПАПКЕ, РЕАКЦИЯ); [34]</w:t>
      </w:r>
      <w:r/>
    </w:p>
    <w:p>
      <w:pPr>
        <w:pStyle w:val="938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первичных и альтернативных ключей каждой сущности. [8]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Логическая модель данных мессенджера Aurora представлена на рисунке 3.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B3645C0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9290" cy="45064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192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379289" cy="4506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3.57pt;height:354.84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Рисунок 3 – Логическая модель данных мессенджера Aurora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Центральной сущностью модели является ПОЛЬЗОВАТЕЛЬ. Данная сущность связана отношением 1:N с сущностью ЛИЧНОЕ СООБЩЕНИЕ по двум ролям: отправитель и получа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тель. Одновременно пользователь может состоять в неограниченном числе групп — данное отношение M:N реализуется через промежуточную сущность УЧАСТНИК ГРУППЫ, фиксирующую роль участника (администратор или рядовой участник) и кастомный административный титул.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Сущность ГРУППА/КАНАЛ объединяет как групповые чаты, так и каналы (однонаправленное вещание), различаемые булевым атрибутом is_channel. [34] Связь между группой и сообщения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 — 1:N; сообщения (как личные, так и групповые) связаны с сущностью РЕАКЦИЯ отношением 1:N, причём дискриминатор is_group определяет тип сообщения. Уникальное ограничение на сочетание (message_id, is_group, user_id, emoji) исключает дублирование реакций.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Нормализация схемы до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третьей нормальной формы обусловлена необходимостью исключения транзитивных зависимостей между атрибутами. В ненормализованной схеме изменение имени пользователя потребовало бы обновления нескольких таблиц, что создаёт риск аномалий обновления данных. [24]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Связь «многие-ко-многим» межд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 пользователями и группами реализована через промежуточную таблицу group_members с составным первичным ключом (group_id, user_id). Атрибут role в этой таблице хранит роль участника — это классический пример атрибута связи в реляционной модели данных. [16]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Применение JSON-столбцов для хранения метаданных нескольких вложений (поле files) является ко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мпромиссом между строгой нормализацией и практическим удобством. Полная нормализация потребовала бы отдельной таблицы для вложений и дополнительного JOIN-запроса при каждой выборке сообщений. JSON-столбец позволяет получить все данные в одном запросе. [17]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Нормализация базы данных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процесс организации данных в базе данных, включающий создание таблиц и установление связей между ними в соответствии с правилами, которые обеспечивают защиту данных и делают базу данных более гибкой, устраняя избыточность и несогласованные зависимости. [8]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Реляционная модель данных была предложена американским учёным Э.Ф.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Коддом в 1970 году и основана на понятии математического отношения. Реляционная модель ориентирована на организацию данных в виде двумерных таблиц. Каждый столбец таблицы имеет уникальное имя, а все элементы одного столбца имеют одинаковый тип данных. [16]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нормальная форма (3НФ) — нормальная форма отношения в реляционной базе данных. Отношение находится в 3НФ тогда и только тогда, когда оно находится во второй нормальной форме (2НФ) и каждый неключевой атрибут нетранзитивно зависит от первичного ключа. [8]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реляционной модели данных кажд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ая сущность представляется отдельной таблицей, а связи между сущностями реализуются через внешние ключи. Такой подход обеспечивает целостность данных на уровне СУБД: невозможно добавить запись о сообщении с несуществующим идентификатором пользователя. [24]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выборе между денормализованной и нормализованной схемами принято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решение в пользу нормализации. Денормализация могла бы повысить производительность отдельных запросов, однако существенно усложнила бы обновление данных (например, изменение имени пользователя потребовало бы правки в нескольких таблицах одновременно). [8]</w:t>
      </w:r>
      <w:r/>
    </w:p>
    <w:p>
      <w:pPr>
        <w:pStyle w:val="948"/>
        <w:pBdr/>
        <w:spacing w:after="0" w:before="0" w:line="360" w:lineRule="auto"/>
        <w:ind w:right="0" w:firstLine="709" w:left="0"/>
        <w:jc w:val="left"/>
        <w:rPr/>
      </w:pPr>
      <w:r/>
      <w:bookmarkStart w:id="515" w:name="_Toc15"/>
      <w:r/>
      <w:bookmarkStart w:id="107" w:name="bm_22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2.2.2 Физическая схема базы данных</w:t>
      </w:r>
      <w:bookmarkEnd w:id="107"/>
      <w:r/>
      <w:bookmarkEnd w:id="515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Физическая схема базы данных конкретизирует логическую модель с учётом особенностей MySQL 8: задаются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типы данных, ограничения целостности, составные индексы и параметры движка хранилища. [43] Все таблицы используют движок InnoDB, кодировку utf8mb4 (полная поддержка Unicode и символов эмодзи) и AUTO_INCREMENT для автоматической генерации первичных ключей.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Физическая модель данных мессенджера Aurora представлена на рисунке 4.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125AC9">
      <w:pPr>
        <w:pBdr/>
        <w:spacing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567" cy="46117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9159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324566" cy="4611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9.26pt;height:363.13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Рисунок 4 – Физическая модель данных мессенджера Aurora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Краткое описание таблиц базы данных приведено в таблице 6. База данных мессенджера Aurora включает двенадцать таблиц, каждая из которых отвечает за строго определённый аспект функциональности системы.</w:t>
      </w:r>
      <w:r>
        <w:rPr>
          <w:b w:val="0"/>
          <w:bCs w:val="0"/>
        </w:rPr>
      </w:r>
      <w:r/>
    </w:p>
    <w:p>
      <w:pPr>
        <w:pBdr/>
        <w:spacing w:after="60" w:line="360" w:lineRule="auto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6 – Таблицы базы данных мессенджера Aurora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569"/>
        <w:gridCol w:w="3449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Ключевые поля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Учётные записи пользователей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username, tag, email, password_hash, privacy_settings (JSON)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Личная переписка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sender_id, receiver_id, message_text, files (JSON), is_deleted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Группы и каналы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creator_id, name, is_channel, channel_type, invite_link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312C101A">
      <w:pPr>
        <w:pBdr/>
        <w:spacing/>
        <w:ind/>
        <w:rPr/>
      </w:pPr>
      <w:r/>
      <w:r/>
    </w:p>
    <w:p w14:paraId="287B58D8">
      <w:pPr>
        <w:pBdr/>
        <w:spacing/>
        <w:ind/>
        <w:rPr/>
      </w:pPr>
      <w:r>
        <w:rPr>
          <w:lang w:val="ru-RU"/>
        </w:rPr>
        <w:t xml:space="preserve">Продолжение таблицы 6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569"/>
        <w:gridCol w:w="3449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  <w:vMerge w:val="restart"/>
          </w:tcPr>
          <w:p w14:paraId="450F3C46"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  <w:vMerge w:val="restart"/>
          </w:tcPr>
          <w:p w14:paraId="67C91A70"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  <w:vMerge w:val="restart"/>
          </w:tcPr>
          <w:p w14:paraId="37A090B4"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Ключевые поля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group_members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Участники групп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group_id, user_id, role, custom_title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group_messages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Сообщения в группах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group_id, sender_id, message_text, is_system, hidden_for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message_reactions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Реакции на сообщения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message_id, is_group, user_id, emoji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chat_folders / folder_chats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Папки для чатов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user_id, name; folder_id, chat_type, chat_id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post_views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Просмотры постов каналов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message_id, user_id, viewed_at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group_message_reads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Прочтение сообщений в группах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message_id, user_id, group_id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support_messages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Переписка с технической поддержкой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user_id, sender_id, is_admin_reply, is_read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35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blocked_users / user_tags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6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Блокировки и теги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49" w:type="dxa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blocker_id, blocked_id; user_id, tag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messages содержит составной индекс по полям (sender_id, receiver_id, timestamp) для ускорения выборки 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тории диалога. [43] Поле files типа JSON хранит массив объектов с метаданными нескольких вложений в рамках одного сообщения. Внешние ключи с опцией ON DELETE CASCADE обеспечивают автоматическое каскадное удаление дочерних записей при удалении родительских.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данных DATETIME выбран для временных меток вместо TIMESTAMP ввиду рас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ширенного диапазона значений: DATETIME охватывает период с 1000 по 9999 год, тогда как TIMESTAMP ограничен 2038 годом. Кроме того, DATETIME хранит значения независимо от часового пояса сервера, что упрощает работу с UTC-временем на стороне приложения.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Кодировка utf8mb4 применяется во всех таблиц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ах для полной поддержки Unicode, включая символы эмодзи (4-байтовые коды). Стандартная кодировка utf8 в MySQL реализует только 3-байтовый UTF-8, что исключает корректное хранение эмодзи — одного из наиболее часто используемых элементов в мессенджерах.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ускорения выборки истори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диалога в таблице messages создан составной индекс по полям (sender_id, receiver_id, timestamp). Данный индекс позволяет выполнять фильтрацию по паре пользователей без полного сканирования таблицы, что критически важно при наличии миллионов записей.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Внешние ключи с опцие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 ON DELETE CASCADE обеспечивают автоматическое удаление дочерних записей при удалении родительской. Например, при удалении группы автоматически удаляются все записи в group_members и group_messages. Это предотвращает накопление «осиротевших» записей. [17]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 типа BOOL (алиас TINYINT(1) в MySQL) для флагов состояния (is_deleted, is_read, delivered) обеспечивает минимальный объём хранения и высокую скорость фильтрации при наличии индекса. Каждый флаг занимает 1 байт и допускает индексирование. [43]</w:t>
      </w:r>
      <w:r/>
    </w:p>
    <w:p>
      <w:pPr>
        <w:pStyle w:val="947"/>
        <w:pBdr/>
        <w:spacing w:after="0" w:before="0" w:line="360" w:lineRule="auto"/>
        <w:ind w:right="0" w:firstLine="709" w:left="0"/>
        <w:jc w:val="left"/>
        <w:rPr/>
      </w:pPr>
      <w:r/>
      <w:bookmarkStart w:id="516" w:name="_Toc16"/>
      <w:r/>
      <w:bookmarkStart w:id="108" w:name="bm_23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2.3 Проектирование архитектуры подсистемы</w:t>
      </w:r>
      <w:bookmarkEnd w:id="108"/>
      <w:r/>
      <w:bookmarkEnd w:id="516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подсистемы хранения данных мессенджера Aurora разработана в соответствии с принципом многоуровневого разделения ответственност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(Separation of Concerns). [13] Система разделена на четыре архитектурных уровня: уровень представления, уровень бизнес-логики, уровень доступа к данным и уровень хранения. Такое разделение снижает связанность компонентов и упрощает сопровождение системы.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подсистемы мессенджера Aurora представлена на рисунке 5.</w:t>
      </w:r>
      <w:r/>
    </w:p>
    <w:p>
      <w:pPr>
        <w:pBdr/>
        <w:spacing w:after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3615" cy="259082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431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793615" cy="25908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6.19pt;height:204.00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Рисунок 5 – Архитектура подсистемы хранения данных мессенджера Aurora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представления реализован на React 18 с TypeScript. [44] Клиентское прил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ожение взаимодействует с сервером по двум каналам: REST API (HTTP) — для синхронных операций (авторизация, управление профилем, загрузка файлов); WebSocket — для асинхронных событий реального времени (доставка сообщений, реакции, изменение статуса онлайн).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бизнес-логики реализован на Python 3.11 с фрей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мворком FastAPI. [14] Сервер запускается через ASGI-сервер Uvicorn и включает три подсистемы: обработчик REST API-запросов, WebSocket-менеджер для управления активными соединениями и модуль аутентификации на основе JWT-токенов и bcrypt-хеширования паролей.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доступа к данным пред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ставлен слоем моделей (models.py). Классы UserModel, MessageModel, GroupModel, GroupMessageModel и другие инкапсулируют все SQL-запросы к базе данных. [12] Взаимодействие с MySQL осуществляется через пул соединений DatabasePool на базе библиотеки aiomysql.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хранения данных включает MySQL 8 в Docker-контейнере для структурированных реляционных данных [43] и облачный сервис Cloudinary для медиафайлов. [46]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Взаимодействие между уровнями системы построено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принципу однонаправленной зависимости: каждый вышестоящий уровень обращается к нижестоящему, но не наоборот. Уровень бизнес-логики использует уровень доступа к данным, тогда как уровень доступа к данным не содержит ссылок на компоненты бизнес-логики. [20]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Конфигурация системы (параметры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одключения к базе данных, ключ подписи JWT, учётные данные Cloudinary) вынесена в переменные окружения и не хранится в исходном коде. Это соответствует принципу «12-факторного приложения» и обеспечивает безопасное развёртывание в различных окружениях. [32]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Развёртывание MySQL в Docker-контейнере обеспечивает воспроизводимость среды разработки и продуктивного окружения. Все компоненты системы описываются в файле docker-compose.yml, что позволяет запустить весь стек одной командой: docker compose up. [41]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Многоуровневая архитектура — клиент-серверная архитектура, в которой функции представления, обработки 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нных и управления данными физически разделены. Наиболее распространённой разновидностью является трёхуровневая архитектура, включающая уровень представления (клиент), уровень логики приложения (сервер приложений) и уровень данных (сервер базы данных). [29]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REST (Representational State Transfer) — архитектурный стиль взаимодействия компонентов распределённого приложения в сети. REST представляет собой согласованный набор ограничений, учитываемых при проектировании распределённой гипермедиа-системы. [19]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разделения ответственности (Separation of Concerns) — принцип проектирования программного обеспечения, согласно которому программа должна быть разделена на отдельные части таким образом, чтобы каждая часть решала отдельную конкретную задачу. [20]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 аутентификации реализует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выдачу JWT-токенов с ограниченным сроком действия. JWT (JSON Web Token) — открытый стандарт RFC 7519, определяющий компактный и самодостаточный способ безопасной передачи информации между сторонами в виде JSON-объекта, подписанного цифровой подписью.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Хеширование паролей выполняется алгоритмом bcrypt с автоматически генерируемой солью. Этот алгоритм специально разработан для хеширования паролей: он намеренно медленный, что делает перебор по словарю вычислительно нецелесообразным.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Разделение серверного приложения и базы данных на отдельные Docker-контейнеры обеспечивает независимость их ж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изненных циклов: перезапуск приложения не приводит к остановке базы данных, и наоборот. Кроме того, такой подход упрощает масштабирование: при необходимости можно запустить несколько экземпляров серверного приложения, подключённых к одной базе данных. [41]</w:t>
      </w:r>
      <w:r/>
    </w:p>
    <w:p>
      <w:pPr>
        <w:pStyle w:val="947"/>
        <w:pBdr/>
        <w:spacing w:after="0" w:before="0" w:line="360" w:lineRule="auto"/>
        <w:ind w:right="0" w:firstLine="709" w:left="0"/>
        <w:jc w:val="left"/>
        <w:rPr/>
      </w:pPr>
      <w:r/>
      <w:bookmarkStart w:id="517" w:name="_Toc17"/>
      <w:r/>
      <w:bookmarkStart w:id="109" w:name="bm_24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2.4 Реализация пула соединений с базой данных</w:t>
      </w:r>
      <w:bookmarkEnd w:id="109"/>
      <w:r/>
      <w:bookmarkEnd w:id="517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обращения к СУБД MySQL выполняются через класс DatabasePool, реализующий паттерн проектирования «Одиночка»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Singleton) применительно к пулу соединений на базе библиотеки aiomysql. [18] Применение пула соединений исключает накладные расходы на повторное установление TCP-соединения при каждом запросе, что критически важно при высоком уровне конкурентных обращений.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Параметры minsize=5 и maxsize=20 задают допустимый диапазон числа одновременно открытых соединений. При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пуске сервера создаётся 5 постоянных соединений, исключающих задержку первого обращения. При возрастании нагрузки пул автоматически открывает дополнительные соединения вплоть до заданного максимума. Реализация класса DatabasePool представлена в листинге 1.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1 – Класс DatabasePool (server/app/models.py)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class DatabasePool: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_pool = None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@classmethod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async def get_pool(cls):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if cls._pool is None: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cls._pool = await aiomysql.create_pool(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host=config.MYSQL_HOST,   port=config.MYSQL_PORT,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user=config.MYSQL_USER,   password=config.MYSQL_PASSWORD,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db=config.MYSQL_DATABASE, autocommit=True,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minsize=5,    # минимальный размер пула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maxsize=20,   # максимальный размер при пиковой нагрузке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    charset="utf8mb4", use_unicode=True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    )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  <w:t xml:space="preserve">        return cls._pool</w:t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  <w:r>
        <w:rPr>
          <w:rFonts w:ascii="Times New Roman" w:hAnsi="Times New Roman" w:cs="Times New Roman"/>
          <w:bCs/>
          <w:i/>
          <w:sz w:val="32"/>
          <w:szCs w:val="32"/>
          <w:highlight w:val="none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метод модели получает соединение конструкцией async with pool.acquire() as conn, которая автоматически возвращает соединение в пул по завершении блока вне зависимости от результата операции.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Асинхронная модель управления соединениями позволяет эффективно использовать ресурсы серв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ера. При синхронном подходе каждое соединение с базой данных блокировало бы отдельный поток операционной системы на время ожидания ответа. При высокой нагрузке это приводит к созданию тысяч потоков, что нерационально с точки зрения потребления памяти. [38]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 autocommit=True означает автоматическую фиксацию каждой транзакции после 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полнения запроса. Это упрощает код методов: не требуется явный вызов commit() после каждого INSERT или UPDATE. Для операций, требующих атомарного выполнения нескольких изменений, автокоммит может быть временно отключён на уровне отдельного соединения. [18]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Da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tabasePool.close() вызывается в обработчике события завершения работы приложения (shutdown event FastAPI). Корректное закрытие пула важно для освобождения ресурсов на стороне MySQL-сервера и предотвращения утечек соединений при перезапуске приложения.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Пул соединений решает проблему высокой стоимости уст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ановления TCP-соединения с базой данных. Каждое новое соединение требует трёхэтапного TCP-рукопожатия, аутентификации в СУБД и выделения ресурсов на стороне сервера. При высокой нагрузке (тысячи запросов в секунду) эти затраты становятся узким местом. [18]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Выбранные параметры пула (minsize=5, maxsize=20) обоснованы ожидаемым уровнем нагрузки на начальном этапе. При росте числа пользователей параметры могут быть увеличены без изменения кода приложения — достаточно обновить значения переменных окружения. [18]</w:t>
      </w:r>
      <w:r/>
    </w:p>
    <w:p>
      <w:pPr>
        <w:pStyle w:val="947"/>
        <w:pBdr/>
        <w:spacing w:after="0" w:before="0" w:line="360" w:lineRule="auto"/>
        <w:ind w:right="0" w:firstLine="709" w:left="0"/>
        <w:jc w:val="left"/>
        <w:rPr/>
      </w:pPr>
      <w:r/>
      <w:bookmarkStart w:id="518" w:name="_Toc18"/>
      <w:r/>
      <w:bookmarkStart w:id="110" w:name="bm_25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2.5 Реализация модуля хранения и управления историей сообщений</w:t>
      </w:r>
      <w:bookmarkEnd w:id="110"/>
      <w:r/>
      <w:bookmarkEnd w:id="518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 хранения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реализован в классе MessageModel и обеспечивает полный цикл операций с личными сообщениями: запись, постраничное чтение, редактирование и мягкое удаление. [12] Аналогичный класс GroupMessageModel реализует те же операции для сообщений в группах и каналах.</w:t>
      </w:r>
      <w:r/>
    </w:p>
    <w:p>
      <w:pPr>
        <w:pStyle w:val="948"/>
        <w:pBdr/>
        <w:spacing w:after="0" w:before="0" w:line="360" w:lineRule="auto"/>
        <w:ind w:right="0" w:firstLine="709" w:left="0"/>
        <w:jc w:val="left"/>
        <w:rPr/>
      </w:pPr>
      <w:r/>
      <w:bookmarkStart w:id="519" w:name="_Toc19"/>
      <w:r/>
      <w:bookmarkStart w:id="111" w:name="bm_25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2.5.1 Запись и чтение сообщений</w:t>
      </w:r>
      <w:bookmarkEnd w:id="111"/>
      <w:r/>
      <w:bookmarkEnd w:id="519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save_message выполняет вставку новой записи в таблицу messages с использованием параметризованного SQL-запроса. [43]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Параметризация предотвращает атаки типа SQL-инъекция. Метод возвращает lastrowid — идентификатор, присвоенный базой данных автоматически через AUTO_INCREMENT, который передаётся клиенту в подтверждении доставки. Реализация метода представлена в листинге 2.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2 – Метод MessageModel.save_message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@staticmethod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save_message(sender_id: int, receiver_id: int,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message_text: str = None,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file_path: str = None, filename: str = None,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file_size: int = None, reply_to_id: int = None,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files: str = None) -&gt; Optional[int]: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pool = await DatabasePool.get_pool()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async with pool.acquire() as conn: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async with conn.cursor() as cur: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await cur.execute("""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INSERT INTO messages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(sender_id, receiver_id, message_text,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file_path, filename, file_size, reply_to_id, files)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VALUES (%s, %s, %s, %s, %s, %s, %s, %s)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""", (sender_id, receiver_id, message_text,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file_path, filename, file_size, reply_to_id, files))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return cur.lastrowid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получения истории переписки реализован метод get_conversation, применяющий пагинаци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 на основе параметра LIMIT. [43] Запрос выбирает сообщения с сортировкой ORDER BY timestamp DESC, после чего список разворачивается в хронологическом порядке для корректного отображения в клиентском приложении. Реализация метода представлена в листинге 3.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3 – Метод MessageModel.get_conversation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@staticmethod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get_conversation(user1_id: int, user2_id: int,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   limit: int = 50) -&gt; List[Dict]: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pool = await DatabasePool.get_pool()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async with pool.acquire() as conn: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async with conn.cursor(aiomysql.DictCursor) as cur: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await cur.execute("""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SELECT m.id, m.sender_id, m.receiver_id,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m.message_text, m.timestamp,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m.reply_to_id, m.files,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COALESCE(m.is_read, 0) as is_read,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u1.username as sender_name,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u2.username as receiver_name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FROM messages m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JOIN users u1 ON m.sender_id = u1.id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JOIN users u2 ON m.receiver_id = u2.id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WHERE ((m.sender_id = %s AND m.receiver_id = %s)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OR (m.sender_id = %s AND m.receiver_id = %s))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AND m.is_deleted = 0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AND NOT (m.sender_id = %s AND m.deleted_by_sender = 1)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AND NOT (m.receiver_id = %s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   AND m.deleted_by_receiver = 1)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ORDER BY m.timestamp DESC LIMIT %s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""", (user1_id, user2_id, user2_id, user1_id,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user1_id, user1_id, limit))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return list(reversed(await cur.fetchall()))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использует двойное условие WHERE для выборки сообщений в обоих направлениях диалога: user1→user2 и user2→user1. Фильтры deleted_by_sender и deleted_by_receiver обеспечивают корректную работу функции «удалить только для себя».</w:t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 личного чата с историей переписки показан на рисунке 6.</w:t>
      </w:r>
      <w:r>
        <w:rPr>
          <w:highlight w:val="none"/>
        </w:rPr>
      </w:r>
      <w:r>
        <w:rPr>
          <w:highlight w:val="none"/>
        </w:rPr>
      </w:r>
    </w:p>
    <w:p w14:paraId="00F2900E">
      <w:pPr>
        <w:pBdr/>
        <w:spacing w:line="360" w:lineRule="auto"/>
        <w:ind w:firstLine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1067" cy="395795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695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4511067" cy="3957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5.20pt;height:311.65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6 – окно личного чата с историей сообщений и полем ввода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Функция COALESCE в 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апросе get_conversation используется для замены NULL-значения флага is_read нулём. Это необходимо для сообщений, созданных до введения поля is_read: они содержат NULL вместо 0 по умолчанию, что без COALESCE могло бы вызвать ошибки в клиентской логике.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запросе 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полняется двойное JOIN с таблицей users: первый раз для получения имени отправителя (псевдоним u1), второй — для получения имени получателя (псевдоним u2). Такой подход позволяет получить все необходимые данные в рамках одного обращения к базе данных. [24]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get_conversation принимает параметр limit со значением по умол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чанию 50. Это означает, что при открытии чата клиент получает последние 50 сообщений — достаточное количество для отображения на экране устройства без избыточной нагрузки на базу данных. При прокрутке истории вверх клиент запрашивает следующую порцию.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Временны́е ме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тки сообщений хранятся в UTC и конвертируются в локальный часовой пояс на стороне клиента. Это исключает проблемы с отображением времени при смене часового пояса пользователем или при работе с несколькими устройствами в разных географических регионах. [12]</w:t>
      </w:r>
      <w:r/>
    </w:p>
    <w:p>
      <w:pPr>
        <w:pStyle w:val="948"/>
        <w:pBdr/>
        <w:spacing w:after="0" w:before="0" w:line="360" w:lineRule="auto"/>
        <w:ind w:right="0" w:firstLine="709" w:left="0"/>
        <w:jc w:val="left"/>
        <w:rPr/>
      </w:pPr>
      <w:r/>
      <w:bookmarkStart w:id="520" w:name="_Toc20"/>
      <w:r/>
      <w:bookmarkStart w:id="112" w:name="bm_25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2.5.2 Редактирование и удаление сообщений</w:t>
      </w:r>
      <w:bookmarkEnd w:id="112"/>
      <w:r/>
      <w:bookmarkEnd w:id="520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Редактирование текста сообщения выполняется запросом UPDATE, обновляющим одновременно текст и поле edited_at через функцию NOW(). [43] Наличие поля edited_at позволяет клиентскому приложению отображать маркер «изменено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рядом с отредактированным сообщением. Удаление реализовано по принципу мягкого удаления (soft delete): физическое стирание записи не производится, вместо этого флаг is_deleted устанавливается в значение TRUE. Реализация методов представлена в листинге 4.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4 – Методы update_message и delete_message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update_message(message_id: int, new_text: str) -&gt; bool: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pool = await DatabasePool.get_pool()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async with pool.acquire() as conn: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async with conn.cursor() as cur: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await cur.execute(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"UPDATE messages SET message_text=%s,"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" edited_at=NOW() WHERE id=%s",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(new_text, message_id))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return cur.rowcount &gt; 0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delete_message(message_id: int, for_self: bool = False,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 current_user_id: int = None) -&gt; bool: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pool = await DatabasePool.get_pool()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async with pool.acquire() as conn: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async with conn.cursor() as cur: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if for_self and current_user_id: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# Мягкое удаление только для себя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await cur.execute("""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UPDATE messages SET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deleted_by_sender = CASE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WHEN sender_id=%s THEN 1 ELSE deleted_by_sender END,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deleted_by_receiver = CASE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WHEN receiver_id=%s THEN 1 ELSE deleted_by_receiver END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WHERE id=%s""",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(current_user_id, current_user_id, message_id))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else: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await cur.execute(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"UPDATE messages SET is_deleted=TRUE WHERE id=%s",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(message_id,))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return cur.rowcount &gt; 0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Применение мягкого удаления обусловлено тре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бованием сохранения целостности цепочек цитирования: физически удалённое сообщение делает ссылки reply_to_id из других сообщений неактивными. При мягком удалении клиентское приложение отображает заглушку «Сообщение удалено» без нарушения структуры диалога.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Контекстное меню операций над сообщением показано на рисунке 7.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961D033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60012" cy="374464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44405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2560011" cy="3744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01.58pt;height:294.85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7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– контекстное меню сообщения в групповом чате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mark_as_read отмечает все непрочитанные сообщения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 конкретного отправителя как прочитанные и возвращает список идентификаторов обновлённых записей. Этот список передаётся отправителю через WebSocket в виде события read_receipt, по которому клиент отображает «галочки прочтения» рядом с сообщениями.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редактирования сообщения доступна только его автору. Проверка выполняется на уровне бизнес-логики путём сравнения идентификатора текущего пользователя с полем sender_id сообщения. Попытка редактирования чужого сообщения возвращает код 403 Forbidden.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Мягкое удаление сохраняет запись в базе данных, устанавливая флаг is_deleted в значение TR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UE. Все последующие запросы на получение истории фильтруют записи по условию is_deleted = 0, поэтому удалённые сообщения не отображаются пользователям. Физическое удаление устаревших записей может выполняться отдельным фоновым процессом по расписанию.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Поле edi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ted_at фиксирует момент последнего редактирования и позволяет клиентскому приложению отображать пометку «изменено» рядом с отредактированными сообщениями. Это информирует участников диалога о том, что содержимое сообщения было изменено после отправки. [12]</w:t>
      </w:r>
      <w:r/>
    </w:p>
    <w:p>
      <w:pPr>
        <w:pStyle w:val="947"/>
        <w:pBdr/>
        <w:spacing w:after="0" w:before="0" w:line="360" w:lineRule="auto"/>
        <w:ind w:right="0" w:firstLine="709" w:left="0"/>
        <w:jc w:val="left"/>
        <w:rPr/>
      </w:pPr>
      <w:r/>
      <w:bookmarkStart w:id="521" w:name="_Toc21"/>
      <w:r/>
      <w:bookmarkStart w:id="113" w:name="bm_26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2.6 Реализация WebSocket-менеджера</w:t>
      </w:r>
      <w:bookmarkEnd w:id="113"/>
      <w:r/>
      <w:bookmarkEnd w:id="52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Доставка сообщений в режиме реальн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ого времени реализована через постоянное WebSocket-соединение в соответствии с протоколом RFC 6455. [21] Класс ConnectionManager хранит словарь активных подключений вида {user_id: WebSocket} и предоставляет методы рассылки событий конкретным пользователям.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WebSocket-эндпоинт реализован по маршруту /ws/{user_id}. После установления соединения сервер регистрирует пользователя в менеджере и входит в цикл ожидания входящих JSON-сообщений. Реализация эндпоинта представлена в листинге 5.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WebSocket — протокол свя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зи поверх TCP-соединения, предназначенный для обмена сообщениями между браузером и веб-сервером в режиме реального времени. WebSocket, в отличие от HTTP, является полнодуплексным протоколом: данные могут передаваться одновременно в обоих направлениях. [18]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 WebSocket был стандартизирован организацией IETF в документе RFC 6455 в 2011 году. Стандарт описывает механизм установления WebSocket-соединения посредством HTTP Upgrade запроса (рукопожатие), а также формат кадров данных, передаваемых по протоколу. [18]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5 – WebSocket-эндпоинт (server/app/main.py)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@app.websocket("/ws/{user_id}")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websocket_endpoint(websocket: WebSocket, user_id: int):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await manager.connect(websocket, user_id)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try: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while True: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data = await websocket.receive_json()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if data["type"] == "message":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msg_id = await MessageModel.save_message(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sender_id=user_id,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receiver_id=data["receiver_id"],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message_text=data.get("text"),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files=data.get("files"))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await manager.send_to_user(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data["receiver_id"],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{"type": "new_message", "id": msg_id,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"sender_id": user_id, "text": data.get("text")})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elif data["type"] == "read":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ids = await MessageModel.mark_as_read(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sender_id=data["sender_id"],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receiver_id=user_id)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await manager.send_to_user(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data["sender_id"],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{"type": "read_receipt", "ids": ids})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except WebSocketDisconnect: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manager.disconnect(user_id)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await manager.broadcast_online_status(user_id, False)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получении события типа «message» сервер сохраняет сообщение в базе данных и немедленно передаёт его адресату через менеджер соединений. Если получатель не подключён к серверу в момент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отправки, сообщение остаётся в базе данных с флагом delivered = FALSE и будет передано при следующем установлении соединения. Событие «read» рассылает уведомление о прочтении отправителю, что реализует механизм «галочек прочтения» в клиентском интерфейсе.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 группового чата с реакциями показан на рисунке 8.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CA77F05">
      <w:pPr>
        <w:pBdr/>
        <w:spacing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49251" cy="407100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968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4649250" cy="40710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6.08pt;height:320.55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8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– групповой чат: сообщения, реакции, меню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Механизм автоматического переподключения 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еализован на стороне клиента: при разрыве соединения выполняется повторное подключение с экспоненциальной задержкой (1 с, 2 с, 4 с, максимум 30 с). После восстановления соединения сервер доставляет все накопленные сообщения с флагом delivered = FALSE. [21]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ждого пользователя может существовать несколько активных соединений (например, браузер и мобильное приложение одновременно). WebSocket-менеджер хранит список соединений для каждого user_id и рассылает события всем активным сессиям одного пользователя.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Событие изменения статуса онлайн рассылается не всем пользователям системы, а только тем, с кем у данного пользователя есть активная переписка. Это ограничение снижает сетевую нагрузку при большом числе одновременно подключённых пользователей.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WebSocket-соединение устанавли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вается по маршруту /ws/{user_id}. После установления соединения сервер добавляет объект WebSocket в словарь активных соединений менеджера, индексируя его по идентификатору пользователя. При разрыве соединения объект автоматически удаляется из словаря. [21]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Формат 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бмена данными через WebSocket — JSON. Каждое сообщение содержит обязательное поле type, определяющее тип события (message, read, reaction, online_status). Остальные поля зависят от типа события и обрабатываются соответствующим обработчиком на сервере.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обработке события типа reaction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сервер сохраняет реакцию в таблице message_reactions и рассылает событие всем участникам диалога или группы. Уникальное ограничение на комбинацию (message_id, is_group, user_id, emoji) исключает дублирование одинаковых реакций от одного пользователя. [12]</w:t>
      </w:r>
      <w:r/>
    </w:p>
    <w:p>
      <w:pPr>
        <w:pStyle w:val="947"/>
        <w:pBdr/>
        <w:spacing w:after="0" w:before="0" w:line="360" w:lineRule="auto"/>
        <w:ind w:right="0" w:firstLine="709" w:left="0"/>
        <w:jc w:val="left"/>
        <w:rPr/>
      </w:pPr>
      <w:r/>
      <w:bookmarkStart w:id="522" w:name="_Toc22"/>
      <w:r/>
      <w:bookmarkStart w:id="114" w:name="bm_27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2.7 Реализация модуля полнотекстового поиска</w:t>
      </w:r>
      <w:bookmarkEnd w:id="114"/>
      <w:r/>
      <w:bookmarkEnd w:id="522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 поиска обеспечивает поиск по содержимому личных и групповых сообщений, поиск пользователей по уникальному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тегу и поиск публичных каналов по тегу. Поиск по тексту сообщений выполняется средствами MySQL с использованием оператора LIKE, [43] который не требует установки дополнительных расширений и гарантирует совместимость с любой стандартной конфигурацией СУБД.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search_all_conversat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ions выполняет поиск вхождений подстроки по всем диалогам текущего пользователя. Фильтрация по полям sender_id и receiver_id гарантирует, что пользователь получает исключительно результаты из собственной переписки. Реализация метода приведена в листинге 6.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6 – Метод поиска по сообщениям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@staticmethod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search_all_conversations(user_id: int,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           query: str,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            limit: int = 100) -&gt; List[Dict]: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pool = await DatabasePool.get_pool()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async with pool.acquire() as conn: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async with conn.cursor(aiomysql.DictCursor) as cur: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await cur.execute("""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SELECT m.id, m.sender_id, m.receiver_id,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m.message_text, m.timestamp,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u1.username as sender_name,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 u2.username as receiver_name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FROM messages m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JOIN users u1 ON m.sender_id = u1.id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JOIN users u2 ON m.receiver_id = u2.id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WHERE (m.sender_id = %s OR m.receiver_id = %s)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AND m.message_text LIKE %s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AND m.is_deleted = 0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ORDER BY m.timestamp DESC LIMIT %s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""", (user_id, user_id, f"%{query}%", limit))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return await cur.fetchall()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Агрегированный эндпоинт GET /api/search объединяет результ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аты поиска пользователей (по точному совпадению тега), публичных каналов и сообщений в единый ответ JSON. Все поисковые запросы выполняются асинхронно, [12] что исключает блокировку сервера при обработке одновременных обращений от нескольких пользователей.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Панель глобального поиска с результатами показана на рисунке 9.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946B92E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5342" cy="273500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114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4305342" cy="2735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39.00pt;height:215.35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9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– панель глобального поиска с результатами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Производительность LIKE-поиск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с символом процента в начале шаблона (LIKE '%запрос%') ограничена тем, что MySQL не использует стандартный B-tree индекс для такого запроса — выполняется полное сканирование таблицы. При большом объёме данных это может привести к заметным задержкам.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перспективного улучшения рекомендуется рас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смотреть переход на FULLTEXT-индексы MySQL, которые специально оптимизированы для полнотекстового поиска и обеспечивают значительно более высокую скорость. Переход возможен без изменения API: достаточно заменить LIKE на MATCH...AGAINST в SQL-запросах.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тегу пользователя выполняется с точным совпадением (WHERE tag = %s) и задействует индекс по полю tag, что даёт сложность операции O(log n). Тег хранится в нижнем регистре без символа «@» для обеспечения регистронезависимого поиска.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поиска в конкретном диалоге реализован отдельный метод search_conversation, принимающий идентификаторы обоих участников. Это позволяет ограничить выдачу сообщениями одного диалога, что удобно при наличии функции поиска внутри открытого чата.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Агрегированный эндпо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инт GET /api/search объединяет результаты поиска пользователей (по точному совпадению тега), публичных каналов и сообщений в единый JSON-ответ. Все запросы выполняются асинхронно, что исключает блокировку сервера при обработке одновременных обращений. [12]</w:t>
      </w:r>
      <w:r/>
    </w:p>
    <w:p>
      <w:pPr>
        <w:pStyle w:val="947"/>
        <w:pBdr/>
        <w:spacing w:after="0" w:before="0" w:line="360" w:lineRule="auto"/>
        <w:ind w:right="0" w:firstLine="709" w:left="0"/>
        <w:jc w:val="left"/>
        <w:rPr/>
      </w:pPr>
      <w:r/>
      <w:bookmarkStart w:id="523" w:name="_Toc23"/>
      <w:r/>
      <w:bookmarkStart w:id="115" w:name="bm_28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2.8 Реализация подсистемы загрузки и хранения медиафайлов</w:t>
      </w:r>
      <w:bookmarkEnd w:id="115"/>
      <w:r/>
      <w:bookmarkEnd w:id="523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Подсистема медиафайлов обеспечивает приём файлов от клиентов, их перед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ачу в облачное хранилище Cloudinary [46] и последующую отдачу по запросу. Выбор режима хранения (облачное или локальное) производится автоматически на основании наличия переменных окружения CLOUDINARY_CLOUD_NAME, CLOUDINARY_API_KEY и CLOUDINARY_API_SECRET.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Эндпоинт загрузки POST /api/upload принимает файл в формате multipart/form-data.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После верификации JWT-токена сервер определяет MIME-тип файла через модуль mimetypes и генерирует уникальное имя посредством uuid.uuid4(), что исключает коллизии при одновременной загрузке нескольких файлов. Реализация эндпоинта представлена в листинге 7.</w:t>
      </w:r>
      <w:r/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7 – Эндпоинт загрузки файла (server/app/main.py)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@app.post("/api/upload")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async def upload_file(file: UploadFile = File(...),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          token: str = Form(...)):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payload = decode_jwt_token(token)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if not payload: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raise HTTPException(status_code=401)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ext = os.path.splitext(file.filename)[1]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unique_name = f"{uuid.uuid4()}{ext}"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content = await file.read()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if _cloudinary_configured():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result = cloudinary.uploader.upload(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content, folder="aurora",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resource_type="auto")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file_url = result["secure_url"]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else: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path = os.path.join("uploads", unique_name)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with open(path, "wb") as f: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f.write(content)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file_url = f"/api/files/{unique_name}"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return {"file_path": file_url,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hd w:val="clear" w:color="auto" w:fill="auto"/>
        <w:spacing w:after="0" w:before="0" w:line="240" w:lineRule="auto"/>
        <w:ind w:firstLine="0" w:left="720"/>
        <w:rPr>
          <w:rFonts w:ascii="Times New Roman" w:hAnsi="Times New Roman" w:cs="Times New Roman"/>
          <w:bCs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          "filename": file.filename, "size": len(content)}</w:t>
      </w:r>
      <w:r>
        <w:rPr>
          <w:rFonts w:ascii="Times New Roman" w:hAnsi="Times New Roman" w:cs="Times New Roman"/>
          <w:bCs/>
          <w:i/>
          <w:sz w:val="32"/>
          <w:szCs w:val="32"/>
        </w:rPr>
      </w:r>
      <w:r>
        <w:rPr>
          <w:rFonts w:ascii="Times New Roman" w:hAnsi="Times New Roman" w:cs="Times New Roman"/>
          <w:bCs/>
          <w:i/>
          <w:sz w:val="32"/>
          <w:szCs w:val="32"/>
        </w:rPr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 resource_type="auto" позволяет Cloudinary [46] автоматически определить тип файла и применить соответствующую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тратегию хранения: для изображений генерируются миниатюры и применяется сжатие без потери качества; для видеофайлов создаются превью-кадры. Полученный secure_url представляет собой HTTPS-ссылку на CDN, которая сохраняется в поле file_path таблицы messages.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Компонент MediaPlayer клиент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ского приложения обрабатывает полученные URL на стороне клиента: изображения отображаются как встроенное превью; аудио- и видеофайлы воспроизводятся встроенным плеером; файлы остальных форматов отображаются с иконкой, именем, размером и кнопкой скачивания.</w: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Отображение медиафайла в чате показано на рисунке 10.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5DB0A97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1626" cy="319276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5450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4651626" cy="3192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66.27pt;height:251.40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10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– сообщение с вложенным изображением и видеоплеером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 res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ource_type="auto" при загрузке позволяет Cloudinary автоматически определить тип файла: изображение, видео или произвольный документ. Для изображений сервис генерирует миниатюры и применяет сжатие без потери качества; для видео — создаёт превью-кадры. [46]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случае недоступности 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loudinary система автоматически переключается на локальное хранилище. Выбор режима проверяется функцией _cloudinary_configured() при каждом обращении к эндпоинту загрузки. Это обеспечивает отказоустойчивость и непрерывность обслуживания пользователей.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MIME-тип файла оп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ределяется стандартной библиотекой mimetypes Python на основании расширения имени файла. Значение передаётся в заголовке Content-Type ответа HTTP при скачивании, что позволяет браузеру корректно определить способ отображения или воспроизведения файла.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Генерация уникального имени файл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через uuid.uuid4() обеспечивает вероятность коллизии порядка 10⁻¹⁸. Это практически исключает совпадение имён при параллельной загрузке. Расширение файла сохраняется из оригинального имени, что позволяет корректно определить MIME-тип при скачивании.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Компонент MediaPlayer клиентского приложения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обрабатывает полученные URL на стороне клиента: изображения отображаются как встроенное превью с возможностью полноэкранного просмотра; аудио и видео воспроизводятся встроенным плеером; прочие файлы показываются с иконкой, именем и кнопкой скачивания. [12]</w:t>
      </w:r>
      <w:r/>
    </w:p>
    <w:p>
      <w:pPr>
        <w:pStyle w:val="947"/>
        <w:pBdr/>
        <w:spacing w:after="0" w:before="0" w:line="360" w:lineRule="auto"/>
        <w:ind w:right="0" w:firstLine="709" w:left="0"/>
        <w:jc w:val="left"/>
        <w:rPr/>
      </w:pPr>
      <w:r/>
      <w:bookmarkStart w:id="524" w:name="_Toc24"/>
      <w:r/>
      <w:bookmarkStart w:id="116" w:name="bm_29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2.9 Тестирование подсистемы</w:t>
      </w:r>
      <w:bookmarkEnd w:id="116"/>
      <w:r/>
      <w:bookmarkEnd w:id="524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разработанной подсистемы проводилось методом функционального тестирования: для каждого ключевого модуля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оставлялись тест-кейсы, описывающие ожидаемое поведение системы при корректных и некорректных входных данных. [13] Функциональное тестирование позволяет верифицировать соответствие реализованных функций требованиям, зафиксированным в диаграмме прецедентов.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проверяемых сценариев тестирования.</w:t>
      </w:r>
      <w:r/>
    </w:p>
    <w:p>
      <w:pPr>
        <w:pStyle w:val="938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регистрация нового пользователя с уникальным тегом — ожидаемый результат: запись создана в таблице users, JWT-токен возвращён клиенту;</w:t>
      </w:r>
      <w:r/>
    </w:p>
    <w:p>
      <w:pPr>
        <w:pStyle w:val="938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отправка сообщения онлайн-пользователю — сообщение сохранено в таблице messages, доставлено через WebSocket в реальном времени; [21]</w:t>
      </w:r>
      <w:r/>
    </w:p>
    <w:p>
      <w:pPr>
        <w:pStyle w:val="938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отправка сообщения офлайн-пользователю — сообщение сохранено с флагом delivered = FALSE, доставлено при следующем подключении адресата; [21]</w:t>
      </w:r>
      <w:r/>
    </w:p>
    <w:p>
      <w:pPr>
        <w:pStyle w:val="938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ключевому слову — возвращены только сообщения, принадлежащие текущему пользователю и содержащие искомую подстроку;</w:t>
      </w:r>
      <w:r/>
    </w:p>
    <w:p>
      <w:pPr>
        <w:pStyle w:val="938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 медиафайла размером 15 МБ — файл передан в Cloudinary, URL корректно сохранён в базе данных; [46]</w:t>
      </w:r>
      <w:r/>
    </w:p>
    <w:p>
      <w:pPr>
        <w:pStyle w:val="938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мягкое удаление сообщения «только для себя» — запись скрыта от инициатора операции, видна второму участнику диалога;</w:t>
      </w:r>
      <w:r/>
    </w:p>
    <w:p>
      <w:pPr>
        <w:pStyle w:val="938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к защищённому эндпоинту без JWT-токена — сервер возвращает HTTP-статус 401 Unauthorized.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перечисленные сценарии успешно прошли проверку. Результаты тестирования подтвердили корректность реализации ключевых функций подсистемы и их соответствие требованиям, описанным в диаграмме прецедентов.</w:t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Административная панель мессенджера Aurora показана на рисунке 11.</w:t>
      </w:r>
      <w:r>
        <w:rPr>
          <w:highlight w:val="none"/>
        </w:rPr>
      </w:r>
      <w:r>
        <w:rPr>
          <w:highlight w:val="none"/>
        </w:rPr>
      </w:r>
    </w:p>
    <w:p w14:paraId="01937B25">
      <w:pPr>
        <w:pBdr/>
        <w:spacing w:line="360" w:lineRule="auto"/>
        <w:ind w:right="0" w:firstLine="0" w:left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9483" cy="500935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660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5209482" cy="5009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0.20pt;height:394.44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1 – административная панель: список обращений в поддержку</w:t>
      </w:r>
      <w:r>
        <w:rPr>
          <w:bCs w:val="0"/>
          <w:i w:val="0"/>
        </w:rPr>
      </w:r>
      <w:r>
        <w:rPr>
          <w:bCs w:val="0"/>
          <w:i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проводилось с использованием инструментов Postman (для REST API) и wscat (для WebSocket-соединений). Тест-кейсы составлялись на основе прецедентов диаграммы, что обеспечило полное покрытие заявленной функциональности. [6]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тестирования выявл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 и устранён ряд дефектов. В частности, при одновременной отправке нескольких сообщений возникали состояния гонки (race condition), устранённые применением UNIQUE-ограничений на уровне базы данных и обработкой исключений IntegrityError в коде модели.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тестирования подтверди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 соответствие реализованных функций требованиям, зафиксированным в диаграмме прецедентов. Все семь тест-кейсов завершились с ожидаемым результатом, что свидетельствует о готовности подсистемы к интеграции с остальными компонентами мессенджера Aurora. [6]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Подробные результаты тестирования по каждой роли пользователя (Гость, Пользователь, Администратор) с описанием тест-кейсов, исходных данных, ожидаемых и фактических результатов представлены в приложении А (таблицы А.1–А.3).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корректности обработки ошибочных входных данных является важны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 аспектом тестирования. В частности, проверялась реакция сервера на попытку загрузки файла с неподдерживаемым типом, отправку пустого сообщения и регистрацию пользователя с уже занятым тегом. Во всех случаях сервер возвращал информативный код ошибки. [12]</w:t>
      </w:r>
      <w:r/>
    </w:p>
    <w:p w14:paraId="347DCA80"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/>
    </w:p>
    <w:p>
      <w:pPr>
        <w:pStyle w:val="946"/>
        <w:pBdr/>
        <w:spacing w:after="0" w:line="360" w:lineRule="auto"/>
        <w:ind w:firstLine="709"/>
        <w:jc w:val="center"/>
        <w:rPr>
          <w:highlight w:val="none"/>
        </w:rPr>
      </w:pPr>
      <w:r/>
      <w:bookmarkStart w:id="525" w:name="_Toc25"/>
      <w:r/>
      <w:r/>
      <w:bookmarkStart w:id="118" w:name="bm_ch3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 ТЕХНИКО-ЭКОНОМИЧЕСКОЕ ОБОСНОВАНИЕ</w:t>
      </w:r>
      <w:bookmarkEnd w:id="118"/>
      <w:r>
        <w:rPr>
          <w:highlight w:val="none"/>
        </w:rPr>
      </w:r>
      <w:bookmarkEnd w:id="525"/>
      <w:r/>
      <w:r>
        <w:rPr>
          <w:highlight w:val="none"/>
        </w:rPr>
      </w:r>
    </w:p>
    <w:p w14:paraId="39BF4E9F">
      <w:pPr>
        <w:pBdr/>
        <w:spacing w:line="360" w:lineRule="auto"/>
        <w:ind w:right="0" w:firstLine="709" w:left="0"/>
        <w:rPr/>
      </w:pPr>
      <w:r>
        <w:t xml:space="preserve">Экономическое обоснование разработки программного продукта представляет собой важнейший элемент дипломного проекта, позволяющий оценить целесообразность инвестиций в создание подсистемы хранения данных, поиска и медиафайлов мессенджера Aurora с точки зрения</w:t>
      </w:r>
      <w:r>
        <w:t xml:space="preserve"> финансовой эффективности. В настоящей главе последовательно рассматриваются характеристики продукта, расчёт капитальных и операционных затрат, прогноз выручки и ключевые показатели экономической эффективности.</w:t>
      </w:r>
      <w:r/>
    </w:p>
    <w:p w14:paraId="6D973CE7">
      <w:pPr>
        <w:pStyle w:val="947"/>
        <w:pBdr/>
        <w:spacing w:after="0" w:before="0"/>
        <w:ind w:right="0" w:firstLine="709" w:left="0"/>
        <w:rPr>
          <w:b/>
          <w:bCs/>
        </w:rPr>
      </w:pPr>
      <w:r/>
      <w:bookmarkStart w:id="526" w:name="_Toc26"/>
      <w:r>
        <w:rPr>
          <w:b/>
          <w:bCs/>
        </w:rPr>
        <w:t xml:space="preserve">3.1 Основные характеристики разрабатываемого программного продукта</w:t>
      </w:r>
      <w:r/>
      <w:bookmarkEnd w:id="526"/>
      <w:r/>
      <w:r>
        <w:rPr>
          <w:b/>
          <w:bCs/>
        </w:rPr>
      </w:r>
    </w:p>
    <w:p w14:paraId="0049F7FB">
      <w:pPr>
        <w:pBdr/>
        <w:spacing w:line="360" w:lineRule="auto"/>
        <w:ind w:right="0" w:firstLine="709" w:left="0"/>
        <w:rPr/>
      </w:pPr>
      <w:r>
        <w:t xml:space="preserve">В рамках дипломного проекта разрабатывается подсистема хранения данных, поиска и медиафайлов кроссплатформенного клиент-сервиса для обмена сообщениями Aurora, ориентированного на обеспечение безопасной, функциональной и удобной коммуникации пользователей с </w:t>
      </w:r>
      <w:r>
        <w:t xml:space="preserve">различных типов устройств. Проектируемый продукт обеспечивает функционирование на операционных системах iOS, Android, Windows, macOS и Linux с синхронизацией данных между всеми клиентскими приложениями.</w:t>
      </w:r>
      <w:r/>
      <w:r/>
      <w:r/>
      <w:r/>
    </w:p>
    <w:p w14:paraId="729EBC31">
      <w:pPr>
        <w:pBdr/>
        <w:spacing w:line="360" w:lineRule="auto"/>
        <w:ind w:right="0" w:firstLine="709" w:left="0"/>
        <w:rPr/>
      </w:pPr>
      <w:r>
        <w:t xml:space="preserve">Анализ современного состояния российского рынка мессенджеров выявил наличие неудовлетворённого рыночного спроса в сегменте «высокая приватность — высокая функциональность». Действующие игроки распределены следующим образом: WhatsApp и VK Мессенджер уступают</w:t>
      </w:r>
      <w:r>
        <w:t xml:space="preserve"> в вопросах конфиденциальности, Telegram вызывает вопросы у регуляторов, а Signal ограничен по функциональности. Таким образом, проблема, решаемая проектом, — отсутствие на российском рынке мессенджера, сочетающего защиту приватности, функциональность и соо</w:t>
      </w:r>
      <w:r>
        <w:t xml:space="preserve">тветствие требованиям законодательства РФ.</w:t>
      </w:r>
      <w:r/>
      <w:r/>
      <w:r/>
      <w:r/>
    </w:p>
    <w:p w14:paraId="58123E99">
      <w:pPr>
        <w:pBdr/>
        <w:spacing w:line="360" w:lineRule="auto"/>
        <w:ind w:right="0" w:firstLine="709" w:left="0"/>
        <w:rPr/>
      </w:pPr>
      <w:r>
        <w:t xml:space="preserve">Целью разработки является создание подсистемы хранения данных мессенджера, реализующей следующие функциональные возможности:</w:t>
      </w:r>
      <w:r/>
    </w:p>
    <w:p w14:paraId="2F37CA22">
      <w:pPr>
        <w:pBdr/>
        <w:spacing w:line="360" w:lineRule="auto"/>
        <w:ind w:right="0" w:firstLine="709" w:left="0"/>
        <w:rPr/>
      </w:pPr>
      <w:r/>
      <w:r/>
    </w:p>
    <w:p w14:paraId="222A5DAA">
      <w:pPr>
        <w:pStyle w:val="938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t xml:space="preserve">обмен текстовыми сообщениями в режиме реального времени через WebSocket;</w:t>
      </w:r>
      <w:r/>
      <w:r/>
      <w:r/>
    </w:p>
    <w:p w14:paraId="69272843">
      <w:pPr>
        <w:pStyle w:val="938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t xml:space="preserve">хранение истории переписки с поддержкой постраничной загрузки;</w:t>
      </w:r>
      <w:r/>
      <w:r/>
      <w:r/>
      <w:r/>
    </w:p>
    <w:p w14:paraId="2FE45B42">
      <w:pPr>
        <w:pStyle w:val="938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t xml:space="preserve">полнотекстовый поиск по сообщениям, пользователям и каналам;</w:t>
      </w:r>
      <w:r/>
      <w:r/>
      <w:r/>
      <w:r/>
    </w:p>
    <w:p w14:paraId="4B12095F">
      <w:pPr>
        <w:pStyle w:val="938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t xml:space="preserve">загрузка, хранение и передача медиафайлов через Cloudinary;</w:t>
      </w:r>
      <w:r/>
      <w:r/>
      <w:r/>
      <w:r/>
    </w:p>
    <w:p w14:paraId="21A01148">
      <w:pPr>
        <w:pStyle w:val="938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t xml:space="preserve">хранение данных на серверах на территории Российской Федерации в соответствии с требованиями Федерального закона № 152-ФЗ.</w:t>
      </w:r>
      <w:r/>
      <w:r/>
      <w:r/>
      <w:r/>
    </w:p>
    <w:p w14:paraId="644DDE23">
      <w:pPr>
        <w:pBdr/>
        <w:spacing w:line="360" w:lineRule="auto"/>
        <w:ind w:right="0" w:firstLine="709" w:left="0"/>
        <w:rPr/>
      </w:pPr>
      <w:r>
        <w:t xml:space="preserve">Целевая аудитория подразделяется на три сегмента. Первый сегмент — массовые пользователи в возрасте от 16 до 55 лет, для которых ключевыми факторами являются удобство и стабильность сервиса. Второй сегмент — корпоративные пользователи, предъявляющие повышен</w:t>
      </w:r>
      <w:r>
        <w:t xml:space="preserve">ные требования к защите переписки и соответствию регуляторным требованиям. Третий сегмент — пользователи, ценящие приватность, для которых критичны сквозное шифрование и отсутствие сбора метаданных.</w:t>
      </w:r>
      <w:r/>
      <w:r/>
      <w:r/>
      <w:r/>
    </w:p>
    <w:p w14:paraId="4283BA0E">
      <w:pPr>
        <w:pBdr/>
        <w:spacing w:line="360" w:lineRule="auto"/>
        <w:ind w:right="0" w:firstLine="709" w:left="0"/>
        <w:rPr/>
      </w:pPr>
      <w:r>
        <w:t xml:space="preserve">Планируемая модель монетизации включает freemium-доступ (базовый функционал бесплатно) и платные подписки на расширенные возможности: увеличенный облачный архив, эксклюзивные темы оформления и приоритетную техническую поддержку. Корпоративным клиентам предл</w:t>
      </w:r>
      <w:r>
        <w:t xml:space="preserve">агаются отдельные тарифные планы с выделенной инфраструктурой.</w:t>
      </w:r>
      <w:r/>
      <w:r/>
      <w:r/>
      <w:r/>
    </w:p>
    <w:p w14:paraId="63EE0049">
      <w:pPr>
        <w:pBdr/>
        <w:spacing w:line="360" w:lineRule="auto"/>
        <w:ind w:right="0" w:firstLine="709" w:left="0"/>
        <w:rPr/>
      </w:pPr>
      <w:r>
        <w:t xml:space="preserve">Объём хранения данных оценивается исходя из среднего числа сообщений на пользователя в день. По аналитическим данным, пользователь популярного мессенджера отправляет от 40 до 100 сообщений в сутки. При объёме текстового сообщения до 4 КБ годовой объём хране</w:t>
      </w:r>
      <w:r>
        <w:t xml:space="preserve">ния для 10 000 активных пользователей составит от 6 до 15 ГБ только текстовых данных, не считая медиафайлов.</w:t>
      </w:r>
      <w:r/>
    </w:p>
    <w:p w14:paraId="6E093010">
      <w:pPr>
        <w:pStyle w:val="947"/>
        <w:pBdr/>
        <w:spacing w:after="0" w:before="0"/>
        <w:ind w:right="0" w:firstLine="709" w:left="0"/>
        <w:rPr>
          <w:b/>
          <w:bCs/>
        </w:rPr>
      </w:pPr>
      <w:r/>
      <w:bookmarkStart w:id="527" w:name="_Toc27"/>
      <w:r>
        <w:rPr>
          <w:b/>
          <w:bCs/>
        </w:rPr>
        <w:t xml:space="preserve">3.2 Расчёт экономических показателей разработки программного продукта</w:t>
      </w:r>
      <w:r/>
      <w:bookmarkEnd w:id="527"/>
      <w:r/>
      <w:r>
        <w:rPr>
          <w:b/>
          <w:bCs/>
        </w:rPr>
      </w:r>
    </w:p>
    <w:p w14:paraId="0C921F97">
      <w:pPr>
        <w:pBdr/>
        <w:spacing w:line="360" w:lineRule="auto"/>
        <w:ind w:right="0" w:firstLine="709" w:left="0"/>
        <w:rPr/>
      </w:pPr>
      <w:r>
        <w:t xml:space="preserve">Оценка трудоёмкости реализации проекта производится для каждого этапа жизненного цикла разработки программного обеспечения с применением метода декомпозиции работ. Оценка производится в человеко-часах с учётом сложности реализации заявленного функционала и </w:t>
      </w:r>
      <w:r>
        <w:t xml:space="preserve">необходимости обеспечения кроссплатформенности решения. Результаты оценки трудозатрат и стоимости разработки представлены в таблице </w:t>
      </w:r>
      <w:r>
        <w:rPr>
          <w:lang w:val="ru-RU"/>
        </w:rPr>
        <w:t xml:space="preserve">7</w:t>
      </w:r>
      <w:r>
        <w:t xml:space="preserve">.</w:t>
      </w:r>
      <w:r/>
      <w:r/>
    </w:p>
    <w:p w14:paraId="19D1F214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7</w:t>
      </w:r>
      <w:r>
        <w:t xml:space="preserve"> — Оценка трудозатрат на разработку программного продукта</w:t>
      </w:r>
      <w:r/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2626"/>
        <w:gridCol w:w="1728"/>
        <w:gridCol w:w="1708"/>
        <w:gridCol w:w="1264"/>
        <w:gridCol w:w="1461"/>
      </w:tblGrid>
      <w:tr>
        <w:trPr>
          <w:trHeight w:val="549"/>
        </w:trPr>
        <w:tc>
          <w:tcPr>
            <w:tcBorders/>
            <w:tcW w:w="567" w:type="dxa"/>
          </w:tcPr>
          <w:p w14:paraId="1C4D74EE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№ п/п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26" w:type="dxa"/>
          </w:tcPr>
          <w:p w14:paraId="7FE9122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Этап разработки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28" w:type="dxa"/>
          </w:tcPr>
          <w:p w14:paraId="17AD99A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Ответственная роль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08" w:type="dxa"/>
          </w:tcPr>
          <w:p w14:paraId="2056972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Трудозатраты, час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64" w:type="dxa"/>
          </w:tcPr>
          <w:p w14:paraId="44608FA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Ставка, руб./час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61" w:type="dxa"/>
          </w:tcPr>
          <w:p w14:paraId="2830C18F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Стоимость, руб.</w:t>
            </w:r>
            <w:r>
              <w:rPr>
                <w:b w:val="0"/>
                <w:bCs w:val="0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51F2881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26" w:type="dxa"/>
          </w:tcPr>
          <w:p w14:paraId="24CA4E4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Анализ требований и проектирование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28" w:type="dxa"/>
          </w:tcPr>
          <w:p w14:paraId="6267F77A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Бизнес-аналитик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08" w:type="dxa"/>
          </w:tcPr>
          <w:p w14:paraId="080CD29E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80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64" w:type="dxa"/>
          </w:tcPr>
          <w:p w14:paraId="0E6C7D3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1 500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61" w:type="dxa"/>
          </w:tcPr>
          <w:p w14:paraId="56209710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120 000</w:t>
            </w:r>
            <w:r>
              <w:rPr>
                <w:b w:val="0"/>
                <w:bCs w:val="0"/>
              </w:rPr>
            </w:r>
          </w:p>
        </w:tc>
      </w:tr>
      <w:tr>
        <w:trPr>
          <w:trHeight w:val="824"/>
        </w:trPr>
        <w:tc>
          <w:tcPr>
            <w:tcBorders/>
            <w:tcW w:w="567" w:type="dxa"/>
          </w:tcPr>
          <w:p w14:paraId="11AD47A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26" w:type="dxa"/>
          </w:tcPr>
          <w:p w14:paraId="16B3BAD8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Дизайн пользовательского интерфейса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28" w:type="dxa"/>
          </w:tcPr>
          <w:p w14:paraId="5AB9A87A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UX/UI дизайнер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08" w:type="dxa"/>
          </w:tcPr>
          <w:p w14:paraId="1968066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100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64" w:type="dxa"/>
          </w:tcPr>
          <w:p w14:paraId="3048081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1 200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61" w:type="dxa"/>
          </w:tcPr>
          <w:p w14:paraId="225E68EE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120 000</w:t>
            </w:r>
            <w:r>
              <w:rPr>
                <w:b w:val="0"/>
                <w:bCs w:val="0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389F68E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26" w:type="dxa"/>
          </w:tcPr>
          <w:p w14:paraId="184106D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Программирование (серверная часть)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28" w:type="dxa"/>
          </w:tcPr>
          <w:p w14:paraId="58EABC7B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Backend-разработчик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08" w:type="dxa"/>
          </w:tcPr>
          <w:p w14:paraId="44D50A7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450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64" w:type="dxa"/>
          </w:tcPr>
          <w:p w14:paraId="727432F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2 000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61" w:type="dxa"/>
          </w:tcPr>
          <w:p w14:paraId="75A6ECA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900 000</w:t>
            </w:r>
            <w:r>
              <w:rPr>
                <w:b w:val="0"/>
                <w:bCs w:val="0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2D92E64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26" w:type="dxa"/>
          </w:tcPr>
          <w:p w14:paraId="352EA7C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Программирование (клиентская часть)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28" w:type="dxa"/>
          </w:tcPr>
          <w:p w14:paraId="59FD9EFF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Frontend-разработчик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08" w:type="dxa"/>
          </w:tcPr>
          <w:p w14:paraId="544A061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350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64" w:type="dxa"/>
          </w:tcPr>
          <w:p w14:paraId="5F017D8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1 700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61" w:type="dxa"/>
          </w:tcPr>
          <w:p w14:paraId="7C88823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595 000</w:t>
            </w:r>
            <w:r>
              <w:rPr>
                <w:b w:val="0"/>
                <w:bCs w:val="0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023A91B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26" w:type="dxa"/>
          </w:tcPr>
          <w:p w14:paraId="506A257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Тестирование и отладка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28" w:type="dxa"/>
          </w:tcPr>
          <w:p w14:paraId="784C71D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QA-инженер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08" w:type="dxa"/>
          </w:tcPr>
          <w:p w14:paraId="08EDED1E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200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64" w:type="dxa"/>
          </w:tcPr>
          <w:p w14:paraId="15C40F1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1 200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61" w:type="dxa"/>
          </w:tcPr>
          <w:p w14:paraId="29C53E5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240 000</w:t>
            </w:r>
            <w:r>
              <w:rPr>
                <w:b w:val="0"/>
                <w:bCs w:val="0"/>
              </w:rPr>
            </w:r>
          </w:p>
        </w:tc>
      </w:tr>
      <w:tr>
        <w:trPr>
          <w:trHeight w:val="320"/>
        </w:trPr>
        <w:tc>
          <w:tcPr>
            <w:tcBorders/>
            <w:tcW w:w="567" w:type="dxa"/>
          </w:tcPr>
          <w:p w14:paraId="70684B1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</w:p>
        </w:tc>
        <w:tc>
          <w:tcPr>
            <w:tcBorders/>
            <w:tcW w:w="2626" w:type="dxa"/>
          </w:tcPr>
          <w:p w14:paraId="566DE79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ИТОГО по ФОТ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728" w:type="dxa"/>
          </w:tcPr>
          <w:p w14:paraId="79E0E05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</w:p>
        </w:tc>
        <w:tc>
          <w:tcPr>
            <w:tcBorders/>
            <w:tcW w:w="1708" w:type="dxa"/>
          </w:tcPr>
          <w:p w14:paraId="5115E98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1 180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264" w:type="dxa"/>
          </w:tcPr>
          <w:p w14:paraId="2984BB6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—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61" w:type="dxa"/>
          </w:tcPr>
          <w:p w14:paraId="51C826F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1 975 000</w:t>
            </w:r>
            <w:r>
              <w:rPr>
                <w:b w:val="0"/>
                <w:bCs w:val="0"/>
              </w:rPr>
            </w:r>
          </w:p>
        </w:tc>
      </w:tr>
    </w:tbl>
    <w:p w14:paraId="797D4E4D">
      <w:pPr>
        <w:pBdr/>
        <w:spacing w:before="240" w:line="360" w:lineRule="auto"/>
        <w:ind w:right="0" w:firstLine="709" w:left="0"/>
        <w:rPr/>
      </w:pPr>
      <w:r>
        <w:t xml:space="preserve">Данные таблицы </w:t>
      </w:r>
      <w:r>
        <w:rPr>
          <w:lang w:val="ru-RU"/>
        </w:rPr>
        <w:t xml:space="preserve">7</w:t>
      </w:r>
      <w:r>
        <w:t xml:space="preserve"> демонстрируют, что наибольший объём трудозатрат приходится на этапы программирования серверной (450 чел.-ч) и клиентской (350 чел.-ч) частей приложения, что характерно для проектов по разработке программного обеспечения. Трудозатраты на а</w:t>
      </w:r>
      <w:r>
        <w:t xml:space="preserve">налитику и дизайн составляют около 15% от общего объёма, что соответствует стандартным соотношениям для IT-проектов. Суммарный фонд оплаты труда (ФОТ) составляет 1 975 000 рублей.</w:t>
      </w:r>
      <w:r/>
      <w:r/>
      <w:r/>
      <w:r/>
    </w:p>
    <w:p w14:paraId="7F919872">
      <w:pPr>
        <w:pBdr/>
        <w:spacing w:line="360" w:lineRule="auto"/>
        <w:ind w:right="0" w:firstLine="709" w:left="0"/>
        <w:rPr/>
      </w:pPr>
      <w:r>
        <w:t xml:space="preserve">Капитальные затраты (CAPEX) представляют собой совокупность единовременных инвестиций, необходимых для создания программного продукта. В состав CAPEX включаются фонд оплаты труда, затраты на лицензионное программное обеспечение, оборудование, накладные расх</w:t>
      </w:r>
      <w:r>
        <w:t xml:space="preserve">оды и резервный фонд. Расчёт капитальных затрат производится по формуле (1):</w:t>
      </w:r>
      <w:r/>
    </w:p>
    <w:p w14:paraId="2BD784D7">
      <w:pPr>
        <w:pBdr/>
        <w:spacing w:line="360" w:lineRule="auto"/>
        <w:ind w:right="0" w:firstLine="709" w:left="0"/>
        <w:rPr/>
      </w:pPr>
      <w:r/>
      <w:r/>
    </w:p>
    <w:p w14:paraId="363164C4">
      <w:pPr>
        <w:pBdr/>
        <w:spacing w:line="360" w:lineRule="auto"/>
        <w:ind w:right="0" w:firstLine="709" w:left="0"/>
        <w:rPr/>
      </w:pPr>
      <w:r>
        <w:rPr>
          <w:lang w:val="ru-RU"/>
        </w:rPr>
        <w:t xml:space="preserve">              </w:t>
      </w:r>
      <w:r>
        <w:t xml:space="preserve">CAPEX = C</w:t>
      </w:r>
      <w:r>
        <w:rPr>
          <w:vertAlign w:val="subscript"/>
        </w:rPr>
        <w:t xml:space="preserve">ФОТ</w:t>
      </w:r>
      <w:r>
        <w:t xml:space="preserve"> + C</w:t>
      </w:r>
      <w:r>
        <w:rPr>
          <w:vertAlign w:val="subscript"/>
        </w:rPr>
        <w:t xml:space="preserve">лиц</w:t>
      </w:r>
      <w:r>
        <w:t xml:space="preserve"> + C</w:t>
      </w:r>
      <w:r>
        <w:rPr>
          <w:vertAlign w:val="subscript"/>
        </w:rPr>
        <w:t xml:space="preserve">обор</w:t>
      </w:r>
      <w:r>
        <w:t xml:space="preserve"> + C</w:t>
      </w:r>
      <w:r>
        <w:rPr>
          <w:vertAlign w:val="subscript"/>
        </w:rPr>
        <w:t xml:space="preserve">накл</w:t>
      </w:r>
      <w:r>
        <w:t xml:space="preserve"> + C</w:t>
      </w:r>
      <w:r>
        <w:rPr>
          <w:vertAlign w:val="subscript"/>
        </w:rPr>
        <w:t xml:space="preserve">резерв</w:t>
      </w:r>
      <w:r>
        <w:rPr>
          <w:lang w:val="ru-RU"/>
        </w:rPr>
        <w:t xml:space="preserve">                             </w:t>
      </w:r>
      <w:r>
        <w:rPr>
          <w:lang w:val="ru-RU"/>
        </w:rPr>
        <w:t xml:space="preserve"> </w:t>
      </w:r>
      <w:r>
        <w:t xml:space="preserve">(1)</w:t>
      </w:r>
      <w:r/>
    </w:p>
    <w:p w14:paraId="4FC9A9CF">
      <w:pPr>
        <w:pBdr/>
        <w:spacing w:line="360" w:lineRule="auto"/>
        <w:ind w:right="0" w:firstLine="709" w:left="0"/>
        <w:rPr/>
      </w:pPr>
      <w:r/>
      <w:r/>
      <w:r/>
    </w:p>
    <w:p w14:paraId="0E023D27">
      <w:pPr>
        <w:pBdr/>
        <w:spacing w:line="360" w:lineRule="auto"/>
        <w:ind w:right="0" w:firstLine="0" w:left="0"/>
        <w:rPr/>
      </w:pPr>
      <w:r/>
      <w:r/>
    </w:p>
    <w:p w14:paraId="671CFDBE">
      <w:pPr>
        <w:pBdr/>
        <w:spacing w:line="360" w:lineRule="auto"/>
        <w:ind w:right="0" w:firstLine="709" w:left="0"/>
        <w:rPr/>
      </w:pPr>
      <w:r>
        <w:t xml:space="preserve">где </w:t>
      </w:r>
      <w:r>
        <w:t xml:space="preserve">C</w:t>
      </w:r>
      <w:r>
        <w:rPr>
          <w:vertAlign w:val="subscript"/>
        </w:rPr>
        <w:t xml:space="preserve">ФОТ</w:t>
      </w:r>
      <w:r/>
      <w:r>
        <w:t xml:space="preserve"> — фонд оплаты труда; </w:t>
      </w:r>
      <w:r/>
    </w:p>
    <w:p w14:paraId="5ADE500E">
      <w:pPr>
        <w:pBdr/>
        <w:spacing w:line="360" w:lineRule="auto"/>
        <w:ind w:right="0" w:firstLine="709" w:left="0"/>
        <w:rPr/>
      </w:pPr>
      <w:r/>
      <w:r>
        <w:t xml:space="preserve">C</w:t>
      </w:r>
      <w:r>
        <w:rPr>
          <w:vertAlign w:val="subscript"/>
        </w:rPr>
        <w:t xml:space="preserve">лиц</w:t>
      </w:r>
      <w:r/>
      <w:r>
        <w:t xml:space="preserve"> — стоимость лицензионного ПО; </w:t>
      </w:r>
      <w:r/>
    </w:p>
    <w:p w14:paraId="3BDDFFD0">
      <w:pPr>
        <w:pBdr/>
        <w:spacing w:line="360" w:lineRule="auto"/>
        <w:ind w:right="0" w:firstLine="709" w:left="0"/>
        <w:rPr/>
      </w:pPr>
      <w:r/>
      <w:r>
        <w:t xml:space="preserve">C</w:t>
      </w:r>
      <w:r>
        <w:rPr>
          <w:vertAlign w:val="subscript"/>
        </w:rPr>
        <w:t xml:space="preserve">обор</w:t>
      </w:r>
      <w:r/>
      <w:r>
        <w:t xml:space="preserve"> — амортизация оборудования; </w:t>
      </w:r>
      <w:r/>
    </w:p>
    <w:p w14:paraId="4F70B75C">
      <w:pPr>
        <w:pBdr/>
        <w:spacing w:line="360" w:lineRule="auto"/>
        <w:ind w:right="0" w:firstLine="709" w:left="0"/>
        <w:rPr/>
      </w:pPr>
      <w:r/>
      <w:r>
        <w:t xml:space="preserve">C</w:t>
      </w:r>
      <w:r>
        <w:rPr>
          <w:vertAlign w:val="subscript"/>
        </w:rPr>
        <w:t xml:space="preserve">накл</w:t>
      </w:r>
      <w:r/>
      <w:r>
        <w:t xml:space="preserve"> — накладные расходы (15% от ФОТ);</w:t>
      </w:r>
      <w:r/>
    </w:p>
    <w:p w14:paraId="52C8E74C">
      <w:pPr>
        <w:pBdr/>
        <w:spacing w:line="360" w:lineRule="auto"/>
        <w:ind w:right="0" w:firstLine="709" w:left="0"/>
        <w:rPr/>
      </w:pPr>
      <w:r>
        <w:t xml:space="preserve">C</w:t>
      </w:r>
      <w:r>
        <w:rPr>
          <w:vertAlign w:val="subscript"/>
        </w:rPr>
        <w:t xml:space="preserve">резерв</w:t>
      </w:r>
      <w:r/>
      <w:r>
        <w:t xml:space="preserve"> — резервный фонд (10% от прямых затрат). </w:t>
      </w:r>
      <w:r/>
    </w:p>
    <w:p w14:paraId="433FC1BD">
      <w:pPr>
        <w:pBdr/>
        <w:spacing w:line="360" w:lineRule="auto"/>
        <w:ind w:right="0" w:firstLine="709" w:left="0"/>
        <w:rPr>
          <w:highlight w:val="none"/>
        </w:rPr>
      </w:pPr>
      <w:r>
        <w:t xml:space="preserve">Структура капитальных затрат представлена в таблице </w:t>
      </w:r>
      <w:r>
        <w:rPr>
          <w:lang w:val="ru-RU"/>
        </w:rPr>
        <w:t xml:space="preserve">8</w:t>
      </w:r>
      <w:r>
        <w:t xml:space="preserve">.</w:t>
      </w:r>
      <w:r/>
      <w:r/>
    </w:p>
    <w:p w14:paraId="136D8FD2">
      <w:pPr>
        <w:pBdr/>
        <w:spacing w:line="360" w:lineRule="auto"/>
        <w:ind w:right="0" w:firstLine="0" w:left="0"/>
        <w:rPr/>
      </w:pPr>
      <w:r>
        <w:rPr>
          <w:highlight w:val="none"/>
        </w:rPr>
      </w:r>
      <w:r>
        <w:t xml:space="preserve">Таблица </w:t>
      </w:r>
      <w:r>
        <w:rPr>
          <w:lang w:val="ru-RU"/>
        </w:rPr>
        <w:t xml:space="preserve">8</w:t>
      </w:r>
      <w:r>
        <w:t xml:space="preserve"> — Структура капитальных затрат (CAPEX)</w:t>
      </w:r>
      <w:r>
        <w:rPr>
          <w:highlight w:val="none"/>
        </w:rPr>
      </w:r>
      <w:r>
        <w:rPr>
          <w:highlight w:val="none"/>
        </w:rPr>
      </w:r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06"/>
        <w:gridCol w:w="2345"/>
        <w:gridCol w:w="2336"/>
      </w:tblGrid>
      <w:tr>
        <w:trPr/>
        <w:tc>
          <w:tcPr>
            <w:tcBorders/>
            <w:tcW w:w="567" w:type="dxa"/>
          </w:tcPr>
          <w:p w14:paraId="20C397F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№ п/п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06" w:type="dxa"/>
          </w:tcPr>
          <w:p w14:paraId="611FBBB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Статья расходов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45" w:type="dxa"/>
          </w:tcPr>
          <w:p w14:paraId="0679A51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Основание для расчёта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6" w:type="dxa"/>
          </w:tcPr>
          <w:p w14:paraId="78D0D19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Сумма, руб.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1442FF8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06" w:type="dxa"/>
          </w:tcPr>
          <w:p w14:paraId="174B117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Фонд оплаты труда (ФОТ)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45" w:type="dxa"/>
          </w:tcPr>
          <w:p w14:paraId="28A49F87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Данные таблицы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7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6" w:type="dxa"/>
          </w:tcPr>
          <w:p w14:paraId="0ABE504F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1 975 000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48F11CC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06" w:type="dxa"/>
          </w:tcPr>
          <w:p w14:paraId="1245FD0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Лицензионное ПО и инструменты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45" w:type="dxa"/>
          </w:tcPr>
          <w:p w14:paraId="42EB653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Стоимость IDE, библиотек, дизайн-систем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6" w:type="dxa"/>
          </w:tcPr>
          <w:p w14:paraId="030C804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85 000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3EF7C7A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06" w:type="dxa"/>
          </w:tcPr>
          <w:p w14:paraId="6D097654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Оборудование (амортизация)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45" w:type="dxa"/>
          </w:tcPr>
          <w:p w14:paraId="1CCC02AF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Ноутбуки и серверы для тестирования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6" w:type="dxa"/>
          </w:tcPr>
          <w:p w14:paraId="7F37DBC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150 000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2332A00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06" w:type="dxa"/>
          </w:tcPr>
          <w:p w14:paraId="3FC1319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Накладные расходы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45" w:type="dxa"/>
          </w:tcPr>
          <w:p w14:paraId="322CBE4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15% от ФОТ (аренда, администрирование)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6" w:type="dxa"/>
          </w:tcPr>
          <w:p w14:paraId="695CD14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296 250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6F225CD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06" w:type="dxa"/>
          </w:tcPr>
          <w:p w14:paraId="208256D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Резервный фонд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45" w:type="dxa"/>
          </w:tcPr>
          <w:p w14:paraId="1ED843A1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10% от прямых затрат на разработку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6" w:type="dxa"/>
          </w:tcPr>
          <w:p w14:paraId="0E9768B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221 000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4F0AD8B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</w:p>
        </w:tc>
        <w:tc>
          <w:tcPr>
            <w:tcBorders/>
            <w:tcW w:w="4106" w:type="dxa"/>
          </w:tcPr>
          <w:p w14:paraId="786EE737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ИТОГО CAPEX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45" w:type="dxa"/>
          </w:tcPr>
          <w:p w14:paraId="3754180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</w:p>
        </w:tc>
        <w:tc>
          <w:tcPr>
            <w:tcBorders/>
            <w:tcW w:w="2336" w:type="dxa"/>
          </w:tcPr>
          <w:p w14:paraId="60D3049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2 727 250</w:t>
            </w:r>
            <w:r>
              <w:rPr>
                <w:b w:val="0"/>
                <w:bCs w:val="0"/>
              </w:rPr>
            </w:r>
          </w:p>
        </w:tc>
      </w:tr>
    </w:tbl>
    <w:p w14:paraId="68DF4471">
      <w:pPr>
        <w:pBdr/>
        <w:spacing w:before="240" w:line="360" w:lineRule="auto"/>
        <w:ind w:right="0" w:firstLine="709" w:left="0"/>
        <w:rPr/>
      </w:pPr>
      <w:r>
        <w:t xml:space="preserve">Анализ структуры CAPEX свидетельствует о том, что фонд оплаты труда составляет более 72% от общего объёма капитальных вложений, что обусловлено высокой долей интеллектуального труда в структуре себестоимости программного продукта. Затраты на лицензионное ПО</w:t>
      </w:r>
      <w:r>
        <w:t xml:space="preserve"> и оборудование составляют около 9% и являются необходимым условием обеспечения эффективной работы команды разработки. Общий объём первоначальных инвестиций составляет 2 727 250 рублей.</w:t>
      </w:r>
      <w:r/>
      <w:r/>
      <w:r/>
      <w:r/>
    </w:p>
    <w:p w14:paraId="5AD45FA1">
      <w:pPr>
        <w:pBdr/>
        <w:spacing w:line="360" w:lineRule="auto"/>
        <w:ind w:right="0" w:firstLine="709" w:left="0"/>
        <w:rPr/>
      </w:pPr>
      <w:r>
        <w:t xml:space="preserve">Операционные затраты (OPEX) представляют собой ежегодные расходы на поддержку и эксплуатацию мессенджера после его запуска. В состав операционных расходов входят затраты на хостинг и облачную инфраструктуру, техническую поддержку пользователей, маркетинг и </w:t>
      </w:r>
      <w:r>
        <w:t xml:space="preserve">продвижение, обновление лицензий и администрирование серверов. Структура годовых операционных затрат представлена в таблице </w:t>
      </w:r>
      <w:r>
        <w:rPr>
          <w:lang w:val="ru-RU"/>
        </w:rPr>
        <w:t xml:space="preserve">9</w:t>
      </w:r>
      <w:r>
        <w:t xml:space="preserve">.</w:t>
      </w:r>
      <w:r/>
    </w:p>
    <w:p w14:paraId="71572B92">
      <w:pPr>
        <w:pBdr/>
        <w:spacing w:line="360" w:lineRule="auto"/>
        <w:ind w:right="0" w:firstLine="0" w:left="0"/>
        <w:rPr/>
      </w:pPr>
      <w:r/>
      <w:r/>
    </w:p>
    <w:p w14:paraId="5F12C9E9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9</w:t>
      </w:r>
      <w:r>
        <w:t xml:space="preserve"> — Структура годовых операционных затрат (OPEX)</w:t>
      </w:r>
      <w:r/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8"/>
        <w:gridCol w:w="2338"/>
      </w:tblGrid>
      <w:tr>
        <w:trPr/>
        <w:tc>
          <w:tcPr>
            <w:tcBorders/>
            <w:tcW w:w="567" w:type="dxa"/>
          </w:tcPr>
          <w:p w14:paraId="0653E06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№ п/п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48B5B3C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Статья расходов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1FBBA3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Метод расчёта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49CBB5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Сумма, руб./год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41706430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26DCD37F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Хостинг и облачная инфраструктура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6F72A8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Стоимость облачного сервера (PaaS)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1DFD33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420 000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23B56B9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26B41F4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Техническая поддержка пользователей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0C488DEB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0,5 ставки инженера поддержки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0A4052F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180 000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64B4F4B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32EA1A97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Маркетинг и продвижение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6C11024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Контекстная реклама, SMM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044771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540 000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120840F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7C11EC09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Обновление лицензий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B22056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Годовые подписки на ПО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59E12B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85 000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12C850C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4056644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Администрирование серверов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54B323F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0,3 ставки системного администратора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677CC4A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144 000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22B17E5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3225A31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ИТОГО OPEX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68737637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4D7126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1 369 000</w:t>
            </w:r>
            <w:r>
              <w:rPr>
                <w:b w:val="0"/>
                <w:bCs w:val="0"/>
              </w:rPr>
            </w:r>
          </w:p>
        </w:tc>
      </w:tr>
    </w:tbl>
    <w:p w14:paraId="2312D07F">
      <w:pPr>
        <w:pBdr/>
        <w:spacing w:before="240" w:line="360" w:lineRule="auto"/>
        <w:ind w:right="0" w:firstLine="709" w:left="0"/>
        <w:rPr/>
      </w:pPr>
      <w:r>
        <w:t xml:space="preserve">Анализ структуры OPEX показывает, что наибольшую долю ежегодных расходов составляет маркетинг и продвижение — 39% от общего объёма операционных затрат. Это объясняется необходимостью активного привлечения пользователей на высококонкурентном рынке мессенджер</w:t>
      </w:r>
      <w:r>
        <w:t xml:space="preserve">ов. Затраты на хостинг составляют 31% и включают аренду серверных мощностей и обеспечение доставки мультимедийного контента. Совокупный объём годовых операционных затрат составляет 1 369 000 рублей.</w:t>
      </w:r>
      <w:r/>
    </w:p>
    <w:p w14:paraId="25665D73">
      <w:pPr>
        <w:pStyle w:val="947"/>
        <w:pBdr/>
        <w:spacing w:after="0" w:before="0"/>
        <w:ind w:right="0" w:firstLine="709" w:left="0"/>
        <w:rPr>
          <w:b/>
          <w:bCs/>
        </w:rPr>
      </w:pPr>
      <w:r/>
      <w:bookmarkStart w:id="528" w:name="_Toc28"/>
      <w:r>
        <w:rPr>
          <w:b/>
          <w:bCs/>
        </w:rPr>
        <w:t xml:space="preserve">3.3 Анализ эффективности внедрения программного продукта</w:t>
      </w:r>
      <w:r>
        <w:rPr>
          <w:b/>
          <w:bCs/>
        </w:rPr>
      </w:r>
      <w:bookmarkEnd w:id="528"/>
      <w:r/>
      <w:r>
        <w:rPr>
          <w:b/>
          <w:bCs/>
        </w:rPr>
      </w:r>
    </w:p>
    <w:p w14:paraId="1EF4579D">
      <w:pPr>
        <w:pBdr/>
        <w:spacing w:line="360" w:lineRule="auto"/>
        <w:ind w:right="0" w:firstLine="709" w:left="0"/>
        <w:rPr/>
      </w:pPr>
      <w:r>
        <w:t xml:space="preserve">Прогнозирование годовой выручки от внедрения программного продукта производится на основе комбинированной модели монетизации: freemium-доступ (базовый функционал предоставляется бесплатно), платные подписки на премиум-функции и корпоративные тарифы для бизн</w:t>
      </w:r>
      <w:r>
        <w:t xml:space="preserve">ес-сегмента. Расчёт годовой выручки осуществляется по формуле (2):</w:t>
      </w:r>
      <w:r/>
    </w:p>
    <w:p w14:paraId="4DE35A4C">
      <w:pPr>
        <w:pBdr/>
        <w:spacing w:line="360" w:lineRule="auto"/>
        <w:ind w:right="0" w:firstLine="709" w:left="0"/>
        <w:rPr/>
      </w:pPr>
      <w:r/>
      <w:r/>
    </w:p>
    <w:p w14:paraId="1D53CF9C">
      <w:pPr>
        <w:pBdr/>
        <w:spacing w:line="360" w:lineRule="auto"/>
        <w:ind w:right="0" w:firstLine="709" w:left="0"/>
        <w:rPr>
          <w:highlight w:val="none"/>
        </w:rPr>
      </w:pPr>
      <w:r>
        <w:rPr>
          <w:lang w:val="ru-RU"/>
        </w:rPr>
        <w:t xml:space="preserve">                                </w:t>
      </w:r>
      <w:r>
        <w:t xml:space="preserve">V</w:t>
      </w:r>
      <w:r>
        <w:rPr>
          <w:vertAlign w:val="subscript"/>
        </w:rPr>
        <w:t xml:space="preserve">год</w:t>
      </w:r>
      <w:r>
        <w:t xml:space="preserve"> = U</w:t>
      </w:r>
      <w:r>
        <w:rPr>
          <w:vertAlign w:val="subscript"/>
        </w:rPr>
        <w:t xml:space="preserve">акт</w:t>
      </w:r>
      <w:r>
        <w:t xml:space="preserve"> × Q × P</w:t>
      </w:r>
      <w:r>
        <w:rPr>
          <w:vertAlign w:val="subscript"/>
        </w:rPr>
        <w:t xml:space="preserve">avg </w:t>
      </w:r>
      <w:r>
        <w:t xml:space="preserve">× 12, </w:t>
      </w:r>
      <w:r>
        <w:rPr>
          <w:lang w:val="ru-RU"/>
        </w:rPr>
        <w:t xml:space="preserve">                            </w:t>
      </w:r>
      <w:r>
        <w:rPr>
          <w:lang w:val="ru-RU"/>
        </w:rPr>
        <w:t xml:space="preserve">              </w:t>
      </w:r>
      <w:r>
        <w:t xml:space="preserve">(2)</w:t>
      </w:r>
      <w:r/>
    </w:p>
    <w:p w14:paraId="57AB32FD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23D381">
      <w:pPr>
        <w:pBdr/>
        <w:spacing w:line="360" w:lineRule="auto"/>
        <w:ind w:right="0" w:firstLine="709" w:left="0"/>
        <w:rPr>
          <w:highlight w:val="none"/>
        </w:rPr>
      </w:pPr>
      <w:r>
        <w:t xml:space="preserve">где </w:t>
      </w:r>
      <w:r>
        <w:t xml:space="preserve">V</w:t>
      </w:r>
      <w:r>
        <w:rPr>
          <w:vertAlign w:val="subscript"/>
        </w:rPr>
        <w:t xml:space="preserve">год</w:t>
      </w:r>
      <w:r/>
      <w:r>
        <w:t xml:space="preserve"> — прогнозируемая годовая выручка (руб.); </w:t>
      </w:r>
      <w:r/>
    </w:p>
    <w:p w14:paraId="52A549FE">
      <w:pPr>
        <w:pBdr/>
        <w:spacing w:line="360" w:lineRule="auto"/>
        <w:ind w:right="0" w:firstLine="709" w:left="0"/>
        <w:rPr/>
      </w:pPr>
      <w:r/>
      <w:r>
        <w:t xml:space="preserve">U</w:t>
      </w:r>
      <w:r>
        <w:rPr>
          <w:vertAlign w:val="subscript"/>
        </w:rPr>
        <w:t xml:space="preserve">акт</w:t>
      </w:r>
      <w:r/>
      <w:r>
        <w:t xml:space="preserve"> — прогнозируемое число активных пользователей в месяц (чел.); </w:t>
      </w:r>
      <w:r/>
    </w:p>
    <w:p w14:paraId="1612A140">
      <w:pPr>
        <w:pBdr/>
        <w:spacing w:line="360" w:lineRule="auto"/>
        <w:ind w:right="0" w:firstLine="709" w:left="0"/>
        <w:rPr/>
      </w:pPr>
      <w:r>
        <w:t xml:space="preserve">Q — доля платящих пользователей; </w:t>
      </w:r>
      <w:r/>
      <w:r/>
    </w:p>
    <w:p w14:paraId="5A2C2B72">
      <w:pPr>
        <w:pBdr/>
        <w:spacing w:line="360" w:lineRule="auto"/>
        <w:ind w:right="0" w:firstLine="709" w:left="0"/>
        <w:rPr/>
      </w:pPr>
      <w:r/>
      <w:r>
        <w:t xml:space="preserve">P</w:t>
      </w:r>
      <w:r>
        <w:rPr>
          <w:vertAlign w:val="subscript"/>
        </w:rPr>
        <w:t xml:space="preserve">avg</w:t>
      </w:r>
      <w:r/>
      <w:r>
        <w:t xml:space="preserve"> — средний чек (руб.). </w:t>
      </w:r>
      <w:r/>
    </w:p>
    <w:p w14:paraId="55DA41BA">
      <w:pPr>
        <w:pBdr/>
        <w:spacing w:line="360" w:lineRule="auto"/>
        <w:ind w:right="0" w:firstLine="709" w:left="0"/>
        <w:rPr/>
      </w:pPr>
      <w:r>
        <w:t xml:space="preserve">Исходные данные для расчёта приведены в таблице </w:t>
      </w:r>
      <w:r>
        <w:rPr>
          <w:lang w:val="ru-RU"/>
        </w:rPr>
        <w:t xml:space="preserve">10</w:t>
      </w:r>
      <w:r>
        <w:t xml:space="preserve">.</w:t>
      </w:r>
      <w:r/>
      <w:r/>
    </w:p>
    <w:p w14:paraId="295148A2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10</w:t>
      </w:r>
      <w:r>
        <w:t xml:space="preserve"> — Исходные данные для прогнозирования годовой выручки</w:t>
      </w:r>
      <w:r/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8"/>
        <w:gridCol w:w="2338"/>
      </w:tblGrid>
      <w:tr>
        <w:trPr/>
        <w:tc>
          <w:tcPr>
            <w:tcBorders/>
            <w:tcW w:w="567" w:type="dxa"/>
          </w:tcPr>
          <w:p w14:paraId="67D751B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№ п/п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64FE6F5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Параметр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69677A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Обозначение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3DF359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Значение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3C0B803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48C37CA4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Общий размер целевой аудитории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42B20FB7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total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E84C5A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2 000 000 чел.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1B1DB1A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0467688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Конверсия в установку приложения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70197A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install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DBE532F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5%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4C23217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0B51FE4C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Конверсия в активного пользователя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D84BEC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active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67E504D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40%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263D6FA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158566B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Среднее число транзакций в месяц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0E81E39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Q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6A17788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5%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11EF53B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44898621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Средний чек (цена транзакции)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61586F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avg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E23096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250 руб.</w:t>
            </w:r>
            <w:r>
              <w:rPr>
                <w:b w:val="0"/>
                <w:bCs w:val="0"/>
              </w:rPr>
            </w:r>
          </w:p>
        </w:tc>
      </w:tr>
    </w:tbl>
    <w:p w14:paraId="571BA0E2">
      <w:pPr>
        <w:pBdr/>
        <w:spacing w:before="240" w:line="360" w:lineRule="auto"/>
        <w:ind w:right="0" w:firstLine="709" w:left="0"/>
        <w:rPr/>
      </w:pPr>
      <w:r>
        <w:t xml:space="preserve">На основании данных таблицы </w:t>
      </w:r>
      <w:r>
        <w:rPr>
          <w:lang w:val="ru-RU"/>
        </w:rPr>
        <w:t xml:space="preserve">6</w:t>
      </w:r>
      <w:r>
        <w:t xml:space="preserve"> произведён расчёт прогнозных доходов. Результаты расчёта годовой выручки представлены в таблице </w:t>
      </w:r>
      <w:r>
        <w:rPr>
          <w:lang w:val="ru-RU"/>
        </w:rPr>
        <w:t xml:space="preserve">11</w:t>
      </w:r>
      <w:r>
        <w:t xml:space="preserve">.</w:t>
      </w:r>
      <w:r/>
      <w:r/>
      <w:r/>
    </w:p>
    <w:p w14:paraId="2E8EF2AC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11 </w:t>
      </w:r>
      <w:r>
        <w:t xml:space="preserve">— Расчёт прогнозной годовой выручки</w:t>
      </w:r>
      <w:r/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8"/>
        <w:gridCol w:w="2338"/>
      </w:tblGrid>
      <w:tr>
        <w:trPr/>
        <w:tc>
          <w:tcPr>
            <w:tcBorders/>
            <w:tcW w:w="567" w:type="dxa"/>
          </w:tcPr>
          <w:p w14:paraId="777AA33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№ п/п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76D1B33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Показатель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4C583E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Формула расчёта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2023740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Значение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78166A6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2C55497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Активные пользователи в месяц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0A3950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U = N × 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instal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× 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active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513364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73 000 чел.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4ECE521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0DF330AC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Месячная выручка (freemium)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2139541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мес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= U × Q × 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avg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411309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292 000 руб.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7E6B163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29FA585C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Годовая выручка от подписок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F3FBA2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730 000 × 12 месяцев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224921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8 760 000 руб.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77ADA81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38DD9369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Корпоративная выручка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6F83D24C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8 клиентов × 45 000 руб./мес × 12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D38C72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360 000 руб.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5AF7945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0C5CC1C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ИТОГО годовая выручка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69F5E2D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8 760 000 + 360 000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3718ABE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9 120 000 руб.</w:t>
            </w:r>
            <w:r>
              <w:rPr>
                <w:b w:val="0"/>
                <w:bCs w:val="0"/>
              </w:rPr>
            </w:r>
          </w:p>
        </w:tc>
      </w:tr>
    </w:tbl>
    <w:p w14:paraId="3997ED1A">
      <w:pPr>
        <w:pBdr/>
        <w:spacing w:before="240" w:line="360" w:lineRule="auto"/>
        <w:ind w:right="0" w:firstLine="709" w:left="0"/>
        <w:rPr/>
      </w:pPr>
      <w:r>
        <w:t xml:space="preserve">Суммарная прогнозная годовая выручка составляет 9 120 000 рублей. Основным источником дохода являются подписки на Premium-функции (8 760 000 руб./год), что соответствует freemium-модели монетизации, характерной для успешных мессенджеров. Корпоративный сегме</w:t>
      </w:r>
      <w:r>
        <w:t xml:space="preserve">нт формирует 360 000 руб./год и является перспективным направлением роста выручки.</w:t>
      </w:r>
      <w:r/>
      <w:r/>
      <w:r/>
      <w:r/>
    </w:p>
    <w:p w14:paraId="64B664D1">
      <w:pPr>
        <w:pBdr/>
        <w:spacing w:line="360" w:lineRule="auto"/>
        <w:ind w:right="0" w:firstLine="709" w:left="0"/>
        <w:rPr/>
      </w:pPr>
      <w:r>
        <w:t xml:space="preserve">Расчёт чистой прибыли производится с учётом переменных расходов (комиссии платёжных систем — 5% от выручки), операционных расходов (OPEX) и налога на прибыль (25%). Результаты расчёта представлены в таблице </w:t>
      </w:r>
      <w:r>
        <w:rPr>
          <w:lang w:val="ru-RU"/>
        </w:rPr>
        <w:t xml:space="preserve">12</w:t>
      </w:r>
      <w:r>
        <w:t xml:space="preserve">.</w:t>
      </w:r>
      <w:r/>
      <w:r/>
      <w:r/>
    </w:p>
    <w:p w14:paraId="7CA80857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12</w:t>
      </w:r>
      <w:r>
        <w:t xml:space="preserve"> — Расчёт чистой прибыли</w:t>
      </w:r>
      <w:r/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8"/>
        <w:gridCol w:w="2338"/>
      </w:tblGrid>
      <w:tr>
        <w:trPr/>
        <w:tc>
          <w:tcPr>
            <w:tcBorders/>
            <w:tcW w:w="567" w:type="dxa"/>
          </w:tcPr>
          <w:p w14:paraId="2828A85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№ п/п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0C19D9F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Показатель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152AEF0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Формула расчёта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670AA5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Значение, руб.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763E9BC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5EEAEE64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Выручка (Revenue)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C7906B1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год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(из таблицы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70C121F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9 120 000</w:t>
            </w:r>
            <w:r>
              <w:rPr>
                <w:b w:val="0"/>
                <w:bCs w:val="0"/>
              </w:rPr>
            </w:r>
          </w:p>
        </w:tc>
      </w:tr>
    </w:tbl>
    <w:p w14:paraId="18786760"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Продолжение</w:t>
      </w:r>
      <w:r>
        <w:rPr>
          <w:lang w:val="ru-RU"/>
        </w:rPr>
        <w:t xml:space="preserve"> таблицы 12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8"/>
        <w:gridCol w:w="2338"/>
      </w:tblGrid>
      <w:tr>
        <w:trPr>
          <w:trHeight w:val="528"/>
        </w:trPr>
        <w:tc>
          <w:tcPr>
            <w:tcBorders/>
            <w:tcW w:w="567" w:type="dxa"/>
            <w:vMerge w:val="restart"/>
          </w:tcPr>
          <w:p w14:paraId="73D197F0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</w:r>
          </w:p>
        </w:tc>
        <w:tc>
          <w:tcPr>
            <w:tcBorders/>
            <w:tcW w:w="4110" w:type="dxa"/>
            <w:vMerge w:val="restart"/>
          </w:tcPr>
          <w:p w14:paraId="133CAD85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</w:r>
          </w:p>
        </w:tc>
        <w:tc>
          <w:tcPr>
            <w:tcBorders/>
            <w:tcW w:w="2338" w:type="dxa"/>
            <w:vMerge w:val="restart"/>
          </w:tcPr>
          <w:p w14:paraId="0FA501DE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Формула расчёта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</w:r>
          </w:p>
        </w:tc>
        <w:tc>
          <w:tcPr>
            <w:tcBorders/>
            <w:tcW w:w="2338" w:type="dxa"/>
            <w:vMerge w:val="restart"/>
          </w:tcPr>
          <w:p w14:paraId="69D62EEA"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Значение, руб.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</w:r>
          </w:p>
        </w:tc>
      </w:tr>
      <w:tr>
        <w:trPr>
          <w:trHeight w:val="528"/>
        </w:trPr>
        <w:tc>
          <w:tcPr>
            <w:tcBorders/>
            <w:tcW w:w="567" w:type="dxa"/>
          </w:tcPr>
          <w:p w14:paraId="3BFE1BB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2FA36269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Переменные расходы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E713BD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var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= 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год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× 5% (комиссии)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F1E863F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456 000</w:t>
            </w:r>
            <w:r>
              <w:rPr>
                <w:b w:val="0"/>
                <w:bCs w:val="0"/>
              </w:rPr>
            </w:r>
          </w:p>
        </w:tc>
      </w:tr>
    </w:tbl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8"/>
        <w:gridCol w:w="2338"/>
      </w:tblGrid>
      <w:tr>
        <w:trPr>
          <w:trHeight w:val="245"/>
        </w:trPr>
        <w:tc>
          <w:tcPr>
            <w:tcBorders/>
            <w:tcW w:w="567" w:type="dxa"/>
          </w:tcPr>
          <w:p w14:paraId="652A630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58C1E32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Валовая прибыль (Gross Profit)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01270DF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GP = 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год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− 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var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3FCE527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8 664 000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069D1B6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7B3B6DE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Операционные расходы (OPEX)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FDC9D5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opex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(из таблицы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02B082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1 369 000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33E9056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43C2EA1B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Прибыль до налогообложения (EBIT)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79EEFF4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EBIT = GP − 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opex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DAAD20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7 295 000</w:t>
            </w:r>
            <w:r>
              <w:rPr>
                <w:b w:val="0"/>
                <w:bCs w:val="0"/>
              </w:rPr>
            </w:r>
          </w:p>
        </w:tc>
      </w:tr>
      <w:tr>
        <w:trPr>
          <w:trHeight w:val="0"/>
        </w:trPr>
        <w:tc>
          <w:tcPr>
            <w:tcBorders/>
            <w:tcW w:w="567" w:type="dxa"/>
          </w:tcPr>
          <w:p w14:paraId="3DE71F4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6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50CA4C67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Налог на прибыль (25%)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6F12FA0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Tax = EBIT × 0,25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00EE129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1 823 750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2BEBB9E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7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7F25F24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Чистая прибыль (Net Profit)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86BEC48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NP = EBIT − Tax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31A8E1A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5 471 250</w:t>
            </w:r>
            <w:r>
              <w:rPr>
                <w:b w:val="0"/>
                <w:bCs w:val="0"/>
              </w:rPr>
            </w:r>
          </w:p>
        </w:tc>
      </w:tr>
    </w:tbl>
    <w:p w14:paraId="0577EF55">
      <w:pPr>
        <w:pBdr/>
        <w:spacing w:before="240" w:line="360" w:lineRule="auto"/>
        <w:ind w:right="0" w:firstLine="709" w:left="0"/>
        <w:rPr/>
      </w:pPr>
      <w:r>
        <w:t xml:space="preserve">Чистая прибыль после налогообложения составляет 5 471 250 рублей в год. Высокая рентабельность операционной деятельности обусловлена преимущественно цифровой моделью распределения продукта, при которой предельные затраты на обслуживание каждого дополнительн</w:t>
      </w:r>
      <w:r>
        <w:t xml:space="preserve">ого пользователя стремятся к нулю.</w:t>
      </w:r>
      <w:r/>
      <w:r/>
      <w:r/>
      <w:r/>
    </w:p>
    <w:p w14:paraId="67C6E941">
      <w:pPr>
        <w:pBdr/>
        <w:spacing w:line="360" w:lineRule="auto"/>
        <w:ind w:right="0" w:firstLine="709" w:left="0"/>
        <w:rPr/>
      </w:pPr>
      <w:r>
        <w:t xml:space="preserve">Расчёт точки безубыточности позволяет определить минимальный объём транзакций, при котором выручка покрывает все постоянные затраты. Расчёт производится по формуле (3):</w:t>
      </w:r>
      <w:r/>
    </w:p>
    <w:p w14:paraId="6BEA469C">
      <w:pPr>
        <w:pBdr/>
        <w:spacing w:line="360" w:lineRule="auto"/>
        <w:ind w:right="0" w:firstLine="709" w:left="0"/>
        <w:rPr/>
      </w:pPr>
      <w:r/>
      <w:r/>
    </w:p>
    <w:p w14:paraId="7799C5F7">
      <w:pPr>
        <w:pBdr/>
        <w:spacing w:line="360" w:lineRule="auto"/>
        <w:ind w:right="0" w:firstLine="709" w:left="0"/>
        <w:rPr/>
      </w:pPr>
      <w:r>
        <w:rPr>
          <w:lang w:val="ru-RU"/>
        </w:rPr>
        <w:t xml:space="preserve">            </w:t>
      </w:r>
      <w:r>
        <w:rPr>
          <w:lang w:val="ru-RU"/>
        </w:rPr>
        <w:t xml:space="preserve">                 </w:t>
      </w:r>
      <w:r>
        <w:t xml:space="preserve">V</w:t>
      </w:r>
      <w:r>
        <w:rPr>
          <w:vertAlign w:val="subscript"/>
        </w:rPr>
        <w:t xml:space="preserve">ТБУ</w:t>
      </w:r>
      <w:r>
        <w:t xml:space="preserve"> = C</w:t>
      </w:r>
      <w:r>
        <w:rPr>
          <w:vertAlign w:val="subscript"/>
        </w:rPr>
        <w:t xml:space="preserve">пост</w:t>
      </w:r>
      <w:r>
        <w:t xml:space="preserve"> / ((P</w:t>
      </w:r>
      <w:r>
        <w:rPr>
          <w:vertAlign w:val="subscript"/>
        </w:rPr>
        <w:t xml:space="preserve">ед</w:t>
      </w:r>
      <w:r>
        <w:t xml:space="preserve"> − C</w:t>
      </w:r>
      <w:r>
        <w:rPr>
          <w:vertAlign w:val="subscript"/>
        </w:rPr>
        <w:t xml:space="preserve">пер.ед</w:t>
      </w:r>
      <w:r>
        <w:t xml:space="preserve">) / P</w:t>
      </w:r>
      <w:r>
        <w:rPr>
          <w:vertAlign w:val="subscript"/>
        </w:rPr>
        <w:t xml:space="preserve">ед</w:t>
      </w:r>
      <w:r>
        <w:t xml:space="preserve">), </w:t>
      </w:r>
      <w:r>
        <w:rPr>
          <w:lang w:val="ru-RU"/>
        </w:rPr>
        <w:t xml:space="preserve">                                 </w:t>
      </w:r>
      <w:r>
        <w:t xml:space="preserve">(3)</w:t>
      </w:r>
      <w:r/>
    </w:p>
    <w:p w14:paraId="40B9D7B9">
      <w:pPr>
        <w:pBdr/>
        <w:spacing w:line="360" w:lineRule="auto"/>
        <w:ind w:right="0" w:firstLine="709" w:left="0"/>
        <w:rPr/>
      </w:pPr>
      <w:r/>
      <w:r/>
    </w:p>
    <w:p w14:paraId="0963767C">
      <w:pPr>
        <w:pBdr/>
        <w:spacing w:line="360" w:lineRule="auto"/>
        <w:ind w:right="0" w:firstLine="709" w:left="0"/>
        <w:rPr/>
      </w:pPr>
      <w:r>
        <w:t xml:space="preserve">где V</w:t>
      </w:r>
      <w:r>
        <w:t xml:space="preserve">V</w:t>
      </w:r>
      <w:r>
        <w:rPr>
          <w:vertAlign w:val="subscript"/>
        </w:rPr>
        <w:t xml:space="preserve">ТБУ</w:t>
      </w:r>
      <w:r/>
      <w:r>
        <w:t xml:space="preserve"> — точка безубыточности;</w:t>
      </w:r>
      <w:r/>
    </w:p>
    <w:p w14:paraId="7902519E">
      <w:pPr>
        <w:pBdr/>
        <w:spacing w:line="360" w:lineRule="auto"/>
        <w:ind w:right="0" w:firstLine="709" w:left="0"/>
        <w:rPr/>
      </w:pPr>
      <w:r>
        <w:t xml:space="preserve">C</w:t>
      </w:r>
      <w:r>
        <w:rPr>
          <w:vertAlign w:val="subscript"/>
        </w:rPr>
        <w:t xml:space="preserve">пост</w:t>
      </w:r>
      <w:r>
        <w:t xml:space="preserve"> </w:t>
      </w:r>
      <w:r/>
      <w:r>
        <w:t xml:space="preserve"> — постоянные затраты (OPEX); </w:t>
      </w:r>
      <w:r/>
    </w:p>
    <w:p w14:paraId="75E20916">
      <w:pPr>
        <w:pBdr/>
        <w:spacing w:line="360" w:lineRule="auto"/>
        <w:ind w:right="0" w:firstLine="709" w:left="0"/>
        <w:rPr/>
      </w:pPr>
      <w:r/>
      <w:r>
        <w:t xml:space="preserve">P</w:t>
      </w:r>
      <w:r>
        <w:rPr>
          <w:vertAlign w:val="subscript"/>
        </w:rPr>
        <w:t xml:space="preserve">ед</w:t>
      </w:r>
      <w:r/>
      <w:r>
        <w:t xml:space="preserve"> — цена за единицу (средний чек); </w:t>
      </w:r>
      <w:r/>
    </w:p>
    <w:p w14:paraId="392AEA6B">
      <w:pPr>
        <w:pBdr/>
        <w:spacing w:line="360" w:lineRule="auto"/>
        <w:ind w:right="0" w:firstLine="709" w:left="0"/>
        <w:rPr/>
      </w:pPr>
      <w:r/>
      <w:r>
        <w:t xml:space="preserve">C</w:t>
      </w:r>
      <w:r>
        <w:rPr>
          <w:vertAlign w:val="subscript"/>
        </w:rPr>
        <w:t xml:space="preserve">пер.ед</w:t>
      </w:r>
      <w:r/>
      <w:r>
        <w:t xml:space="preserve"> — переменные затраты на единицу.</w:t>
      </w:r>
      <w:r/>
    </w:p>
    <w:p w14:paraId="0D518E83">
      <w:pPr>
        <w:pBdr/>
        <w:spacing w:line="360" w:lineRule="auto"/>
        <w:ind w:right="0" w:firstLine="709" w:left="0"/>
        <w:rPr/>
      </w:pPr>
      <w:r>
        <w:t xml:space="preserve">Результаты расчёта приведены в таблице </w:t>
      </w:r>
      <w:r>
        <w:rPr>
          <w:lang w:val="ru-RU"/>
        </w:rPr>
        <w:t xml:space="preserve">13</w:t>
      </w:r>
      <w:r>
        <w:t xml:space="preserve">.</w:t>
      </w:r>
      <w:r/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5E222F1E">
      <w:pPr>
        <w:pBdr/>
        <w:spacing w:line="360" w:lineRule="auto"/>
        <w:ind w:right="0" w:firstLine="709" w:left="0"/>
        <w:rPr>
          <w:highlight w:val="none"/>
        </w:rPr>
      </w:pPr>
      <w:r>
        <w:t xml:space="preserve">Таблица </w:t>
      </w:r>
      <w:r>
        <w:rPr>
          <w:lang w:val="ru-RU"/>
        </w:rPr>
        <w:t xml:space="preserve">13</w:t>
      </w:r>
      <w:r>
        <w:t xml:space="preserve"> — Расчёт точки безубыточности</w:t>
      </w:r>
      <w:r/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8"/>
        <w:gridCol w:w="2338"/>
      </w:tblGrid>
      <w:tr>
        <w:trPr/>
        <w:tc>
          <w:tcPr>
            <w:tcBorders/>
            <w:tcW w:w="567" w:type="dxa"/>
          </w:tcPr>
          <w:p w14:paraId="07EFFBF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№ п/п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0E23829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Параметр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30B360F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Обозначение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F2BE03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Значение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28D6B48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4A50D49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Постоянные затраты (OPEX)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423FEC1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пост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1D2F148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1 369 000 руб.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6A33C85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719304C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Цена за единицу (средний чек)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2285034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ед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3D95A04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200 руб.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2A5A2B4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1A97652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Переменные затраты на единицу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200748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пер.ед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2A33C75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12,5 руб. (5% от чека)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4ADAA08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36F3F307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Точка безубыточности (шт.)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412562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ТБУ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= 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пост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/ (P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ед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− 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пер.ед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40ECA2D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7 276 транзакций/мес.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14204CE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4110" w:type="dxa"/>
          </w:tcPr>
          <w:p w14:paraId="521E558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Точка безубыточности (руб.)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7E1182C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ТБУ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× 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ед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338" w:type="dxa"/>
          </w:tcPr>
          <w:p w14:paraId="5286A7F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1 455 200 руб./год</w:t>
            </w:r>
            <w:r>
              <w:rPr>
                <w:b w:val="0"/>
                <w:bCs w:val="0"/>
              </w:rPr>
            </w:r>
          </w:p>
        </w:tc>
      </w:tr>
    </w:tbl>
    <w:p w14:paraId="77A7F08E">
      <w:pPr>
        <w:pBdr/>
        <w:spacing w:before="240" w:line="360" w:lineRule="auto"/>
        <w:ind w:right="0" w:firstLine="709" w:left="0"/>
        <w:rPr/>
      </w:pPr>
      <w:r>
        <w:t xml:space="preserve">Точка безубыточности составляет 7 276 транзакций в месяц (1 455 200 руб./год), что при общем числе активных пользователей 73 000 человек и среднем уровне конверсии в платящих 5% достигается при незначительной доле вовлечённой аудитории.</w:t>
      </w:r>
      <w:r/>
      <w:r/>
      <w:r/>
      <w:r/>
    </w:p>
    <w:p w14:paraId="51E5EB4D">
      <w:pPr>
        <w:pBdr/>
        <w:spacing w:line="360" w:lineRule="auto"/>
        <w:ind w:right="0" w:firstLine="709" w:left="0"/>
        <w:rPr/>
      </w:pPr>
      <w:r>
        <w:t xml:space="preserve">Расчёт срока окупаемости инвестиций и рентабельности производится на основе данных о чистой прибыли и капитальных затратах. Расчётные данные представлены в таблице </w:t>
      </w:r>
      <w:r>
        <w:rPr>
          <w:lang w:val="ru-RU"/>
        </w:rPr>
        <w:t xml:space="preserve">14</w:t>
      </w:r>
      <w:r>
        <w:t xml:space="preserve">.</w:t>
      </w:r>
      <w:r/>
      <w:r/>
    </w:p>
    <w:p w14:paraId="540275F2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14 </w:t>
      </w:r>
      <w:r>
        <w:t xml:space="preserve">— Расчёт срока окупаемости и рентабельности инвестиций</w:t>
      </w:r>
      <w:r/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3175"/>
        <w:gridCol w:w="1871"/>
        <w:gridCol w:w="1871"/>
        <w:gridCol w:w="1871"/>
      </w:tblGrid>
      <w:tr>
        <w:trPr/>
        <w:tc>
          <w:tcPr>
            <w:tcBorders/>
            <w:tcW w:w="567" w:type="dxa"/>
          </w:tcPr>
          <w:p w14:paraId="1E11BEA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№ п/п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3175" w:type="dxa"/>
          </w:tcPr>
          <w:p w14:paraId="001D136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Параметр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2F23919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Обозначение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27D593BE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Значение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296C955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Источник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2549D8F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3175" w:type="dxa"/>
          </w:tcPr>
          <w:p w14:paraId="6D74DFEF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Капитальные затраты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2916F10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CAPEX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380E66F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2 727 250 руб.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2C2B8EB9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Таблица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8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53CA0E3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3175" w:type="dxa"/>
          </w:tcPr>
          <w:p w14:paraId="33518904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Чистая прибыль в год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744DA7AA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чист.год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0C2D036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5 471 250 руб.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01FE2A9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Таблица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12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54AAAA3F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3175" w:type="dxa"/>
          </w:tcPr>
          <w:p w14:paraId="554B9697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Срок окупаемости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5815967E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PP = CAPEX / 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чист.год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6C84AC7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≈ 0,5 года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7C0396F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Расчёт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567" w:type="dxa"/>
          </w:tcPr>
          <w:p w14:paraId="568062F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3175" w:type="dxa"/>
          </w:tcPr>
          <w:p w14:paraId="2C74E40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ROI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7E8533EF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(P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чист.год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/ CAPEX) × 100%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6D14C31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200%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871" w:type="dxa"/>
          </w:tcPr>
          <w:p w14:paraId="6A021221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Расчёт</w:t>
            </w:r>
            <w:r>
              <w:rPr>
                <w:b w:val="0"/>
                <w:bCs w:val="0"/>
              </w:rPr>
            </w:r>
          </w:p>
        </w:tc>
      </w:tr>
    </w:tbl>
    <w:p w14:paraId="10A6ADAA">
      <w:pPr>
        <w:pBdr/>
        <w:spacing w:before="240" w:line="360" w:lineRule="auto"/>
        <w:ind w:right="0" w:firstLine="709" w:left="0"/>
        <w:rPr/>
      </w:pPr>
      <w:r>
        <w:t xml:space="preserve">Срок окупаемости составляет приблизительно 0,5 года, что характеризует проект как высокоприбыльный с точки зрения скорости возврата первоначальных инвестиций. Рентабельность инвестиций (ROI) составляет 200%, что свидетельствует о высокой эк</w:t>
      </w:r>
      <w:r>
        <w:t xml:space="preserve">ономической эффективности разработки. Сводные показатели экономической эффективности проекта представлены в таблице </w:t>
      </w:r>
      <w:r>
        <w:rPr>
          <w:lang w:val="ru-RU"/>
        </w:rPr>
        <w:t xml:space="preserve">15</w:t>
      </w:r>
      <w:r>
        <w:t xml:space="preserve">.</w:t>
      </w:r>
      <w:r/>
      <w:r/>
    </w:p>
    <w:p w14:paraId="0EFE2E30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15</w:t>
      </w:r>
      <w:r>
        <w:t xml:space="preserve"> — Сводные экономические показатели разработки программного продукта</w:t>
      </w:r>
      <w:r/>
      <w:r/>
      <w:r/>
      <w:r/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38"/>
        <w:gridCol w:w="2197"/>
        <w:gridCol w:w="2126"/>
        <w:gridCol w:w="2693"/>
      </w:tblGrid>
      <w:tr>
        <w:trPr/>
        <w:tc>
          <w:tcPr>
            <w:tcBorders/>
            <w:tcW w:w="2338" w:type="dxa"/>
          </w:tcPr>
          <w:p w14:paraId="72B350F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Показатель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97" w:type="dxa"/>
          </w:tcPr>
          <w:p w14:paraId="1C8508A0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Формула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26" w:type="dxa"/>
          </w:tcPr>
          <w:p w14:paraId="1562029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Значение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93" w:type="dxa"/>
          </w:tcPr>
          <w:p w14:paraId="10D2BA0F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Интерпретация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338" w:type="dxa"/>
          </w:tcPr>
          <w:p w14:paraId="7A957C9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Капитальные затраты (CAPEX)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97" w:type="dxa"/>
          </w:tcPr>
          <w:p w14:paraId="2D6B56F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ФОТ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+ 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проч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26" w:type="dxa"/>
          </w:tcPr>
          <w:p w14:paraId="39865E6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2 727 250 руб.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93" w:type="dxa"/>
          </w:tcPr>
          <w:p w14:paraId="412B058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Объём первоначальных инвестиций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338" w:type="dxa"/>
          </w:tcPr>
          <w:p w14:paraId="0E33EBA4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Годовая выручка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97" w:type="dxa"/>
          </w:tcPr>
          <w:p w14:paraId="2839290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год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= U × Q × P × 12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26" w:type="dxa"/>
          </w:tcPr>
          <w:p w14:paraId="7E252B5E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9 120 000 руб.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93" w:type="dxa"/>
          </w:tcPr>
          <w:p w14:paraId="33CA91D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Прогнозный доход от эксплуатации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338" w:type="dxa"/>
          </w:tcPr>
          <w:p w14:paraId="13EA4A6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Чистая прибыль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97" w:type="dxa"/>
          </w:tcPr>
          <w:p w14:paraId="5BE3EA38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NP = GP − OPEX − Tax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26" w:type="dxa"/>
          </w:tcPr>
          <w:p w14:paraId="59903CF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5 471 250 руб.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93" w:type="dxa"/>
          </w:tcPr>
          <w:p w14:paraId="6F571CF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Финансовый результат после налогов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338" w:type="dxa"/>
          </w:tcPr>
          <w:p w14:paraId="4E75541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Рентабельность инвестиций (ROI)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97" w:type="dxa"/>
          </w:tcPr>
          <w:p w14:paraId="1107E6E6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(NP / CAPEX) × 100%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26" w:type="dxa"/>
          </w:tcPr>
          <w:p w14:paraId="24B98B9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200%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93" w:type="dxa"/>
          </w:tcPr>
          <w:p w14:paraId="6186BFC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Проект экономически эффективен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338" w:type="dxa"/>
          </w:tcPr>
          <w:p w14:paraId="2A764BA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Срок окупаемости (PP)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97" w:type="dxa"/>
          </w:tcPr>
          <w:p w14:paraId="01DD9244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CAPEX / NP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26" w:type="dxa"/>
          </w:tcPr>
          <w:p w14:paraId="744A989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≈ 0,5 года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93" w:type="dxa"/>
          </w:tcPr>
          <w:p w14:paraId="7A3B3390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Менее 1,5 лет — высокая привлекательность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2338" w:type="dxa"/>
          </w:tcPr>
          <w:p w14:paraId="0F34DDDD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Точка безубыточности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97" w:type="dxa"/>
          </w:tcPr>
          <w:p w14:paraId="7A29B3B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пост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/ (P − 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vertAlign w:val="subscript"/>
              </w:rPr>
              <w:t xml:space="preserve">пер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) × P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126" w:type="dxa"/>
          </w:tcPr>
          <w:p w14:paraId="2A85AEC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1 455 200 руб./год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693" w:type="dxa"/>
          </w:tcPr>
          <w:p w14:paraId="760A6B05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Достигается при 7 276 транзакциях/мес.</w:t>
            </w:r>
            <w:r>
              <w:rPr>
                <w:b w:val="0"/>
                <w:bCs w:val="0"/>
              </w:rPr>
            </w:r>
          </w:p>
        </w:tc>
      </w:tr>
    </w:tbl>
    <w:p w14:paraId="4E7D1B04">
      <w:pPr>
        <w:pBdr/>
        <w:spacing w:before="240" w:line="360" w:lineRule="auto"/>
        <w:ind w:right="0" w:firstLine="709" w:left="0"/>
        <w:rPr/>
      </w:pPr>
      <w:r>
        <w:t xml:space="preserve">П</w:t>
      </w:r>
      <w:r>
        <w:t xml:space="preserve">олученные расчётные значения следует рассматривать как прогнозные, поскольку они основаны на аналитических данных и усреднённых отраслевых показателях. Фактические результаты могут отличаться в зависимости от скорости набора пользовательской базы и эффекти</w:t>
      </w:r>
      <w:r>
        <w:t xml:space="preserve">вности маркетинговых мероприятий.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0A8A4F58">
      <w:pPr>
        <w:pBdr/>
        <w:spacing w:line="360" w:lineRule="auto"/>
        <w:ind w:right="0" w:firstLine="709" w:left="0"/>
        <w:rPr>
          <w:highlight w:val="none"/>
        </w:rPr>
      </w:pPr>
      <w:r>
        <w:t xml:space="preserve">Даже при пессимистичном сценарии — вдвое меньшем числе активных пользователей — срок окупаемости не превысит двух лет, а рентабельность инвестиций останется положительной. Это свидетельствует о достаточном запасе финансовой прочности проекта.</w:t>
      </w:r>
      <w:r/>
      <w:r/>
      <w:r/>
      <w:r/>
    </w:p>
    <w:p>
      <w:pPr>
        <w:pBdr/>
        <w:spacing w:line="360" w:lineRule="auto"/>
        <w:ind w:right="0" w:firstLine="709" w:left="0"/>
        <w:rPr/>
      </w:pPr>
      <w:r>
        <w:t xml:space="preserve">Срок окупаемости около 0,5 года является исключительно высоким показателем для IT-проектов: отраслевой медианный срок окупаемости для стартапов в сфере мобильных приложений составляет 2–3 года. Столь короткий срок обусловлен относительно невысокими капиталь</w:t>
      </w:r>
      <w:r>
        <w:t xml:space="preserve">ными затратами и значительным потенциальным объёмом выручки.</w:t>
      </w:r>
      <w:r/>
      <w:r>
        <w:br w:type="page" w:clear="all"/>
      </w:r>
      <w:r/>
    </w:p>
    <w:p>
      <w:pPr>
        <w:pStyle w:val="946"/>
        <w:pBdr/>
        <w:spacing w:after="0" w:before="0" w:line="360" w:lineRule="auto"/>
        <w:ind w:firstLine="0"/>
        <w:jc w:val="center"/>
        <w:rPr/>
      </w:pPr>
      <w:r/>
      <w:bookmarkStart w:id="529" w:name="_Toc29"/>
      <w:r/>
      <w:r/>
      <w:bookmarkStart w:id="500" w:name="bm_zakl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ЗАКЛЮЧЕНИЕ</w:t>
      </w:r>
      <w:bookmarkEnd w:id="500"/>
      <w:r/>
      <w:bookmarkEnd w:id="529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дипломного проекта была разработана подсистема хранения данных, поиска и медиафайлов кроссплатформенного мессенджера Aurora, что полностью соответствует заявленной цели работы.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перв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ой главе проведён анализ предметной области: рассмотрено понятие мессенджера и классификация существующих решений, изучено нормативно-правовое регулирование разработки программных продуктов в Российской Федерации, выполнен сравнительный анализ систем хране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ния данных и поиска в ведущих мессенджерах — Telegram, Signal, WhatsApp и VK Мессенджер. Анализ показал, что большинство существующих решений реализуют закрытые централизованные архитектуры, что обусловливает актуальность разработки собственной подсистемы.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 второй главе выполнена комплексная работа по проектированию и программной реализации подсистемы. Разработана диаграмма прецедентов, определяющая трёх акторов (Гость, Пользователь, Администратор) и более пя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тнадцати функциональных сценариев взаимодействия. На основании сравнительного анализа обоснован выбор технологического стека: Python 3.11 + FastAPI + aiomysql + MySQL 8 в Docker + Cloudinary для серверной части и React 18 с TypeScript для клиентской части.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Спроектирована нормализованная до третьей нормальной формы логическая модель данных, включающая двенадцать сущностей. Разработана физическая схема базы данных с составными индексами и внеш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ними ключами с поддержкой каскадного удаления. Реализованы следующие программные модули: пул соединений DatabasePool (5–20 соединений); модуль хранения сообщений с постраничной выборкой (LIMIT) и мягким удалением; WebSocket-менеджер для доставки событий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реальном времени; модуль полнотекстового поиска через LIKE с фильтрацией по правам доступа; подсистема загрузки и хранения медиафайлов с интеграцией Cloudinary. Функциональное тестирование по семи сценариям подтвердило корректность реализации всех модулей.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третьей главе проведено технико-экономическое обоснование разработки. Совокупный объём капитальных затрат (CAPEX) составил 2 727 250 рублей. Прогнозируемая годовая выручка при комбинированной модели монетизации — 9 120 000 рублей. Чистая прибыль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осле налогообложения составляет 5 471 250 рублей в год. Рентабельность инвестиций (ROI) — 200%, срок окупаемости — около 0,5 года. Полученные показатели свидетельствуют о высокой инвестиционной привлекательности и экономической целесообразности разработки.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аналитической части проведён обзор рынка мессенджеров, изучено нормати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вно-правовое регулирование в Российской Федерации и выполнен сравнительный анализ архитектур хранения данных в Telegram, Signal и WhatsApp. Анализ позволил сформулировать требования к разрабатываемой подсистеме и обосновать принятые проектные решения. [13]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Практическая часть включает проектирование диаграммы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рецедентов, логической и физической моделей базы данных, а также архитектуры подсистемы из четырёх уровней. Реализованы семь программных модулей: пул соединений, хранение сообщений, WebSocket-менеджер, поиск, медиафайлы, аутентификация и тестирование. [12]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Перспективами развития подс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истемы являются: переход с LIKE-поиска на FULLTEXT-индексы MySQL для повышения производительности при росте объёма данных; реализация сквозного шифрования сообщений; добавление горизонтального масштабирования базы данных через репликацию master-slave. [43]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поставленные задачи дипломного проекта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ыполнены в полном объёме. Разработанная подсистема хранения данных, поиска и медиафайлов обеспечивает надёжное хранение истории переписки, эффективный поиск по содержимому и корректную работу с медиафайлами в составе кроссплатформенного мессенджера Aurora.</w:t>
      </w:r>
      <w:r/>
    </w:p>
    <w:p w14:paraId="27CD6ED9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tabs>
          <w:tab w:val="right" w:leader="dot" w:pos="9208"/>
        </w:tabs>
        <w:spacing w:before="0" w:line="360" w:lineRule="auto"/>
        <w:ind w:left="0"/>
        <w:jc w:val="center"/>
        <w:rPr>
          <w:highlight w:val="none"/>
        </w:rPr>
      </w:pPr>
      <w:r/>
      <w:hyperlink w:tooltip="#bm_bib" w:anchor="bm_bib" w:history="1">
        <w:r>
          <w:rPr>
            <w:rFonts w:ascii="Times New Roman" w:hAnsi="Times New Roman" w:eastAsia="Times New Roman" w:cs="Times New Roman"/>
            <w:b/>
            <w:sz w:val="28"/>
            <w:szCs w:val="28"/>
          </w:rPr>
          <w:t xml:space="preserve">СПИСОК ИСПОЛЬЗОВАННЫХ ИСТОЧНИКОВ</w:t>
        </w:r>
      </w:hyperlink>
      <w:r>
        <w:rPr>
          <w:highlight w:val="none"/>
        </w:rPr>
      </w:r>
      <w:r>
        <w:rPr>
          <w:highlight w:val="none"/>
        </w:rPr>
      </w:r>
    </w:p>
    <w:p w14:paraId="655A7EF0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ГОСТы, стандарты, федеральные законы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Российская Федерация. Законы. Об информации, информационных технологиях и о защите информации: Федеральный закон от 27.07.2006 № 149-ФЗ (ред. от 12.12.2023) // СПС «КонсультантПлюс». — 2024.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Российская Федерация. Законы. О персональных данных: Федеральный закон от 27.07.2006 № 152-ФЗ (ред. от 06.02.2023) // СПС «КонсультантПлюс». — 2024.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— Москва: Стандартинформ, 2012. — 104 с.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Р 34.10-2012. Информационная технология. Криптографическая защита информации. Процессы формирования и проверки электронной цифровой подписи. — Москва: Стандартинформ, 2013.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19.404-79. Единая система программной документации. Пояснительная записка. Требования к содержанию и оформлению. — Москва: Стандартинформ, 2010.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ISO/IEC 25010:2011. Systems and software engineering — Systems and software Quality Requirements and Evaluation (SQuaRE) — System and software quality models. — ISO, 2011. — 34 p.</w:t>
      </w:r>
      <w:r/>
    </w:p>
    <w:p w14:paraId="41ADF4C8">
      <w:pPr>
        <w:pStyle w:val="949"/>
        <w:pBdr/>
        <w:shd w:val="clear" w:color="auto" w:fill="auto"/>
        <w:tabs>
          <w:tab w:val="left" w:leader="none" w:pos="1416"/>
        </w:tabs>
        <w:spacing/>
        <w:ind w:firstLine="0" w:left="709"/>
        <w:jc w:val="center"/>
        <w:rPr/>
      </w:pPr>
      <w:r>
        <w:t xml:space="preserve">Учебник, учебное пособие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OMG Unified Modeling Language (UML) Specification, Version 2.5.1. — Object Management Group, 2017. — URL: https://www.omg.org/spec/UML/2.5.1/ (дата обращения: 15.03.2026).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Кириллов, В. В. Введение в реляционные базы данных / В. В. Кириллов, Г. Ю. Громов. — Санкт-Петербург: БХВ-Петербург, 2012. — 464 с.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Лутц, М. Изучаем Python / М. Лутц; пер. с англ. А. Киселёва. — 5-е изд. — Москва: О'Рейли, 2020. — 1280 с.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Мартин, Р. Чистая архитектура. Искусство разработки программного обеспечения / Р. Мартин; пер. с англ. — Санкт-Петербург: Питер, 2018. — 352 с.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Ньюмен, С. Создание микросервисов / С. Ньюмен; пер. с англ. П. Миронова. — 2-е изд. — Санкт-Петербург: Питер, 2021. — 624 с.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Прохоренок, Н. А. Python 3 и PyQt 6. Разработка приложений / Н. А. Прохоренок, В. А. Дронов. — Санкт-Петербург: БХВ-Петербург, 2022. — 896 с.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Романовский, М. В. Защита информации в телекоммуникационных системах: учебное пособие / М. В. Романовский. — Москва: Академия, 2018. — 336 с.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Форсье, Дж. Веб-разработка с применением Django и React / Дж. Форсье, П. Биссекс, У. Чун; пер. с англ. — Москва: ДМК Пресс, 2020. — 464 с.</w:t>
      </w:r>
      <w:r/>
    </w:p>
    <w:p w14:paraId="42C69741"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Иностранная литература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Beazley, D. Python Cookbook: Recipes for Mastering Python 3 / D. Beazley, B. K. Jones. — 3rd ed. — Sebastopol: O'Reilly Media, 2013. — 706 p.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Codd, E. F. A Relational Model of Data for Large Shared Data Banks / E. F. Codd. — Communications of the ACM. — 1970. — Vol. 13, № 6. — P. 377–387.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Elmasri, R. Fundamentals of Database Systems / R. Elmasri, S. Navathe. — 7th ed. — Hoboken: Pearson, 2016. — 1272 p.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Fette, I. The WebSocket Protocol: RFC 6455 / I. Fette, A. Melnikov. — IETF, 2011. — URL: https://datatracker.ietf.org/doc/html/rfc6455 (дата обращения: 12.03.2026).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Fielding, R. Architectural Styles and the Design of Network-based Software Architectures: doctoral dissertation / R. Fielding. — University of California, Irvine, 2000. — 162 p.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Gamma, E. Design Patterns: Elements of Reusable Object-Oriented Software / E. Gamma, R. Helm, R. Johnson, J. Vlissides. — Reading: Addison-Wesley, 1994. — 395 p.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Grigorik, I. High Performance Browser Networking / I. Grigorik. — Sebastopol: O'Reilly Media, 2022. — 408 p.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Kleppmann, M. Designing Data-Intensive Applications / M. Kleppmann. — Sebastopol: O'Reilly Media, 2017. — 590 p.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Percival, H. Architecture Patterns with Python / H. Percival, B. Gregory. — Sebastopol: O'Reilly Media, 2020. — 280 p.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Ramakrishnan, R. Database Management Systems / R. Ramakrishnan, J. Gehrke. — 3rd ed. — New York: McGraw-Hill, 2003. — 1065 p.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Tanenbaum, A. S. Computer Networks / A. S. Tanenbaum, D. J. Wetherall. — 5th ed. — Upper Saddle River: Prentice Hall, 2011. — 960 p.</w:t>
      </w:r>
      <w:r/>
    </w:p>
    <w:p w14:paraId="091FA55B">
      <w:pPr>
        <w:pStyle w:val="949"/>
        <w:pBdr/>
        <w:shd w:val="clear" w:color="auto" w:fill="auto"/>
        <w:tabs>
          <w:tab w:val="left" w:leader="none" w:pos="1420"/>
        </w:tabs>
        <w:spacing/>
        <w:ind w:right="0" w:firstLine="0" w:left="0"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Интернет-ресурсы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aiomysql Documentation. — 2024. — URL: https://aiomysql.readthedocs.io/ (дата обращения: 12.03.2026).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bcrypt: Modern password hashing library. — 2024. — URL: https://pypi.org/project/bcrypt/ (дата обращения: 15.03.2026).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Cloudinary Documentation. — Cloudinary Ltd., 2024. — URL: https://cloudinary.com/documentation (дата обращения: 10.03.2026).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Docker Documentation: официальная документация. — Docker Inc., 2024. — URL: https://docs.docker.com/ (дата обращения: 14.03.2026).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FastAPI — современный веб-фреймворк для создания API с Python: документация. — 2024. — URL: https://fastapi.tiangolo.com/ (дата обращения: 11.03.2026).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FastAPI Documentation. Advanced User Guide. — 2024. — URL: https://fastapi.tiangolo.com/advanced/ (дата обращения: 11.03.2026).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Microsoft Azure Architecture Center. N-tier architecture style. — Microsoft, 2024. — URL: https://learn.microsoft.com/en-us/azure/architecture/guide/architecture-styles/n-tier (дата обращения: 14.03.2026).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Мессенджеры в России: итоги 2024 года. — Brand Analytics, 2024. — URL: https://br-analytics.ru/blog/messengery-v-rossii/ (дата обращения: 22.03.2026).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MySQL 8.0 Reference Manual. — Oracle Corporation, 2024. — URL: https://dev.mysql.com/doc/refman/8.0/en/ (дата обращения: 10.03.2026).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PostgreSQL Documentation 16. The PostgreSQL Global Development Group. — 2024. — URL: https://www.postgresql.org/docs/16/ (дата обращения: 15.03.2026).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Pydantic Documentation. — 2024. — URL: https://docs.pydantic.dev/ (дата обращения: 10.03.2026).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PyJWT: Python library for JSON Web Tokens. — 2024. — URL: https://pyjwt.readthedocs.io/ (дата обращения: 15.03.2026).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Python asyncio — Asynchronous I/O: официальная документация. — Python Software Foundation, 2024. — URL: https://docs.python.org/3/library/asyncio.html (дата обращения: 18.03.2026).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Python Software Foundation: официальный сайт. — 2024. — URL: https://www.python.org (дата обращения: 20.03.2026).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React Documentation. — Meta Platforms, 2024. — URL: https://react.dev/ (дата обращения: 08.03.2026).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Signal Protocol Documentation. — Open Whisper Systems, 2024. — URL: https://signal.org/docs/ (дата обращения: 18.03.2026).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SQLAlchemy 2.0 Documentation. — 2024. — URL: https://docs.sqlalchemy.org/en/20/ (дата обращения: 12.03.2026).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SQLite Documentation: официальная документация. — 2024. — URL: https://www.sqlite.org/docs.html (дата обращения: 15.03.2026).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Stack Overflow Developer Survey 2024: результаты ежегодного опроса разработчиков. — Stack Overflow, 2024. — URL: https://survey.stackoverflow.co/2024 (дата обращения: 25.03.2026).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Statista. Number of mobile messaging app users worldwide from 2018 to 2027. — Statista Inc., 2024. — URL: https://www.statista.com/statistics/483255/number-of-mobile-messaging-users-worldwide/ (дата обращения: 20.03.2026).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Telegram MTProto Mobile Protocol. — Telegram Messenger LLP, 2024. — URL: https://core.telegram.org/mtproto (дата обращения: 18.03.2026).</w:t>
      </w:r>
      <w:r/>
    </w:p>
    <w:p>
      <w:pPr>
        <w:pStyle w:val="928"/>
        <w:numPr>
          <w:ilvl w:val="0"/>
          <w:numId w:val="21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TypeScript Handbook. — Microsoft Corporation, 2024. — URL: https://www.typescriptlang.org/docs/ (дата обращения: 09.03.2026).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46"/>
        <w:pBdr/>
        <w:spacing w:after="0" w:before="0" w:line="360" w:lineRule="auto"/>
        <w:ind/>
        <w:jc w:val="center"/>
        <w:rPr/>
      </w:pPr>
      <w:r/>
      <w:bookmarkStart w:id="530" w:name="_Toc30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ПРИЛОЖЕНИЕ А</w:t>
      </w:r>
      <w:r/>
      <w:bookmarkEnd w:id="530"/>
      <w:r/>
      <w:r/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Тестирование функциональной пригодности приложения</w:t>
      </w:r>
      <w:r/>
    </w:p>
    <w:p>
      <w:pPr>
        <w:pBdr/>
        <w:spacing w:after="60" w:before="12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А.1 – Тестирование функциональной пригодности роли «Гость»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1510"/>
        <w:gridCol w:w="621"/>
        <w:gridCol w:w="2191"/>
        <w:gridCol w:w="1587"/>
        <w:gridCol w:w="1568"/>
        <w:gridCol w:w="1457"/>
      </w:tblGrid>
      <w:tr>
        <w:trPr>
          <w:trHeight w:val="400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Регистрация с корректными данными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Перейти на страницу регистрации → ввести уникальный тег, email, пароль → нажать «Зарегистрироваться»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{username: «test_user», email: «test@mail.ru», password: «Pass123!»}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Учётная запись создана, пользователь перенаправлен на страницу настройки профиля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создана в таблице users, JWT-токен возвращён, профиль доступен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Авторизация с корректными данными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Перейти на страницу входа → ввести email и пароль → нажать «Войти»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{email: «test@mail.ru», password: «Pass123!»}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 авторизован, открыт главный экран со списком чатов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JWT-токен получен, интерфейс загружен корректно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Регистрация с уже занятым тегом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Ввести тег, который уже зарегистрирован в системе → нажать «Зарегистрироваться»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{tag: «kayano»}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Отображается ошибка: «Данный тег уже занят»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Сервер возвращает код 409, сообщение об ошибке отображается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Авторизация с неверным паролем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Ввести корректный email и неверный пароль → нажать «Войти»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{email: «test@mail.ru», password: «WrongPass»}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Отображается ошибка: «Неверный email или пароль»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Сервер возвращает код 401, вход не выполнен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10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Обращение к защищённому эндпоинту без токена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91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Отправить GET-запрос к /api/users/me без заголовка Authorization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Authorization: отсутствует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8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Сервер возвращает HTTP 401 Unauthorized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57" w:type="dxa"/>
            <w:vAlign w:val="center"/>
          </w:tcPr>
          <w:p>
            <w:pPr>
              <w:pBdr/>
              <w:shd w:val="clear" w:color="auto" w:fill="auto"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Ответ: 401 Unauthorized, доступ запрещён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</w:tbl>
    <w:p w14:paraId="75B70978">
      <w:pPr>
        <w:pBdr/>
        <w:spacing w:after="60" w:before="12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2A4CA1AB">
      <w:pPr>
        <w:pBdr/>
        <w:spacing w:after="60" w:before="12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А.2 – Тестирование функциональной пригодности роли «Пользователь»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709"/>
        <w:gridCol w:w="2126"/>
        <w:gridCol w:w="1417"/>
        <w:gridCol w:w="1559"/>
        <w:gridCol w:w="1701"/>
      </w:tblGrid>
      <w:tr>
        <w:trPr>
          <w:trHeight w:val="400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сообщения онлайн-пользователю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личный чат → ввести текст → нажать «Отправить»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{text: «Привет!», receiver_id: 2}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отображается в чате, получатель видит его в реальном времени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сохранена в таблице messages, WebSocket-событие доставлено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сообщения офлайн-пользователю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чат с офлайн-пользователем → ввести текст → отправить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{text: «Сообщение», receiver_id: 3}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сохранено с флагом delivered = FALSE; доставлено при подключении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в БД создана, при входе адресата флаг delivered обновлён до TRUE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Загрузка изображения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Нажать кнопку прикрепления → выбрать PNG-файл (5 МБ) → отправить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{file: image.png, size: 5 МБ, type: image/png}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Изображение загружено, URL сохранён в базе данных, превью отображается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Файл загружен в Cloudinary, URL сохранён в поле file_path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Поиск сообщения по ключевому слову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панель поиска → ввести слово → нажать «Найти»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{query: «привет»}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Список сообщений, содержащих «привет», отображается корректно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Возвращены только сообщения текущего пользователя с данной подстрокой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Поиск пользователя по тегу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поиск → ввести тег пользователя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{tag: «@kayano»}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Профиль пользователя с данным тегом отображается в результатах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Метод get_user_by_tag выполнен, данные профиля возвращены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</w:tbl>
    <w:p w14:paraId="19F8623F">
      <w:pPr>
        <w:pBdr/>
        <w:spacing/>
        <w:ind/>
        <w:rPr/>
      </w:pPr>
      <w:r/>
      <w:r/>
    </w:p>
    <w:p w14:paraId="69E69F0B">
      <w:pPr>
        <w:pBdr/>
        <w:spacing/>
        <w:ind/>
        <w:rPr/>
      </w:pPr>
      <w:r/>
      <w:r/>
    </w:p>
    <w:p w14:paraId="2FE96CBF">
      <w:pPr>
        <w:pBdr/>
        <w:spacing/>
        <w:ind/>
        <w:rPr/>
      </w:pPr>
      <w:r/>
      <w:r/>
    </w:p>
    <w:p w14:paraId="486F211C">
      <w:pPr>
        <w:pBdr/>
        <w:spacing/>
        <w:ind/>
        <w:rPr/>
      </w:pPr>
      <w:r/>
      <w:r/>
    </w:p>
    <w:p w14:paraId="7E7D28E7">
      <w:pPr>
        <w:pBdr/>
        <w:spacing/>
        <w:ind/>
        <w:rPr/>
      </w:pPr>
      <w:r/>
      <w:r/>
    </w:p>
    <w:p w14:paraId="689957A8">
      <w:pPr>
        <w:pBdr/>
        <w:spacing/>
        <w:ind/>
        <w:rPr/>
      </w:pPr>
      <w:r/>
      <w:r/>
    </w:p>
    <w:p w14:paraId="1C496A79">
      <w:pPr>
        <w:pBdr/>
        <w:spacing/>
        <w:ind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A.2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709"/>
        <w:gridCol w:w="2126"/>
        <w:gridCol w:w="1417"/>
        <w:gridCol w:w="1559"/>
        <w:gridCol w:w="170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vMerge w:val="restart"/>
          </w:tcPr>
          <w:p w14:paraId="0F390490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</w:tcPr>
          <w:p w14:paraId="4CB5D6D0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</w:tcPr>
          <w:p w14:paraId="3F123E48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vMerge w:val="restart"/>
          </w:tcPr>
          <w:p w14:paraId="73D9180E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vMerge w:val="restart"/>
          </w:tcPr>
          <w:p w14:paraId="0E6373FF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</w:tcPr>
          <w:p w14:paraId="7C97493E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vMerge w:val="restart"/>
          </w:tcPr>
          <w:p w14:paraId="26CE5DA9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Создание группового чата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Нажать «Создать группу» → ввести название → добавить участников → сохранить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{name: «Тестовая группа», members: [user2, user3]}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Группа создана, участники добавлены, отображается в списке чатов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Записи в таблицах groups и group_members созданы корректно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Добавление участника в группу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настройки группы → «Добавить участника» → выбрать пользователя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{group_id: 1, user_tag: «@newuser»}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Новый участник добавлен, отображается в списке группы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в group_members создана, системное сообщение отправлено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Удаление сообщения «для всех»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Навести курсор на сообщение → «Удалить» → «Для всех»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{message_id: 42, for_self: false}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скрыто у всех участников диалога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Флаг is_deleted = TRUE установлен, сообщение не отображается ни у кого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Удаление сообщения «только для себя»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Навести курсор на сообщение → «Удалить» → «Только для меня»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{message_id: 43, for_self: true, current_user_id: 1}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скрыто только у инициатора, видно второму участнику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Флаг deleted_by_sender = 1, у получателя сообщение отображается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Редактирование сообщения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Навести курсор на своё сообщение → «Редактировать» → изменить текст → сохранить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{message_id: 44, new_text: «Исправленный текст»}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обновлено, отображается маркер «изменено»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Поля message_text и edited_at обновлены в базе данных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Постановка реакции на сообщение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Нажать на иконку реакций рядом с сообщением → выбрать эмодзи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{message_id: 45, emoji: «👍», user_id: 1}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Реакция отображается под сообщением у всех участников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в message_reactions создана, WebSocket-событие разослано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</w:tbl>
    <w:p w14:paraId="44B24F32">
      <w:pPr>
        <w:pBdr/>
        <w:spacing/>
        <w:ind/>
        <w:rPr/>
      </w:pPr>
      <w:r/>
      <w:r/>
    </w:p>
    <w:p w14:paraId="7B485856">
      <w:pPr>
        <w:pBdr/>
        <w:spacing/>
        <w:ind/>
        <w:rPr/>
      </w:pPr>
      <w:r/>
      <w:r/>
    </w:p>
    <w:p w14:paraId="538B3ACE">
      <w:pPr>
        <w:pBdr/>
        <w:spacing/>
        <w:ind/>
        <w:rPr/>
      </w:pPr>
      <w:r/>
      <w:r/>
    </w:p>
    <w:p w14:paraId="5DAF4649">
      <w:pPr>
        <w:pBdr/>
        <w:spacing/>
        <w:ind/>
        <w:rPr/>
      </w:pPr>
      <w:r/>
      <w:r/>
    </w:p>
    <w:p w14:paraId="52C1F590">
      <w:pPr>
        <w:pBdr/>
        <w:spacing/>
        <w:ind/>
        <w:rPr/>
      </w:pPr>
      <w:r/>
      <w:r/>
    </w:p>
    <w:p w14:paraId="1988ABE5">
      <w:pPr>
        <w:pBdr/>
        <w:spacing/>
        <w:ind/>
        <w:rPr/>
      </w:pPr>
      <w:r/>
      <w:r/>
    </w:p>
    <w:p w14:paraId="7C0F2746">
      <w:pPr>
        <w:pBdr/>
        <w:spacing/>
        <w:ind/>
        <w:rPr/>
      </w:pPr>
      <w:r/>
      <w:r/>
    </w:p>
    <w:p w14:paraId="50B4D66C">
      <w:pPr>
        <w:pBdr/>
        <w:spacing/>
        <w:ind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A.2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709"/>
        <w:gridCol w:w="2126"/>
        <w:gridCol w:w="1417"/>
        <w:gridCol w:w="1559"/>
        <w:gridCol w:w="170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vMerge w:val="restart"/>
          </w:tcPr>
          <w:p w14:paraId="0F390490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</w:tcPr>
          <w:p w14:paraId="4CB5D6D0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</w:tcPr>
          <w:p w14:paraId="3F123E48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vMerge w:val="restart"/>
          </w:tcPr>
          <w:p w14:paraId="73D9180E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vMerge w:val="restart"/>
          </w:tcPr>
          <w:p w14:paraId="0E6373FF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</w:tcPr>
          <w:p w14:paraId="7C97493E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vMerge w:val="restart"/>
          </w:tcPr>
          <w:p w14:paraId="26CE5DA9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пустого сообщения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Очистить поле ввода → нажать «Отправить»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{text: «»}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заблокирована, сообщение не создаётся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Кнопка «Отправить» неактивна при пустом поле ввода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13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Загрузка файла превышающего допустимый размер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Прикрепить файл размером более 100 МБ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{file_size: 120 МБ}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Отображается ошибка: «Файл превышает допустимый размер»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Загрузка отклонена на стороне клиента, сообщение об ошибке показано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14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Редактирование чужого сообщения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Попытаться отредактировать сообщение другого пользователя через API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{message_id: 50, sender_id: 2, current_user_id: 1}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Сервер возвращает HTTP 403 Forbidden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Ответ: 403 Forbidden, редактирование отклонено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</w:tbl>
    <w:p>
      <w:p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А.3 – Тестирование функциональной пригодности роли «Администратор»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709"/>
        <w:gridCol w:w="2126"/>
        <w:gridCol w:w="1417"/>
        <w:gridCol w:w="1559"/>
        <w:gridCol w:w="1701"/>
      </w:tblGrid>
      <w:tr>
        <w:trPr>
          <w:trHeight w:val="400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Просмотр списка обращений в поддержку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административную панель → перейти в раздел «Поддержка»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Авторизация с тегом администратора (@kayano)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Отображается список всех обращений пользователей с датой и статусом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Метод get_all_threads выполнен, список обращений загружен корректно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 пользователю в поддержке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обращение → ввести текст ответа → нажать «Отправить»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{user_id: 5, message_text: «Ваш запрос обработан»}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 сохранён с флагом is_admin_reply = TRUE, пользователь получает уведомление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в support_messages создана, WebSocket-событие отправлено пользователю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Просмотр всех зарегистрированных пользователей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Административная панель → раздел «Пользователи»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Авторизация с правами администратора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Отображается список всех пользователей системы с их тегами и датами регистрации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Метод get_all_users выполнен, список пользователей загружен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</w:tbl>
    <w:p w14:paraId="2D6E736B">
      <w:pPr>
        <w:pBdr/>
        <w:spacing/>
        <w:ind/>
        <w:rPr/>
      </w:pPr>
      <w:r>
        <w:rPr>
          <w:lang w:val="ru-RU"/>
        </w:rPr>
        <w:t xml:space="preserve">Продолжение таблицы А.3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709"/>
        <w:gridCol w:w="2126"/>
        <w:gridCol w:w="1417"/>
        <w:gridCol w:w="1559"/>
        <w:gridCol w:w="1701"/>
      </w:tblGrid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  <w:vMerge w:val="restart"/>
          </w:tcPr>
          <w:p w14:paraId="40B476A1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vMerge w:val="restart"/>
          </w:tcPr>
          <w:p w14:paraId="541C8BC7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Тест-кейс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</w:tcPr>
          <w:p w14:paraId="48C9F895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vMerge w:val="restart"/>
          </w:tcPr>
          <w:p w14:paraId="4B62C97D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Действия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vMerge w:val="restart"/>
          </w:tcPr>
          <w:p w14:paraId="728254D0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Исходные данные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</w:tcPr>
          <w:p w14:paraId="1A07548C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vMerge w:val="restart"/>
          </w:tcPr>
          <w:p w14:paraId="6F5EF693">
            <w:pPr>
              <w:pBdr/>
              <w:spacing w:after="40" w:before="40" w:line="240" w:lineRule="auto"/>
              <w:ind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сообщения от имени администратора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любой чат → ввести текст → отправить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{text: «Административное уведомление», receiver_id: 5}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Сообщение доставлено получателю, отображается аватар администратора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в messages создана, доставлено через WebSocket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 с пустым текстом в поддержке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</w:tcPr>
          <w:p>
            <w:pPr>
              <w:pBdr/>
              <w:spacing w:after="40" w:before="40" w:line="240" w:lineRule="auto"/>
              <w:ind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обращение → оставить поле ответа пустым → нажать «Отправить»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{message_text: «»}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Отправка заблокирована, отображается ошибка валидации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 w:after="40" w:before="40" w:line="240" w:lineRule="auto"/>
              <w:ind/>
              <w:jc w:val="left"/>
              <w:rPr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Кнопка «Отправить» неактивна при пустом поле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</w:tbl>
    <w:p w14:paraId="04EA09B2">
      <w:pPr>
        <w:pBdr/>
        <w:spacing/>
        <w:ind/>
        <w:rPr/>
      </w:pPr>
      <w:r/>
      <w:r/>
    </w:p>
    <w:sectPr>
      <w:footerReference w:type="default" r:id="rId11"/>
      <w:footnotePr/>
      <w:endnotePr/>
      <w:type w:val="nextPage"/>
      <w:pgSz w:h="16838" w:orient="portrait" w:w="11906"/>
      <w:pgMar w:top="1134" w:right="851" w:bottom="1134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</w:r>
    <w:r>
      <w:rPr>
        <w:rFonts w:ascii="Times New Roman" w:hAnsi="Times New Roman" w:eastAsia="Times New Roman" w:cs="Times New Roman"/>
        <w:sz w:val="24"/>
        <w:szCs w:val="24"/>
      </w:rPr>
    </w:r>
    <w:r>
      <w:rPr>
        <w:rFonts w:ascii="Times New Roman" w:hAnsi="Times New Roman" w:eastAsia="Times New Roman" w:cs="Times New Roman"/>
        <w:sz w:val="24"/>
        <w:szCs w:val="24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2C238AE">
    <w:pPr>
      <w:pBdr/>
      <w:spacing/>
      <w:ind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  <w:r>
      <w:rPr>
        <w:rFonts w:ascii="Times New Roman" w:hAnsi="Times New Roman" w:eastAsia="Times New Roman" w:cs="Times New Roman"/>
        <w:sz w:val="24"/>
        <w:szCs w:val="24"/>
      </w:rPr>
    </w:r>
    <w:r>
      <w:rPr>
        <w:rFonts w:ascii="Times New Roman" w:hAnsi="Times New Roman" w:eastAsia="Times New Roman" w:cs="Times New Roman"/>
        <w:sz w:val="24"/>
        <w:szCs w:val="24"/>
      </w:rPr>
    </w:r>
    <w:r>
      <w:rPr>
        <w:rFonts w:ascii="Times New Roman" w:hAnsi="Times New Roman" w:eastAsia="Times New Roman" w:cs="Times New Roman"/>
        <w:sz w:val="24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02177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66B24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2C2DEC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715795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C5B2A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A8967E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72DBF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E21716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507C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D8706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D1E7A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79E3F2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760E5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44A42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F3B10E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8DD8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782683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C5A676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20CE7A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83AF5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E6975D0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1BE95DA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7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7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 w:default="1">
    <w:name w:val="Normal"/>
    <w:qFormat/>
    <w:pPr>
      <w:pBdr/>
      <w:spacing/>
      <w:ind/>
    </w:pPr>
  </w:style>
  <w:style w:type="paragraph" w:styleId="887">
    <w:name w:val="Heading 7"/>
    <w:basedOn w:val="886"/>
    <w:next w:val="886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886"/>
    <w:next w:val="886"/>
    <w:link w:val="8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886"/>
    <w:next w:val="886"/>
    <w:link w:val="9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character" w:styleId="892">
    <w:name w:val="Heading 1 Char"/>
    <w:basedOn w:val="890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3">
    <w:name w:val="Heading 2 Char"/>
    <w:basedOn w:val="890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4">
    <w:name w:val="Heading 3 Char"/>
    <w:basedOn w:val="890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5">
    <w:name w:val="Heading 4 Char"/>
    <w:basedOn w:val="890"/>
    <w:link w:val="9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6">
    <w:name w:val="Heading 5 Char"/>
    <w:basedOn w:val="890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7">
    <w:name w:val="Heading 6 Char"/>
    <w:basedOn w:val="890"/>
    <w:link w:val="9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8">
    <w:name w:val="Heading 7 Char"/>
    <w:basedOn w:val="890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9">
    <w:name w:val="Heading 8 Char"/>
    <w:basedOn w:val="89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9 Char"/>
    <w:basedOn w:val="890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Title Char"/>
    <w:basedOn w:val="890"/>
    <w:link w:val="9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886"/>
    <w:next w:val="886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890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886"/>
    <w:next w:val="886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890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886"/>
    <w:next w:val="886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890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0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911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913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Header"/>
    <w:basedOn w:val="886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Header Char"/>
    <w:basedOn w:val="890"/>
    <w:link w:val="915"/>
    <w:uiPriority w:val="99"/>
    <w:pPr>
      <w:pBdr/>
      <w:spacing/>
      <w:ind/>
    </w:pPr>
  </w:style>
  <w:style w:type="paragraph" w:styleId="917">
    <w:name w:val="Footer"/>
    <w:basedOn w:val="886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Footer Char"/>
    <w:basedOn w:val="890"/>
    <w:link w:val="917"/>
    <w:uiPriority w:val="99"/>
    <w:pPr>
      <w:pBdr/>
      <w:spacing/>
      <w:ind/>
    </w:pPr>
  </w:style>
  <w:style w:type="paragraph" w:styleId="919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20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1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922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923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924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925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926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927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928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929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930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933">
    <w:name w:val="Title"/>
    <w:qFormat/>
    <w:pPr>
      <w:pBdr/>
      <w:spacing/>
      <w:ind/>
    </w:pPr>
    <w:rPr>
      <w:sz w:val="56"/>
      <w:szCs w:val="56"/>
    </w:rPr>
  </w:style>
  <w:style w:type="paragraph" w:styleId="934">
    <w:name w:val="Heading 4"/>
    <w:qFormat/>
    <w:pPr>
      <w:pBdr/>
      <w:spacing/>
      <w:ind/>
    </w:pPr>
    <w:rPr>
      <w:i/>
      <w:iCs/>
      <w:color w:val="2e74b5"/>
    </w:rPr>
  </w:style>
  <w:style w:type="paragraph" w:styleId="935">
    <w:name w:val="Heading 5"/>
    <w:qFormat/>
    <w:pPr>
      <w:pBdr/>
      <w:spacing/>
      <w:ind/>
    </w:pPr>
    <w:rPr>
      <w:color w:val="2e74b5"/>
    </w:rPr>
  </w:style>
  <w:style w:type="paragraph" w:styleId="936">
    <w:name w:val="Heading 6"/>
    <w:qFormat/>
    <w:pPr>
      <w:pBdr/>
      <w:spacing/>
      <w:ind/>
    </w:pPr>
    <w:rPr>
      <w:color w:val="1f4d78"/>
    </w:rPr>
  </w:style>
  <w:style w:type="paragraph" w:styleId="937">
    <w:name w:val="Strong"/>
    <w:qFormat/>
    <w:pPr>
      <w:pBdr/>
      <w:spacing/>
      <w:ind/>
    </w:pPr>
    <w:rPr>
      <w:b/>
      <w:bCs/>
    </w:rPr>
  </w:style>
  <w:style w:type="paragraph" w:styleId="938">
    <w:name w:val="List Paragraph"/>
    <w:qFormat/>
    <w:pPr>
      <w:pBdr/>
      <w:spacing/>
      <w:ind/>
    </w:pPr>
  </w:style>
  <w:style w:type="character" w:styleId="93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4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1">
    <w:name w:val="footnote text"/>
    <w:link w:val="9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2">
    <w:name w:val="Footnote Text Char"/>
    <w:link w:val="9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4">
    <w:name w:val="endnote text"/>
    <w:link w:val="9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5">
    <w:name w:val="Endnote Text Char"/>
    <w:link w:val="94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46">
    <w:name w:val="Heading 1"/>
    <w:qFormat/>
    <w:pPr>
      <w:pBdr/>
      <w:spacing w:after="240" w:before="0" w:line="360" w:lineRule="auto"/>
      <w:ind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47">
    <w:name w:val="Heading 2"/>
    <w:qFormat/>
    <w:pPr>
      <w:pBdr/>
      <w:spacing w:after="120" w:before="240" w:line="360" w:lineRule="auto"/>
      <w:ind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48">
    <w:name w:val="Heading 3"/>
    <w:qFormat/>
    <w:pPr>
      <w:pBdr/>
      <w:spacing w:after="60" w:before="120" w:line="360" w:lineRule="auto"/>
      <w:ind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49" w:customStyle="1">
    <w:name w:val="Основной текст1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auto" w:fill="ffffff"/>
      <w:bidi w:val="false"/>
      <w:spacing w:after="0" w:afterAutospacing="0" w:before="0" w:beforeAutospacing="0" w:line="360" w:lineRule="auto"/>
      <w:ind w:right="0" w:firstLine="40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0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5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Table Grid"/>
    <w:basedOn w:val="14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Table Grid Light"/>
    <w:basedOn w:val="14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Plain Table 1"/>
    <w:basedOn w:val="14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Plain Table 2"/>
    <w:basedOn w:val="14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Plain Table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Plain Table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Plain Table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1 Light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1 Light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1 Light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1 Light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2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2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2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2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3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3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3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3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"/>
    <w:basedOn w:val="14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1"/>
    <w:basedOn w:val="14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 - Accent 2"/>
    <w:basedOn w:val="14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4 - Accent 3"/>
    <w:basedOn w:val="14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4 - Accent 4"/>
    <w:basedOn w:val="14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4 - Accent 5"/>
    <w:basedOn w:val="14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4 - Accent 6"/>
    <w:basedOn w:val="14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5 Dark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5 Dark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5 Dark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5 Dark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6 Colorful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6 Colorful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6 Colorful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6 Colorful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7 Colorful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7 Colorful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7 Colorful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7 Colorful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1 Light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1 Light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1 Light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1 Light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2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2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2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2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3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3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3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3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4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4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4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4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5 Dark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5 Dark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5 Dark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5 Dark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6 Colorful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6 Colorful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6 Colorful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6 Colorful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7 Colorful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7 Colorful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7 Colorful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7 Colorful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1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 2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ned - Accent 3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ned - Accent 4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ned - Accent 5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ned - Accent 6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1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 2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&amp; Lined - Accent 3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&amp; Lined - Accent 4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&amp; Lined - Accent 5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&amp; Lined - Accent 6"/>
    <w:basedOn w:val="14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1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- Accent 2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- Accent 3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Bordered - Accent 4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Bordered - Accent 5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Bordered - Accent 6"/>
    <w:basedOn w:val="14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9" w:default="1">
    <w:name w:val="Normal"/>
    <w:qFormat/>
    <w:pPr>
      <w:pBdr/>
      <w:spacing/>
      <w:ind/>
    </w:pPr>
  </w:style>
  <w:style w:type="paragraph" w:styleId="1580">
    <w:name w:val="Heading 1"/>
    <w:basedOn w:val="1579"/>
    <w:next w:val="1579"/>
    <w:link w:val="15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81">
    <w:name w:val="Heading 2"/>
    <w:basedOn w:val="1579"/>
    <w:next w:val="1579"/>
    <w:link w:val="15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82">
    <w:name w:val="Heading 3"/>
    <w:basedOn w:val="1579"/>
    <w:next w:val="1579"/>
    <w:link w:val="15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83">
    <w:name w:val="Heading 4"/>
    <w:basedOn w:val="1579"/>
    <w:next w:val="1579"/>
    <w:link w:val="15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4">
    <w:name w:val="Heading 5"/>
    <w:basedOn w:val="1579"/>
    <w:next w:val="1579"/>
    <w:link w:val="15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5">
    <w:name w:val="Heading 6"/>
    <w:basedOn w:val="1579"/>
    <w:next w:val="1579"/>
    <w:link w:val="15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6">
    <w:name w:val="Heading 7"/>
    <w:basedOn w:val="1579"/>
    <w:next w:val="1579"/>
    <w:link w:val="15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7">
    <w:name w:val="Heading 8"/>
    <w:basedOn w:val="1579"/>
    <w:next w:val="1579"/>
    <w:link w:val="15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8">
    <w:name w:val="Heading 9"/>
    <w:basedOn w:val="1579"/>
    <w:next w:val="1579"/>
    <w:link w:val="15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9" w:default="1">
    <w:name w:val="Default Paragraph Font"/>
    <w:uiPriority w:val="1"/>
    <w:semiHidden/>
    <w:unhideWhenUsed/>
    <w:pPr>
      <w:pBdr/>
      <w:spacing/>
      <w:ind/>
    </w:pPr>
  </w:style>
  <w:style w:type="numbering" w:styleId="1590" w:default="1">
    <w:name w:val="No List"/>
    <w:uiPriority w:val="99"/>
    <w:semiHidden/>
    <w:unhideWhenUsed/>
    <w:pPr>
      <w:pBdr/>
      <w:spacing/>
      <w:ind/>
    </w:pPr>
  </w:style>
  <w:style w:type="character" w:styleId="1591">
    <w:name w:val="Heading 1 Char"/>
    <w:basedOn w:val="1589"/>
    <w:link w:val="15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92">
    <w:name w:val="Heading 2 Char"/>
    <w:basedOn w:val="1589"/>
    <w:link w:val="15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93">
    <w:name w:val="Heading 3 Char"/>
    <w:basedOn w:val="1589"/>
    <w:link w:val="15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4">
    <w:name w:val="Heading 4 Char"/>
    <w:basedOn w:val="1589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5">
    <w:name w:val="Heading 5 Char"/>
    <w:basedOn w:val="1589"/>
    <w:link w:val="15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6">
    <w:name w:val="Heading 6 Char"/>
    <w:basedOn w:val="1589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7">
    <w:name w:val="Heading 7 Char"/>
    <w:basedOn w:val="1589"/>
    <w:link w:val="15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8">
    <w:name w:val="Heading 8 Char"/>
    <w:basedOn w:val="1589"/>
    <w:link w:val="15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9">
    <w:name w:val="Heading 9 Char"/>
    <w:basedOn w:val="1589"/>
    <w:link w:val="15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00">
    <w:name w:val="Title"/>
    <w:basedOn w:val="1579"/>
    <w:next w:val="1579"/>
    <w:link w:val="16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1">
    <w:name w:val="Title Char"/>
    <w:basedOn w:val="1589"/>
    <w:link w:val="16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2">
    <w:name w:val="Subtitle"/>
    <w:basedOn w:val="1579"/>
    <w:next w:val="1579"/>
    <w:link w:val="16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3">
    <w:name w:val="Subtitle Char"/>
    <w:basedOn w:val="1589"/>
    <w:link w:val="16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4">
    <w:name w:val="Quote"/>
    <w:basedOn w:val="1579"/>
    <w:next w:val="1579"/>
    <w:link w:val="16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5">
    <w:name w:val="Quote Char"/>
    <w:basedOn w:val="1589"/>
    <w:link w:val="16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6">
    <w:name w:val="List Paragraph"/>
    <w:basedOn w:val="1579"/>
    <w:uiPriority w:val="34"/>
    <w:qFormat/>
    <w:pPr>
      <w:pBdr/>
      <w:spacing/>
      <w:ind w:left="720"/>
      <w:contextualSpacing w:val="true"/>
    </w:pPr>
  </w:style>
  <w:style w:type="character" w:styleId="1607">
    <w:name w:val="Intense Emphasis"/>
    <w:basedOn w:val="15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8">
    <w:name w:val="Intense Quote"/>
    <w:basedOn w:val="1579"/>
    <w:next w:val="1579"/>
    <w:link w:val="16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9">
    <w:name w:val="Intense Quote Char"/>
    <w:basedOn w:val="1589"/>
    <w:link w:val="16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10">
    <w:name w:val="Intense Reference"/>
    <w:basedOn w:val="15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11">
    <w:name w:val="No Spacing"/>
    <w:basedOn w:val="1579"/>
    <w:uiPriority w:val="1"/>
    <w:qFormat/>
    <w:pPr>
      <w:pBdr/>
      <w:spacing w:after="0" w:line="240" w:lineRule="auto"/>
      <w:ind/>
    </w:pPr>
  </w:style>
  <w:style w:type="character" w:styleId="1612">
    <w:name w:val="Subtle Emphasis"/>
    <w:basedOn w:val="15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13">
    <w:name w:val="Emphasis"/>
    <w:basedOn w:val="1589"/>
    <w:uiPriority w:val="20"/>
    <w:qFormat/>
    <w:pPr>
      <w:pBdr/>
      <w:spacing/>
      <w:ind/>
    </w:pPr>
    <w:rPr>
      <w:i/>
      <w:iCs/>
    </w:rPr>
  </w:style>
  <w:style w:type="character" w:styleId="1614">
    <w:name w:val="Strong"/>
    <w:basedOn w:val="1589"/>
    <w:uiPriority w:val="22"/>
    <w:qFormat/>
    <w:pPr>
      <w:pBdr/>
      <w:spacing/>
      <w:ind/>
    </w:pPr>
    <w:rPr>
      <w:b/>
      <w:bCs/>
    </w:rPr>
  </w:style>
  <w:style w:type="character" w:styleId="1615">
    <w:name w:val="Subtle Reference"/>
    <w:basedOn w:val="15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6">
    <w:name w:val="Book Title"/>
    <w:basedOn w:val="15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7">
    <w:name w:val="Header"/>
    <w:basedOn w:val="1579"/>
    <w:link w:val="16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8">
    <w:name w:val="Header Char"/>
    <w:basedOn w:val="1589"/>
    <w:link w:val="1617"/>
    <w:uiPriority w:val="99"/>
    <w:pPr>
      <w:pBdr/>
      <w:spacing/>
      <w:ind/>
    </w:pPr>
  </w:style>
  <w:style w:type="paragraph" w:styleId="1619">
    <w:name w:val="Footer"/>
    <w:basedOn w:val="1579"/>
    <w:link w:val="16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20">
    <w:name w:val="Footer Char"/>
    <w:basedOn w:val="1589"/>
    <w:link w:val="1619"/>
    <w:uiPriority w:val="99"/>
    <w:pPr>
      <w:pBdr/>
      <w:spacing/>
      <w:ind/>
    </w:pPr>
  </w:style>
  <w:style w:type="paragraph" w:styleId="1621">
    <w:name w:val="Caption"/>
    <w:basedOn w:val="1579"/>
    <w:next w:val="15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22">
    <w:name w:val="footnote text"/>
    <w:basedOn w:val="1579"/>
    <w:link w:val="16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3">
    <w:name w:val="Footnote Text Char"/>
    <w:basedOn w:val="1589"/>
    <w:link w:val="1622"/>
    <w:uiPriority w:val="99"/>
    <w:semiHidden/>
    <w:pPr>
      <w:pBdr/>
      <w:spacing/>
      <w:ind/>
    </w:pPr>
    <w:rPr>
      <w:sz w:val="20"/>
      <w:szCs w:val="20"/>
    </w:rPr>
  </w:style>
  <w:style w:type="character" w:styleId="1624">
    <w:name w:val="footnote reference"/>
    <w:basedOn w:val="1589"/>
    <w:uiPriority w:val="99"/>
    <w:semiHidden/>
    <w:unhideWhenUsed/>
    <w:pPr>
      <w:pBdr/>
      <w:spacing/>
      <w:ind/>
    </w:pPr>
    <w:rPr>
      <w:vertAlign w:val="superscript"/>
    </w:rPr>
  </w:style>
  <w:style w:type="paragraph" w:styleId="1625">
    <w:name w:val="endnote text"/>
    <w:basedOn w:val="1579"/>
    <w:link w:val="16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6">
    <w:name w:val="Endnote Text Char"/>
    <w:basedOn w:val="1589"/>
    <w:link w:val="1625"/>
    <w:uiPriority w:val="99"/>
    <w:semiHidden/>
    <w:pPr>
      <w:pBdr/>
      <w:spacing/>
      <w:ind/>
    </w:pPr>
    <w:rPr>
      <w:sz w:val="20"/>
      <w:szCs w:val="20"/>
    </w:rPr>
  </w:style>
  <w:style w:type="character" w:styleId="1627">
    <w:name w:val="endnote reference"/>
    <w:basedOn w:val="1589"/>
    <w:uiPriority w:val="99"/>
    <w:semiHidden/>
    <w:unhideWhenUsed/>
    <w:pPr>
      <w:pBdr/>
      <w:spacing/>
      <w:ind/>
    </w:pPr>
    <w:rPr>
      <w:vertAlign w:val="superscript"/>
    </w:rPr>
  </w:style>
  <w:style w:type="character" w:styleId="1628">
    <w:name w:val="Hyperlink"/>
    <w:basedOn w:val="15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9">
    <w:name w:val="FollowedHyperlink"/>
    <w:basedOn w:val="15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30">
    <w:name w:val="toc 1"/>
    <w:basedOn w:val="1579"/>
    <w:next w:val="1579"/>
    <w:uiPriority w:val="39"/>
    <w:unhideWhenUsed/>
    <w:pPr>
      <w:pBdr/>
      <w:spacing w:after="100"/>
      <w:ind/>
    </w:pPr>
  </w:style>
  <w:style w:type="paragraph" w:styleId="1631">
    <w:name w:val="toc 2"/>
    <w:basedOn w:val="1579"/>
    <w:next w:val="1579"/>
    <w:uiPriority w:val="39"/>
    <w:unhideWhenUsed/>
    <w:pPr>
      <w:pBdr/>
      <w:spacing w:after="100"/>
      <w:ind w:left="220"/>
    </w:pPr>
  </w:style>
  <w:style w:type="paragraph" w:styleId="1632">
    <w:name w:val="toc 3"/>
    <w:basedOn w:val="1579"/>
    <w:next w:val="1579"/>
    <w:uiPriority w:val="39"/>
    <w:unhideWhenUsed/>
    <w:pPr>
      <w:pBdr/>
      <w:spacing w:after="100"/>
      <w:ind w:left="440"/>
    </w:pPr>
  </w:style>
  <w:style w:type="paragraph" w:styleId="1633">
    <w:name w:val="toc 4"/>
    <w:basedOn w:val="1579"/>
    <w:next w:val="1579"/>
    <w:uiPriority w:val="39"/>
    <w:unhideWhenUsed/>
    <w:pPr>
      <w:pBdr/>
      <w:spacing w:after="100"/>
      <w:ind w:left="660"/>
    </w:pPr>
  </w:style>
  <w:style w:type="paragraph" w:styleId="1634">
    <w:name w:val="toc 5"/>
    <w:basedOn w:val="1579"/>
    <w:next w:val="1579"/>
    <w:uiPriority w:val="39"/>
    <w:unhideWhenUsed/>
    <w:pPr>
      <w:pBdr/>
      <w:spacing w:after="100"/>
      <w:ind w:left="880"/>
    </w:pPr>
  </w:style>
  <w:style w:type="paragraph" w:styleId="1635">
    <w:name w:val="toc 6"/>
    <w:basedOn w:val="1579"/>
    <w:next w:val="1579"/>
    <w:uiPriority w:val="39"/>
    <w:unhideWhenUsed/>
    <w:pPr>
      <w:pBdr/>
      <w:spacing w:after="100"/>
      <w:ind w:left="1100"/>
    </w:pPr>
  </w:style>
  <w:style w:type="paragraph" w:styleId="1636">
    <w:name w:val="toc 7"/>
    <w:basedOn w:val="1579"/>
    <w:next w:val="1579"/>
    <w:uiPriority w:val="39"/>
    <w:unhideWhenUsed/>
    <w:pPr>
      <w:pBdr/>
      <w:spacing w:after="100"/>
      <w:ind w:left="1320"/>
    </w:pPr>
  </w:style>
  <w:style w:type="paragraph" w:styleId="1637">
    <w:name w:val="toc 8"/>
    <w:basedOn w:val="1579"/>
    <w:next w:val="1579"/>
    <w:uiPriority w:val="39"/>
    <w:unhideWhenUsed/>
    <w:pPr>
      <w:pBdr/>
      <w:spacing w:after="100"/>
      <w:ind w:left="1540"/>
    </w:pPr>
  </w:style>
  <w:style w:type="paragraph" w:styleId="1638">
    <w:name w:val="toc 9"/>
    <w:basedOn w:val="1579"/>
    <w:next w:val="1579"/>
    <w:uiPriority w:val="39"/>
    <w:unhideWhenUsed/>
    <w:pPr>
      <w:pBdr/>
      <w:spacing w:after="100"/>
      <w:ind w:left="1760"/>
    </w:pPr>
  </w:style>
  <w:style w:type="character" w:styleId="1639">
    <w:name w:val="Placeholder Text"/>
    <w:basedOn w:val="1589"/>
    <w:uiPriority w:val="99"/>
    <w:semiHidden/>
    <w:pPr>
      <w:pBdr/>
      <w:spacing/>
      <w:ind/>
    </w:pPr>
    <w:rPr>
      <w:color w:val="666666"/>
    </w:rPr>
  </w:style>
  <w:style w:type="paragraph" w:styleId="1640">
    <w:name w:val="TOC Heading"/>
    <w:uiPriority w:val="39"/>
    <w:unhideWhenUsed/>
    <w:pPr>
      <w:pBdr/>
      <w:spacing/>
      <w:ind/>
    </w:pPr>
  </w:style>
  <w:style w:type="paragraph" w:styleId="1641">
    <w:name w:val="table of figures"/>
    <w:basedOn w:val="1579"/>
    <w:next w:val="1579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Мишенин Артём</dc:creator>
  <cp:revision>8</cp:revision>
  <dcterms:created xsi:type="dcterms:W3CDTF">2026-04-27T16:57:56Z</dcterms:created>
  <dcterms:modified xsi:type="dcterms:W3CDTF">2026-05-18T22:11:28Z</dcterms:modified>
</cp:coreProperties>
</file>