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36C" w:rsidRDefault="003D736C" w:rsidP="003D736C">
      <w:pPr>
        <w:spacing w:after="100" w:afterAutospacing="1" w:line="273" w:lineRule="auto"/>
        <w:outlineLvl w:val="0"/>
        <w:rPr>
          <w:rFonts w:ascii="Times New Roman" w:hAnsi="Times New Roman"/>
          <w:b/>
          <w:bCs/>
          <w:kern w:val="36"/>
        </w:rPr>
      </w:pPr>
      <w:r>
        <w:rPr>
          <w:rFonts w:ascii="Times New Roman" w:hAnsi="Times New Roman"/>
          <w:b/>
          <w:bCs/>
          <w:kern w:val="36"/>
        </w:rPr>
        <w:t>CHAPTER THREE: METHODOLOGY</w:t>
      </w:r>
    </w:p>
    <w:p w:rsidR="003D736C" w:rsidRDefault="003D736C" w:rsidP="003D736C">
      <w:pPr>
        <w:spacing w:after="100" w:afterAutospacing="1" w:line="273" w:lineRule="auto"/>
        <w:outlineLvl w:val="1"/>
        <w:rPr>
          <w:rFonts w:ascii="Times New Roman" w:hAnsi="Times New Roman"/>
          <w:b/>
          <w:bCs/>
          <w:kern w:val="0"/>
        </w:rPr>
      </w:pPr>
      <w:r>
        <w:rPr>
          <w:rFonts w:ascii="Times New Roman" w:hAnsi="Times New Roman"/>
          <w:b/>
          <w:bCs/>
          <w:kern w:val="0"/>
        </w:rPr>
        <w:t>3.0 Introduction</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This chapter outlines the research methodology employed to investigate the impact of the COVID-19 pandemic on the operations and survival of small and medium enterprises (SMEs) in Zimbabwe. Methodology serves as the backbone of any research study, ensuring that the research process is systematic, reliable, and valid (Creswell, 2014). In the context of SMEs, the pandemic introduced unprecedented operational challenges, including disrupted supply chains, reduced customer demand, financial constraints, and regulatory restrictions such as lockdowns. Understanding these impacts required a methodological approach that captured both quantitative metrics, such as changes in revenue or employee numbers, and qualitative insights, such as managerial experiences and coping strategies.</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The research adopted a mixed-methods approach to comprehensively assess the pandemic's effects on SMEs. This approach allowed the study to collect numerical data on operational and financial performance, as well as qualitative data on managerial decision-making, resilience strategies, and stakeholder perceptions. The chapter discusses the research design, population, sampling, data collection procedures, data analysis techniques, ethical considerations, and measures of reliability and validity. The methodology provides a systematic framework to understand how SMEs in Zimbabwe responded to the COVID-19 crisis and the factors that influenced their survival or closure.</w:t>
      </w:r>
    </w:p>
    <w:p w:rsidR="003D736C" w:rsidRDefault="003D736C" w:rsidP="003D736C">
      <w:pPr>
        <w:spacing w:after="0" w:line="273" w:lineRule="auto"/>
        <w:rPr>
          <w:rFonts w:ascii="Times New Roman" w:hAnsi="Times New Roman"/>
          <w:kern w:val="0"/>
        </w:rPr>
      </w:pPr>
      <w:r>
        <w:rPr>
          <w:rFonts w:ascii="Times New Roman" w:hAnsi="Times New Roman"/>
          <w:kern w:val="0"/>
        </w:rPr>
        <w:t xml:space="preserve"> </w:t>
      </w:r>
    </w:p>
    <w:p w:rsidR="003D736C" w:rsidRDefault="003D736C" w:rsidP="003D736C">
      <w:pPr>
        <w:spacing w:after="100" w:afterAutospacing="1" w:line="273" w:lineRule="auto"/>
        <w:outlineLvl w:val="1"/>
        <w:rPr>
          <w:rFonts w:ascii="Times New Roman" w:hAnsi="Times New Roman"/>
          <w:b/>
          <w:bCs/>
          <w:kern w:val="0"/>
        </w:rPr>
      </w:pPr>
      <w:r>
        <w:rPr>
          <w:rFonts w:ascii="Times New Roman" w:hAnsi="Times New Roman"/>
          <w:b/>
          <w:bCs/>
          <w:kern w:val="0"/>
        </w:rPr>
        <w:t>3.1 Research Design</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The study adopted a mixed-methods research design, combining both qualitative and quantitative techniques to obtain a holistic understanding of the impact of COVID-19 on SMEs. The quantitative component involved structured surveys targeting SME owners and managers to collect numerical data on revenue fluctuations, employee layoffs, operational disruptions, and changes in supply chain efficiency. Descriptive statistics were used to summarize these patterns, providing a clear picture of the operational challenges faced during the pandemic (Field, 2013).</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The qualitative component utilized semi-structured interviews and open-ended survey questions to gather in-depth insights into the experiences of SME owners and managers. These interviews explored challenges such as navigating government lockdown measures, adapting to online sales or remote work, and managing cash flow constraints. By combining quantitative data on operational metrics with qualitative narratives on managerial decision-making and resilience strategies, the study provided a comprehensive understanding of SMEs' experiences during the COVID-19 pandemic.</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 xml:space="preserve">A case study approach was also employed, focusing on a representative sample of SMEs from Harare, Bulawayo, and Gweru. According to Yin (2018), case studies allow researchers </w:t>
      </w:r>
      <w:r>
        <w:rPr>
          <w:rFonts w:ascii="Times New Roman" w:hAnsi="Times New Roman"/>
          <w:kern w:val="0"/>
        </w:rPr>
        <w:lastRenderedPageBreak/>
        <w:t>to explore real-life phenomena in depth within their specific contexts. This approach enabled the study to understand the contextual nuances of SME operations, including industry-specific impacts, geographic disparities, and the varying effectiveness of coping mechanisms. The research design was selected to ensure that findings were both robust and applicable to similar SME settings in Zimbabwe.</w:t>
      </w:r>
    </w:p>
    <w:p w:rsidR="003D736C" w:rsidRDefault="003D736C" w:rsidP="003D736C">
      <w:pPr>
        <w:spacing w:after="0" w:line="273" w:lineRule="auto"/>
        <w:rPr>
          <w:rFonts w:ascii="Times New Roman" w:hAnsi="Times New Roman"/>
          <w:kern w:val="0"/>
        </w:rPr>
      </w:pPr>
      <w:r>
        <w:rPr>
          <w:rFonts w:ascii="Times New Roman" w:hAnsi="Times New Roman"/>
          <w:kern w:val="0"/>
        </w:rPr>
        <w:t xml:space="preserve"> </w:t>
      </w:r>
    </w:p>
    <w:p w:rsidR="003D736C" w:rsidRDefault="003D736C" w:rsidP="003D736C">
      <w:pPr>
        <w:spacing w:after="100" w:afterAutospacing="1" w:line="273" w:lineRule="auto"/>
        <w:outlineLvl w:val="1"/>
        <w:rPr>
          <w:rFonts w:ascii="Times New Roman" w:hAnsi="Times New Roman"/>
          <w:b/>
          <w:bCs/>
          <w:kern w:val="0"/>
        </w:rPr>
      </w:pPr>
      <w:r>
        <w:rPr>
          <w:rFonts w:ascii="Times New Roman" w:hAnsi="Times New Roman"/>
          <w:b/>
          <w:bCs/>
          <w:kern w:val="0"/>
        </w:rPr>
        <w:t>3.2 Population</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The population for this study included all SMEs operating in Zimbabwe between March 2020 and December 2022. According to the Zimbabwe National Statistics Agency (ZIMSTAT, 2021), SMEs are defined as businesses with 5–100 employees and annual turnover below USD 500,000. The population encompassed a wide range of industries, including retail, manufacturing, hospitality, agriculture, and services.</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 xml:space="preserve">The total population for this study was estimated at approximately 3,000 SMEs across the three major urban </w:t>
      </w:r>
      <w:proofErr w:type="spellStart"/>
      <w:r>
        <w:rPr>
          <w:rFonts w:ascii="Times New Roman" w:hAnsi="Times New Roman"/>
          <w:kern w:val="0"/>
        </w:rPr>
        <w:t>centers</w:t>
      </w:r>
      <w:proofErr w:type="spellEnd"/>
      <w:r>
        <w:rPr>
          <w:rFonts w:ascii="Times New Roman" w:hAnsi="Times New Roman"/>
          <w:kern w:val="0"/>
        </w:rPr>
        <w:t>, with the following distribution:</w:t>
      </w:r>
    </w:p>
    <w:tbl>
      <w:tblPr>
        <w:tblW w:w="5000" w:type="pct"/>
        <w:tblCellSpacing w:w="15" w:type="dxa"/>
        <w:tblInd w:w="53" w:type="dxa"/>
        <w:tblCellMar>
          <w:top w:w="15" w:type="dxa"/>
          <w:left w:w="15" w:type="dxa"/>
          <w:bottom w:w="15" w:type="dxa"/>
          <w:right w:w="15" w:type="dxa"/>
        </w:tblCellMar>
        <w:tblLook w:val="04A0" w:firstRow="1" w:lastRow="0" w:firstColumn="1" w:lastColumn="0" w:noHBand="0" w:noVBand="1"/>
      </w:tblPr>
      <w:tblGrid>
        <w:gridCol w:w="2019"/>
        <w:gridCol w:w="1227"/>
        <w:gridCol w:w="2409"/>
        <w:gridCol w:w="3481"/>
      </w:tblGrid>
      <w:tr w:rsidR="003D736C" w:rsidTr="003D736C">
        <w:trPr>
          <w:tblCellSpacing w:w="15" w:type="dxa"/>
        </w:trPr>
        <w:tc>
          <w:tcPr>
            <w:tcW w:w="1074" w:type="pct"/>
            <w:tcBorders>
              <w:top w:val="single" w:sz="4" w:space="0" w:color="auto"/>
              <w:left w:val="single" w:sz="4" w:space="0" w:color="auto"/>
              <w:bottom w:val="single" w:sz="4" w:space="0" w:color="auto"/>
              <w:right w:val="nil"/>
            </w:tcBorders>
            <w:vAlign w:val="center"/>
            <w:hideMark/>
          </w:tcPr>
          <w:p w:rsidR="003D736C" w:rsidRDefault="003D736C">
            <w:pPr>
              <w:spacing w:after="0" w:line="273" w:lineRule="auto"/>
              <w:jc w:val="center"/>
              <w:rPr>
                <w:rFonts w:ascii="Times New Roman" w:hAnsi="Times New Roman"/>
                <w:b/>
                <w:bCs/>
                <w:color w:val="000000"/>
                <w:kern w:val="0"/>
              </w:rPr>
            </w:pPr>
            <w:r>
              <w:rPr>
                <w:rFonts w:ascii="Times New Roman" w:hAnsi="Times New Roman"/>
                <w:b/>
                <w:bCs/>
                <w:color w:val="000000"/>
                <w:kern w:val="0"/>
              </w:rPr>
              <w:t>SME Type</w:t>
            </w:r>
          </w:p>
        </w:tc>
        <w:tc>
          <w:tcPr>
            <w:tcW w:w="651" w:type="pct"/>
            <w:tcBorders>
              <w:top w:val="single" w:sz="4" w:space="0" w:color="auto"/>
              <w:left w:val="single" w:sz="4" w:space="0" w:color="auto"/>
              <w:bottom w:val="single" w:sz="4" w:space="0" w:color="auto"/>
              <w:right w:val="single" w:sz="4" w:space="0" w:color="auto"/>
            </w:tcBorders>
            <w:vAlign w:val="center"/>
            <w:hideMark/>
          </w:tcPr>
          <w:p w:rsidR="003D736C" w:rsidRDefault="003D736C">
            <w:pPr>
              <w:spacing w:after="0" w:line="273" w:lineRule="auto"/>
              <w:jc w:val="center"/>
              <w:rPr>
                <w:rFonts w:ascii="Times New Roman" w:hAnsi="Times New Roman"/>
                <w:b/>
                <w:bCs/>
                <w:color w:val="000000"/>
                <w:kern w:val="0"/>
              </w:rPr>
            </w:pPr>
            <w:r>
              <w:rPr>
                <w:rFonts w:ascii="Times New Roman" w:hAnsi="Times New Roman"/>
                <w:b/>
                <w:bCs/>
                <w:color w:val="000000"/>
                <w:kern w:val="0"/>
              </w:rPr>
              <w:t>Number</w:t>
            </w:r>
          </w:p>
        </w:tc>
        <w:tc>
          <w:tcPr>
            <w:tcW w:w="1295" w:type="pct"/>
            <w:tcBorders>
              <w:top w:val="single" w:sz="4" w:space="0" w:color="auto"/>
              <w:left w:val="nil"/>
              <w:bottom w:val="single" w:sz="4" w:space="0" w:color="auto"/>
              <w:right w:val="nil"/>
            </w:tcBorders>
            <w:vAlign w:val="center"/>
            <w:hideMark/>
          </w:tcPr>
          <w:p w:rsidR="003D736C" w:rsidRDefault="003D736C">
            <w:pPr>
              <w:spacing w:after="0" w:line="273" w:lineRule="auto"/>
              <w:jc w:val="center"/>
              <w:rPr>
                <w:rFonts w:ascii="Times New Roman" w:hAnsi="Times New Roman"/>
                <w:b/>
                <w:bCs/>
                <w:color w:val="000000"/>
                <w:kern w:val="0"/>
              </w:rPr>
            </w:pPr>
            <w:r>
              <w:rPr>
                <w:rFonts w:ascii="Times New Roman" w:hAnsi="Times New Roman"/>
                <w:b/>
                <w:bCs/>
                <w:color w:val="000000"/>
                <w:kern w:val="0"/>
              </w:rPr>
              <w:t>Employee Range</w:t>
            </w:r>
          </w:p>
        </w:tc>
        <w:tc>
          <w:tcPr>
            <w:tcW w:w="1870" w:type="pct"/>
            <w:tcBorders>
              <w:top w:val="single" w:sz="4" w:space="0" w:color="auto"/>
              <w:left w:val="single" w:sz="4" w:space="0" w:color="auto"/>
              <w:bottom w:val="single" w:sz="4" w:space="0" w:color="auto"/>
              <w:right w:val="single" w:sz="4" w:space="0" w:color="auto"/>
            </w:tcBorders>
            <w:vAlign w:val="center"/>
            <w:hideMark/>
          </w:tcPr>
          <w:p w:rsidR="003D736C" w:rsidRDefault="003D736C">
            <w:pPr>
              <w:spacing w:after="0" w:line="273" w:lineRule="auto"/>
              <w:jc w:val="center"/>
              <w:rPr>
                <w:rFonts w:ascii="Times New Roman" w:hAnsi="Times New Roman"/>
                <w:b/>
                <w:bCs/>
                <w:color w:val="000000"/>
                <w:kern w:val="0"/>
              </w:rPr>
            </w:pPr>
            <w:r>
              <w:rPr>
                <w:rFonts w:ascii="Times New Roman" w:hAnsi="Times New Roman"/>
                <w:b/>
                <w:bCs/>
                <w:color w:val="000000"/>
                <w:kern w:val="0"/>
              </w:rPr>
              <w:t>Annual Turnover (USD)</w:t>
            </w:r>
          </w:p>
        </w:tc>
      </w:tr>
      <w:tr w:rsidR="003D736C" w:rsidTr="003D736C">
        <w:trPr>
          <w:tblCellSpacing w:w="15" w:type="dxa"/>
        </w:trPr>
        <w:tc>
          <w:tcPr>
            <w:tcW w:w="1074" w:type="pct"/>
            <w:tcBorders>
              <w:top w:val="nil"/>
              <w:left w:val="single" w:sz="4" w:space="0" w:color="auto"/>
              <w:bottom w:val="single" w:sz="4" w:space="0" w:color="auto"/>
              <w:right w:val="nil"/>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Retail</w:t>
            </w:r>
          </w:p>
        </w:tc>
        <w:tc>
          <w:tcPr>
            <w:tcW w:w="651" w:type="pct"/>
            <w:tcBorders>
              <w:top w:val="nil"/>
              <w:left w:val="single" w:sz="4" w:space="0" w:color="auto"/>
              <w:bottom w:val="single" w:sz="4" w:space="0" w:color="auto"/>
              <w:right w:val="single" w:sz="4" w:space="0" w:color="auto"/>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1,200</w:t>
            </w:r>
          </w:p>
        </w:tc>
        <w:tc>
          <w:tcPr>
            <w:tcW w:w="1295" w:type="pct"/>
            <w:tcBorders>
              <w:top w:val="nil"/>
              <w:left w:val="nil"/>
              <w:bottom w:val="single" w:sz="4" w:space="0" w:color="auto"/>
              <w:right w:val="nil"/>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5–50</w:t>
            </w:r>
          </w:p>
        </w:tc>
        <w:tc>
          <w:tcPr>
            <w:tcW w:w="1870" w:type="pct"/>
            <w:tcBorders>
              <w:top w:val="nil"/>
              <w:left w:val="single" w:sz="4" w:space="0" w:color="auto"/>
              <w:bottom w:val="single" w:sz="4" w:space="0" w:color="auto"/>
              <w:right w:val="single" w:sz="4" w:space="0" w:color="auto"/>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10,000–150,000</w:t>
            </w:r>
          </w:p>
        </w:tc>
      </w:tr>
      <w:tr w:rsidR="003D736C" w:rsidTr="003D736C">
        <w:trPr>
          <w:tblCellSpacing w:w="15" w:type="dxa"/>
        </w:trPr>
        <w:tc>
          <w:tcPr>
            <w:tcW w:w="1074" w:type="pct"/>
            <w:tcBorders>
              <w:top w:val="nil"/>
              <w:left w:val="single" w:sz="4" w:space="0" w:color="auto"/>
              <w:bottom w:val="nil"/>
              <w:right w:val="nil"/>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Services</w:t>
            </w:r>
          </w:p>
        </w:tc>
        <w:tc>
          <w:tcPr>
            <w:tcW w:w="651" w:type="pct"/>
            <w:tcBorders>
              <w:top w:val="nil"/>
              <w:left w:val="single" w:sz="4" w:space="0" w:color="auto"/>
              <w:bottom w:val="nil"/>
              <w:right w:val="single" w:sz="4" w:space="0" w:color="auto"/>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1,000</w:t>
            </w:r>
          </w:p>
        </w:tc>
        <w:tc>
          <w:tcPr>
            <w:tcW w:w="1295" w:type="pct"/>
            <w:tcBorders>
              <w:top w:val="nil"/>
              <w:left w:val="nil"/>
              <w:bottom w:val="nil"/>
              <w:right w:val="nil"/>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5–75</w:t>
            </w:r>
          </w:p>
        </w:tc>
        <w:tc>
          <w:tcPr>
            <w:tcW w:w="1870" w:type="pct"/>
            <w:tcBorders>
              <w:top w:val="nil"/>
              <w:left w:val="single" w:sz="4" w:space="0" w:color="auto"/>
              <w:bottom w:val="nil"/>
              <w:right w:val="single" w:sz="4" w:space="0" w:color="auto"/>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20,000–300,000</w:t>
            </w:r>
          </w:p>
        </w:tc>
      </w:tr>
      <w:tr w:rsidR="003D736C" w:rsidTr="003D736C">
        <w:trPr>
          <w:tblCellSpacing w:w="15" w:type="dxa"/>
        </w:trPr>
        <w:tc>
          <w:tcPr>
            <w:tcW w:w="1074" w:type="pct"/>
            <w:tcBorders>
              <w:top w:val="single" w:sz="4" w:space="0" w:color="auto"/>
              <w:left w:val="single" w:sz="4" w:space="0" w:color="auto"/>
              <w:bottom w:val="nil"/>
              <w:right w:val="nil"/>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Manufacturing</w:t>
            </w:r>
          </w:p>
        </w:tc>
        <w:tc>
          <w:tcPr>
            <w:tcW w:w="651" w:type="pct"/>
            <w:tcBorders>
              <w:top w:val="single" w:sz="4" w:space="0" w:color="auto"/>
              <w:left w:val="single" w:sz="4" w:space="0" w:color="auto"/>
              <w:bottom w:val="nil"/>
              <w:right w:val="single" w:sz="4" w:space="0" w:color="auto"/>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400</w:t>
            </w:r>
          </w:p>
        </w:tc>
        <w:tc>
          <w:tcPr>
            <w:tcW w:w="1295" w:type="pct"/>
            <w:tcBorders>
              <w:top w:val="single" w:sz="4" w:space="0" w:color="auto"/>
              <w:left w:val="nil"/>
              <w:bottom w:val="nil"/>
              <w:right w:val="nil"/>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10–100</w:t>
            </w:r>
          </w:p>
        </w:tc>
        <w:tc>
          <w:tcPr>
            <w:tcW w:w="1870" w:type="pct"/>
            <w:tcBorders>
              <w:top w:val="single" w:sz="4" w:space="0" w:color="auto"/>
              <w:left w:val="single" w:sz="4" w:space="0" w:color="auto"/>
              <w:bottom w:val="nil"/>
              <w:right w:val="single" w:sz="4" w:space="0" w:color="auto"/>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50,000–500,000</w:t>
            </w:r>
          </w:p>
        </w:tc>
      </w:tr>
      <w:tr w:rsidR="003D736C" w:rsidTr="003D736C">
        <w:trPr>
          <w:tblCellSpacing w:w="15" w:type="dxa"/>
        </w:trPr>
        <w:tc>
          <w:tcPr>
            <w:tcW w:w="1074" w:type="pct"/>
            <w:tcBorders>
              <w:top w:val="single" w:sz="4" w:space="0" w:color="auto"/>
              <w:left w:val="single" w:sz="4" w:space="0" w:color="auto"/>
              <w:bottom w:val="nil"/>
              <w:right w:val="nil"/>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Hospitality</w:t>
            </w:r>
          </w:p>
        </w:tc>
        <w:tc>
          <w:tcPr>
            <w:tcW w:w="651" w:type="pct"/>
            <w:tcBorders>
              <w:top w:val="single" w:sz="4" w:space="0" w:color="auto"/>
              <w:left w:val="single" w:sz="4" w:space="0" w:color="auto"/>
              <w:bottom w:val="nil"/>
              <w:right w:val="single" w:sz="4" w:space="0" w:color="auto"/>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400</w:t>
            </w:r>
          </w:p>
        </w:tc>
        <w:tc>
          <w:tcPr>
            <w:tcW w:w="1295" w:type="pct"/>
            <w:tcBorders>
              <w:top w:val="single" w:sz="4" w:space="0" w:color="auto"/>
              <w:left w:val="nil"/>
              <w:bottom w:val="nil"/>
              <w:right w:val="nil"/>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5–50</w:t>
            </w:r>
          </w:p>
        </w:tc>
        <w:tc>
          <w:tcPr>
            <w:tcW w:w="1870" w:type="pct"/>
            <w:tcBorders>
              <w:top w:val="single" w:sz="4" w:space="0" w:color="auto"/>
              <w:left w:val="single" w:sz="4" w:space="0" w:color="auto"/>
              <w:bottom w:val="nil"/>
              <w:right w:val="single" w:sz="4" w:space="0" w:color="auto"/>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15,000–200,000</w:t>
            </w:r>
          </w:p>
        </w:tc>
      </w:tr>
      <w:tr w:rsidR="003D736C" w:rsidTr="003D736C">
        <w:trPr>
          <w:tblCellSpacing w:w="15" w:type="dxa"/>
        </w:trPr>
        <w:tc>
          <w:tcPr>
            <w:tcW w:w="1074" w:type="pct"/>
            <w:tcBorders>
              <w:top w:val="single" w:sz="4" w:space="0" w:color="auto"/>
              <w:left w:val="single" w:sz="4" w:space="0" w:color="auto"/>
              <w:bottom w:val="single" w:sz="4" w:space="0" w:color="auto"/>
              <w:right w:val="nil"/>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Total</w:t>
            </w:r>
          </w:p>
        </w:tc>
        <w:tc>
          <w:tcPr>
            <w:tcW w:w="651" w:type="pct"/>
            <w:tcBorders>
              <w:top w:val="single" w:sz="4" w:space="0" w:color="auto"/>
              <w:left w:val="single" w:sz="4" w:space="0" w:color="auto"/>
              <w:bottom w:val="single" w:sz="4" w:space="0" w:color="auto"/>
              <w:right w:val="single" w:sz="4" w:space="0" w:color="auto"/>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3,000</w:t>
            </w:r>
          </w:p>
        </w:tc>
        <w:tc>
          <w:tcPr>
            <w:tcW w:w="1295" w:type="pct"/>
            <w:tcBorders>
              <w:top w:val="single" w:sz="4" w:space="0" w:color="auto"/>
              <w:left w:val="nil"/>
              <w:bottom w:val="single" w:sz="4" w:space="0" w:color="auto"/>
              <w:right w:val="nil"/>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5–100</w:t>
            </w:r>
          </w:p>
        </w:tc>
        <w:tc>
          <w:tcPr>
            <w:tcW w:w="1870" w:type="pct"/>
            <w:tcBorders>
              <w:top w:val="single" w:sz="4" w:space="0" w:color="auto"/>
              <w:left w:val="single" w:sz="4" w:space="0" w:color="auto"/>
              <w:bottom w:val="single" w:sz="4" w:space="0" w:color="auto"/>
              <w:right w:val="single" w:sz="4" w:space="0" w:color="auto"/>
            </w:tcBorders>
            <w:vAlign w:val="center"/>
            <w:hideMark/>
          </w:tcPr>
          <w:p w:rsidR="003D736C" w:rsidRDefault="003D736C">
            <w:pPr>
              <w:spacing w:after="0" w:line="273" w:lineRule="auto"/>
              <w:rPr>
                <w:rFonts w:ascii="Times New Roman" w:hAnsi="Times New Roman"/>
                <w:color w:val="000000"/>
                <w:kern w:val="0"/>
              </w:rPr>
            </w:pPr>
            <w:r>
              <w:rPr>
                <w:rFonts w:ascii="Times New Roman" w:hAnsi="Times New Roman"/>
                <w:color w:val="000000"/>
                <w:kern w:val="0"/>
              </w:rPr>
              <w:t>10,000–500,000</w:t>
            </w:r>
          </w:p>
        </w:tc>
      </w:tr>
    </w:tbl>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Including a diverse population ensured that the study captured SMEs operating under different conditions and facing varied pandemic-related challenges. For example, the hospitality sector experienced significant restrictions due to lockdowns, while retail SMEs were able to adapt partially through online sales. Understanding these variations was critical for developing a nuanced analysis of SME survival and resilience strategies during the pandemic (Kumar, 2011).</w:t>
      </w:r>
    </w:p>
    <w:p w:rsidR="003D736C" w:rsidRDefault="003D736C" w:rsidP="003D736C">
      <w:pPr>
        <w:spacing w:after="0" w:line="273" w:lineRule="auto"/>
        <w:rPr>
          <w:rFonts w:ascii="Times New Roman" w:hAnsi="Times New Roman"/>
          <w:kern w:val="0"/>
        </w:rPr>
      </w:pPr>
      <w:r>
        <w:rPr>
          <w:rFonts w:ascii="Times New Roman" w:hAnsi="Times New Roman"/>
          <w:kern w:val="0"/>
        </w:rPr>
        <w:t xml:space="preserve"> </w:t>
      </w:r>
    </w:p>
    <w:p w:rsidR="003D736C" w:rsidRDefault="003D736C" w:rsidP="003D736C">
      <w:pPr>
        <w:spacing w:after="100" w:afterAutospacing="1" w:line="273" w:lineRule="auto"/>
        <w:outlineLvl w:val="1"/>
        <w:rPr>
          <w:rFonts w:ascii="Times New Roman" w:hAnsi="Times New Roman"/>
          <w:b/>
          <w:bCs/>
          <w:kern w:val="0"/>
        </w:rPr>
      </w:pPr>
      <w:r>
        <w:rPr>
          <w:rFonts w:ascii="Times New Roman" w:hAnsi="Times New Roman"/>
          <w:b/>
          <w:bCs/>
          <w:kern w:val="0"/>
        </w:rPr>
        <w:t>3.3 Sampling</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 xml:space="preserve">Given the large and heterogeneous population, a </w:t>
      </w:r>
      <w:r>
        <w:rPr>
          <w:rFonts w:ascii="Times New Roman" w:hAnsi="Times New Roman"/>
          <w:b/>
          <w:bCs/>
          <w:kern w:val="0"/>
        </w:rPr>
        <w:t>stratified random sampling technique</w:t>
      </w:r>
      <w:r>
        <w:rPr>
          <w:rFonts w:ascii="Times New Roman" w:hAnsi="Times New Roman"/>
          <w:kern w:val="0"/>
        </w:rPr>
        <w:t xml:space="preserve"> was employed to ensure representation across different industries and business sizes (</w:t>
      </w:r>
      <w:proofErr w:type="spellStart"/>
      <w:r>
        <w:rPr>
          <w:rFonts w:ascii="Times New Roman" w:hAnsi="Times New Roman"/>
          <w:kern w:val="0"/>
        </w:rPr>
        <w:t>Etikan</w:t>
      </w:r>
      <w:proofErr w:type="spellEnd"/>
      <w:r>
        <w:rPr>
          <w:rFonts w:ascii="Times New Roman" w:hAnsi="Times New Roman"/>
          <w:kern w:val="0"/>
        </w:rPr>
        <w:t xml:space="preserve">, Musa, &amp; </w:t>
      </w:r>
      <w:proofErr w:type="spellStart"/>
      <w:r>
        <w:rPr>
          <w:rFonts w:ascii="Times New Roman" w:hAnsi="Times New Roman"/>
          <w:kern w:val="0"/>
        </w:rPr>
        <w:t>Alkassim</w:t>
      </w:r>
      <w:proofErr w:type="spellEnd"/>
      <w:r>
        <w:rPr>
          <w:rFonts w:ascii="Times New Roman" w:hAnsi="Times New Roman"/>
          <w:kern w:val="0"/>
        </w:rPr>
        <w:t>, 2016). Stratification involved dividing the population into subgroups based on industry (retail, services, manufacturing, hospitality) and size (small, medium) and randomly selecting participants from each subgroup. This method minimized sampling bias and ensured that the perspectives of all key SME stakeholders were included.</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lastRenderedPageBreak/>
        <w:t xml:space="preserve">A sample size of 150 SMEs was selected: 60 from retail, 40 from services, 25 from manufacturing, and 25 from hospitality. Each SME selected contributed data through survey questionnaires, and a subset of 30 SMEs (10 from retail, 10 from services, 5 from manufacturing, </w:t>
      </w:r>
      <w:proofErr w:type="gramStart"/>
      <w:r>
        <w:rPr>
          <w:rFonts w:ascii="Times New Roman" w:hAnsi="Times New Roman"/>
          <w:kern w:val="0"/>
        </w:rPr>
        <w:t>5</w:t>
      </w:r>
      <w:proofErr w:type="gramEnd"/>
      <w:r>
        <w:rPr>
          <w:rFonts w:ascii="Times New Roman" w:hAnsi="Times New Roman"/>
          <w:kern w:val="0"/>
        </w:rPr>
        <w:t xml:space="preserve"> from hospitality) participated in in-depth interviews. Stratified random sampling was essential because the challenges faced by SMEs varied widely by industry; for instance, manufacturing SMEs were more affected by disrupted supply chains, while retail SMEs were more impacted by reduced consumer demand.</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 xml:space="preserve">Randomization within each stratum was conducted using a lottery method to ensure that every SME had an equal chance of selection. This approach enhanced the reliability and generalizability of the research findings and allowed the study to capture both the breadth and depth of SME experiences during the COVID-19 pandemic (Cochran, 1977; </w:t>
      </w:r>
      <w:proofErr w:type="spellStart"/>
      <w:r>
        <w:rPr>
          <w:rFonts w:ascii="Times New Roman" w:hAnsi="Times New Roman"/>
          <w:kern w:val="0"/>
        </w:rPr>
        <w:t>Trochim</w:t>
      </w:r>
      <w:proofErr w:type="spellEnd"/>
      <w:r>
        <w:rPr>
          <w:rFonts w:ascii="Times New Roman" w:hAnsi="Times New Roman"/>
          <w:kern w:val="0"/>
        </w:rPr>
        <w:t>, Donnelly, &amp; Arora, 2016).</w:t>
      </w:r>
    </w:p>
    <w:p w:rsidR="003D736C" w:rsidRDefault="003D736C" w:rsidP="003D736C">
      <w:pPr>
        <w:spacing w:after="0" w:line="273" w:lineRule="auto"/>
        <w:rPr>
          <w:rFonts w:ascii="Times New Roman" w:hAnsi="Times New Roman"/>
          <w:kern w:val="0"/>
        </w:rPr>
      </w:pPr>
      <w:r>
        <w:rPr>
          <w:rFonts w:ascii="Times New Roman" w:hAnsi="Times New Roman"/>
          <w:kern w:val="0"/>
        </w:rPr>
        <w:t xml:space="preserve"> </w:t>
      </w:r>
    </w:p>
    <w:p w:rsidR="003D736C" w:rsidRDefault="003D736C" w:rsidP="003D736C">
      <w:pPr>
        <w:spacing w:after="100" w:afterAutospacing="1" w:line="273" w:lineRule="auto"/>
        <w:outlineLvl w:val="1"/>
        <w:rPr>
          <w:rFonts w:ascii="Times New Roman" w:hAnsi="Times New Roman"/>
          <w:b/>
          <w:bCs/>
          <w:kern w:val="0"/>
        </w:rPr>
      </w:pPr>
      <w:r>
        <w:rPr>
          <w:rFonts w:ascii="Times New Roman" w:hAnsi="Times New Roman"/>
          <w:b/>
          <w:bCs/>
          <w:kern w:val="0"/>
        </w:rPr>
        <w:t>3.4 Data Collection Procedures</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Data collection involved surveys, interviews, and document review. Surveys were distributed electronically to SME owners and managers via email and social media platforms. The surveys contained both closed-ended and open-ended questions. Closed-ended questions gathered quantitative data on revenue changes, employee layoffs, cash flow disruptions, operational adjustments, and access to government support programs. Open-ended questions explored qualitative insights, such as strategies adopted to survive lockdowns, managerial challenges, and perceptions of government policies.</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Semi-structured interviews were conducted with SME owners, managers, and selected industry association representatives to gain a deeper understanding of coping mechanisms and strategic adaptations. Interviews provided detailed narratives on decision-making processes, resource allocation, and operational innovations during the pandemic (Yin, 2018).</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 xml:space="preserve">Additionally, the study reviewed secondary data, including government reports, ZIMSTAT publications, industry association data, and media coverage of SME challenges during the pandemic. Triangulating survey responses, interviews, and secondary data ensured data richness, validity, and reliability. Observations of business operations in key urban </w:t>
      </w:r>
      <w:proofErr w:type="spellStart"/>
      <w:r>
        <w:rPr>
          <w:rFonts w:ascii="Times New Roman" w:hAnsi="Times New Roman"/>
          <w:kern w:val="0"/>
        </w:rPr>
        <w:t>centers</w:t>
      </w:r>
      <w:proofErr w:type="spellEnd"/>
      <w:r>
        <w:rPr>
          <w:rFonts w:ascii="Times New Roman" w:hAnsi="Times New Roman"/>
          <w:kern w:val="0"/>
        </w:rPr>
        <w:t xml:space="preserve"> were also conducted to complement survey and interview findings, providing a practical perspective on how SMEs managed restrictions and operational challenges.</w:t>
      </w:r>
    </w:p>
    <w:p w:rsidR="003D736C" w:rsidRDefault="003D736C" w:rsidP="003D736C">
      <w:pPr>
        <w:spacing w:after="0" w:line="273" w:lineRule="auto"/>
        <w:rPr>
          <w:rFonts w:ascii="Times New Roman" w:hAnsi="Times New Roman"/>
          <w:kern w:val="0"/>
        </w:rPr>
      </w:pPr>
      <w:r>
        <w:rPr>
          <w:rFonts w:ascii="Times New Roman" w:hAnsi="Times New Roman"/>
          <w:kern w:val="0"/>
        </w:rPr>
        <w:t xml:space="preserve"> </w:t>
      </w:r>
    </w:p>
    <w:p w:rsidR="003D736C" w:rsidRDefault="003D736C" w:rsidP="003D736C">
      <w:pPr>
        <w:spacing w:after="100" w:afterAutospacing="1" w:line="273" w:lineRule="auto"/>
        <w:outlineLvl w:val="1"/>
        <w:rPr>
          <w:rFonts w:ascii="Times New Roman" w:hAnsi="Times New Roman"/>
          <w:b/>
          <w:bCs/>
          <w:kern w:val="0"/>
        </w:rPr>
      </w:pPr>
      <w:r>
        <w:rPr>
          <w:rFonts w:ascii="Times New Roman" w:hAnsi="Times New Roman"/>
          <w:b/>
          <w:bCs/>
          <w:kern w:val="0"/>
        </w:rPr>
        <w:t>3.5 Data Analysis</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 xml:space="preserve">Quantitative data from surveys were </w:t>
      </w:r>
      <w:proofErr w:type="spellStart"/>
      <w:r>
        <w:rPr>
          <w:rFonts w:ascii="Times New Roman" w:hAnsi="Times New Roman"/>
          <w:kern w:val="0"/>
        </w:rPr>
        <w:t>analyzed</w:t>
      </w:r>
      <w:proofErr w:type="spellEnd"/>
      <w:r>
        <w:rPr>
          <w:rFonts w:ascii="Times New Roman" w:hAnsi="Times New Roman"/>
          <w:kern w:val="0"/>
        </w:rPr>
        <w:t xml:space="preserve"> using descriptive statistics, including frequencies, percentages, and means, to summarize SME revenue changes, employee reductions, and operational disruptions (Field, 2013). Inferential statistics, including chi-</w:t>
      </w:r>
      <w:r>
        <w:rPr>
          <w:rFonts w:ascii="Times New Roman" w:hAnsi="Times New Roman"/>
          <w:kern w:val="0"/>
        </w:rPr>
        <w:lastRenderedPageBreak/>
        <w:t>square tests and correlation analysis, were used to examine relationships between variables such as industry type and level of financial impact.</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 xml:space="preserve">Qualitative data from interviews and open-ended survey responses were </w:t>
      </w:r>
      <w:proofErr w:type="spellStart"/>
      <w:r>
        <w:rPr>
          <w:rFonts w:ascii="Times New Roman" w:hAnsi="Times New Roman"/>
          <w:kern w:val="0"/>
        </w:rPr>
        <w:t>analyzed</w:t>
      </w:r>
      <w:proofErr w:type="spellEnd"/>
      <w:r>
        <w:rPr>
          <w:rFonts w:ascii="Times New Roman" w:hAnsi="Times New Roman"/>
          <w:kern w:val="0"/>
        </w:rPr>
        <w:t xml:space="preserve"> using thematic analysis (Braun &amp; Clarke, 2006). Emerging themes included "financial resilience strategies," "supply chain disruptions," "employee management during lockdowns," and "digital adoption." Coding these themes enabled the researcher to identify patterns and understand the contextual factors influencing SME survival and adaptation during COVID-19.</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By combining quantitative and qualitative analysis, the study captured both the measurable operational impacts and the subjective experiences of SME managers. This dual approach provided a holistic understanding of how SMEs navigated the pandemic and informed recommendations for future crisis preparedness.</w:t>
      </w:r>
    </w:p>
    <w:p w:rsidR="003D736C" w:rsidRDefault="003D736C" w:rsidP="003D736C">
      <w:pPr>
        <w:spacing w:after="0" w:line="273" w:lineRule="auto"/>
        <w:rPr>
          <w:rFonts w:ascii="Times New Roman" w:hAnsi="Times New Roman"/>
          <w:kern w:val="0"/>
        </w:rPr>
      </w:pPr>
      <w:r>
        <w:rPr>
          <w:rFonts w:ascii="Times New Roman" w:hAnsi="Times New Roman"/>
          <w:kern w:val="0"/>
        </w:rPr>
        <w:t xml:space="preserve"> </w:t>
      </w:r>
    </w:p>
    <w:p w:rsidR="003D736C" w:rsidRDefault="003D736C" w:rsidP="003D736C">
      <w:pPr>
        <w:spacing w:after="100" w:afterAutospacing="1" w:line="273" w:lineRule="auto"/>
        <w:outlineLvl w:val="1"/>
        <w:rPr>
          <w:rFonts w:ascii="Times New Roman" w:hAnsi="Times New Roman"/>
          <w:b/>
          <w:bCs/>
          <w:kern w:val="0"/>
        </w:rPr>
      </w:pPr>
      <w:r>
        <w:rPr>
          <w:rFonts w:ascii="Times New Roman" w:hAnsi="Times New Roman"/>
          <w:b/>
          <w:bCs/>
          <w:kern w:val="0"/>
        </w:rPr>
        <w:t>3.6 Ethical Considerations</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 xml:space="preserve">Ethical standards were strictly observed throughout the study. Informed consent was obtained from all participants, who were fully briefed about the purpose of the study, data usage, and their right to withdraw at any time (American Psychological Association, 2017). Data confidentiality was maintained by </w:t>
      </w:r>
      <w:proofErr w:type="spellStart"/>
      <w:r>
        <w:rPr>
          <w:rFonts w:ascii="Times New Roman" w:hAnsi="Times New Roman"/>
          <w:kern w:val="0"/>
        </w:rPr>
        <w:t>anonymizing</w:t>
      </w:r>
      <w:proofErr w:type="spellEnd"/>
      <w:r>
        <w:rPr>
          <w:rFonts w:ascii="Times New Roman" w:hAnsi="Times New Roman"/>
          <w:kern w:val="0"/>
        </w:rPr>
        <w:t xml:space="preserve"> responses and assigning unique codes to SMEs. Sensitive financial and operational data were stored securely, with restricted access to the researcher only.</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The principle of non-maleficence was upheld, ensuring that participation did not pose harm to respondents. Care was taken to avoid questions that could create stress or financial exposure. Additionally, ethical approval was sought from the university research ethics committee prior to commencing data collection (</w:t>
      </w:r>
      <w:proofErr w:type="spellStart"/>
      <w:r>
        <w:rPr>
          <w:rFonts w:ascii="Times New Roman" w:hAnsi="Times New Roman"/>
          <w:kern w:val="0"/>
        </w:rPr>
        <w:t>Sanjari</w:t>
      </w:r>
      <w:proofErr w:type="spellEnd"/>
      <w:r>
        <w:rPr>
          <w:rFonts w:ascii="Times New Roman" w:hAnsi="Times New Roman"/>
          <w:kern w:val="0"/>
        </w:rPr>
        <w:t xml:space="preserve"> et al., 2014).</w:t>
      </w:r>
    </w:p>
    <w:p w:rsidR="003D736C" w:rsidRDefault="003D736C" w:rsidP="003D736C">
      <w:pPr>
        <w:spacing w:after="0" w:line="273" w:lineRule="auto"/>
        <w:rPr>
          <w:rFonts w:ascii="Times New Roman" w:hAnsi="Times New Roman"/>
          <w:kern w:val="0"/>
        </w:rPr>
      </w:pPr>
      <w:r>
        <w:rPr>
          <w:rFonts w:ascii="Times New Roman" w:hAnsi="Times New Roman"/>
          <w:kern w:val="0"/>
        </w:rPr>
        <w:t xml:space="preserve"> </w:t>
      </w:r>
    </w:p>
    <w:p w:rsidR="003D736C" w:rsidRDefault="003D736C" w:rsidP="003D736C">
      <w:pPr>
        <w:spacing w:after="0" w:line="273" w:lineRule="auto"/>
        <w:rPr>
          <w:rFonts w:ascii="Times New Roman" w:hAnsi="Times New Roman"/>
          <w:kern w:val="0"/>
        </w:rPr>
      </w:pPr>
      <w:r>
        <w:rPr>
          <w:rFonts w:ascii="Times New Roman" w:hAnsi="Times New Roman"/>
          <w:kern w:val="0"/>
        </w:rPr>
        <w:t xml:space="preserve"> </w:t>
      </w:r>
    </w:p>
    <w:p w:rsidR="003D736C" w:rsidRDefault="003D736C" w:rsidP="003D736C">
      <w:pPr>
        <w:spacing w:after="100" w:afterAutospacing="1" w:line="273" w:lineRule="auto"/>
        <w:outlineLvl w:val="1"/>
        <w:rPr>
          <w:rFonts w:ascii="Times New Roman" w:hAnsi="Times New Roman"/>
          <w:b/>
          <w:bCs/>
          <w:kern w:val="0"/>
        </w:rPr>
      </w:pPr>
      <w:r>
        <w:rPr>
          <w:rFonts w:ascii="Times New Roman" w:hAnsi="Times New Roman"/>
          <w:b/>
          <w:bCs/>
          <w:kern w:val="0"/>
        </w:rPr>
        <w:t>3.7 Reliability</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Reliability was ensured through pilot testing of survey instruments with a small group of SME owners. This helped identify ambiguities or inconsistencies in the questions. Standardized procedures were used for both surveys and interviews to maintain consistency in data collection (Creswell, 2014).</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Inter-</w:t>
      </w:r>
      <w:proofErr w:type="spellStart"/>
      <w:r>
        <w:rPr>
          <w:rFonts w:ascii="Times New Roman" w:hAnsi="Times New Roman"/>
          <w:kern w:val="0"/>
        </w:rPr>
        <w:t>rater</w:t>
      </w:r>
      <w:proofErr w:type="spellEnd"/>
      <w:r>
        <w:rPr>
          <w:rFonts w:ascii="Times New Roman" w:hAnsi="Times New Roman"/>
          <w:kern w:val="0"/>
        </w:rPr>
        <w:t xml:space="preserve"> reliability was applied in qualitative analysis, with multiple coders independently </w:t>
      </w:r>
      <w:proofErr w:type="spellStart"/>
      <w:r>
        <w:rPr>
          <w:rFonts w:ascii="Times New Roman" w:hAnsi="Times New Roman"/>
          <w:kern w:val="0"/>
        </w:rPr>
        <w:t>analyzing</w:t>
      </w:r>
      <w:proofErr w:type="spellEnd"/>
      <w:r>
        <w:rPr>
          <w:rFonts w:ascii="Times New Roman" w:hAnsi="Times New Roman"/>
          <w:kern w:val="0"/>
        </w:rPr>
        <w:t xml:space="preserve"> interview transcripts. Discrepancies were discussed and reconciled to enhance </w:t>
      </w:r>
      <w:r>
        <w:rPr>
          <w:rFonts w:ascii="Times New Roman" w:hAnsi="Times New Roman"/>
          <w:kern w:val="0"/>
        </w:rPr>
        <w:lastRenderedPageBreak/>
        <w:t>consistency (Landis &amp; Koch, 1977). These measures ensured that the findings were dependable and reproducible across similar SME contexts.</w:t>
      </w:r>
    </w:p>
    <w:p w:rsidR="003D736C" w:rsidRDefault="003D736C" w:rsidP="003D736C">
      <w:pPr>
        <w:spacing w:after="0" w:line="273" w:lineRule="auto"/>
        <w:rPr>
          <w:rFonts w:ascii="Times New Roman" w:hAnsi="Times New Roman"/>
          <w:kern w:val="0"/>
        </w:rPr>
      </w:pPr>
      <w:r>
        <w:rPr>
          <w:rFonts w:ascii="Times New Roman" w:hAnsi="Times New Roman"/>
          <w:kern w:val="0"/>
        </w:rPr>
        <w:t xml:space="preserve"> </w:t>
      </w:r>
    </w:p>
    <w:p w:rsidR="003D736C" w:rsidRDefault="003D736C" w:rsidP="003D736C">
      <w:pPr>
        <w:spacing w:after="100" w:afterAutospacing="1" w:line="273" w:lineRule="auto"/>
        <w:outlineLvl w:val="1"/>
        <w:rPr>
          <w:rFonts w:ascii="Times New Roman" w:hAnsi="Times New Roman"/>
          <w:b/>
          <w:bCs/>
          <w:kern w:val="0"/>
        </w:rPr>
      </w:pPr>
      <w:r>
        <w:rPr>
          <w:rFonts w:ascii="Times New Roman" w:hAnsi="Times New Roman"/>
          <w:b/>
          <w:bCs/>
          <w:kern w:val="0"/>
        </w:rPr>
        <w:t>3.8 Validity</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Validity was enhanced through content validity, ensuring that survey and interview questions covered all relevant aspects of SME operations, financial performance, and adaptation strategies (</w:t>
      </w:r>
      <w:proofErr w:type="spellStart"/>
      <w:r>
        <w:rPr>
          <w:rFonts w:ascii="Times New Roman" w:hAnsi="Times New Roman"/>
          <w:kern w:val="0"/>
        </w:rPr>
        <w:t>DeVellis</w:t>
      </w:r>
      <w:proofErr w:type="spellEnd"/>
      <w:r>
        <w:rPr>
          <w:rFonts w:ascii="Times New Roman" w:hAnsi="Times New Roman"/>
          <w:kern w:val="0"/>
        </w:rPr>
        <w:t>, 2016). Construct validity was maintained by aligning questions with theoretical frameworks on SME resilience, business continuity, and crisis management (Hair et al., 2010). Internal validity was addressed by controlling for confounding factors such as business size and industry type. External validity was considered by comparing findings to national SME data, allowing results to be generalized to similar contexts in Zimbabwe (</w:t>
      </w:r>
      <w:proofErr w:type="spellStart"/>
      <w:r>
        <w:rPr>
          <w:rFonts w:ascii="Times New Roman" w:hAnsi="Times New Roman"/>
          <w:kern w:val="0"/>
        </w:rPr>
        <w:t>Shadish</w:t>
      </w:r>
      <w:proofErr w:type="spellEnd"/>
      <w:r>
        <w:rPr>
          <w:rFonts w:ascii="Times New Roman" w:hAnsi="Times New Roman"/>
          <w:kern w:val="0"/>
        </w:rPr>
        <w:t>, Cook, &amp; Campbell, 2002).</w:t>
      </w:r>
    </w:p>
    <w:p w:rsidR="003D736C" w:rsidRDefault="003D736C" w:rsidP="003D736C">
      <w:pPr>
        <w:spacing w:after="0" w:line="273" w:lineRule="auto"/>
        <w:rPr>
          <w:rFonts w:ascii="Times New Roman" w:hAnsi="Times New Roman"/>
          <w:kern w:val="0"/>
        </w:rPr>
      </w:pPr>
      <w:r>
        <w:rPr>
          <w:rFonts w:ascii="Times New Roman" w:hAnsi="Times New Roman"/>
          <w:kern w:val="0"/>
        </w:rPr>
        <w:t xml:space="preserve"> </w:t>
      </w:r>
    </w:p>
    <w:p w:rsidR="003D736C" w:rsidRDefault="003D736C" w:rsidP="003D736C">
      <w:pPr>
        <w:spacing w:after="100" w:afterAutospacing="1" w:line="273" w:lineRule="auto"/>
        <w:outlineLvl w:val="1"/>
        <w:rPr>
          <w:rFonts w:ascii="Times New Roman" w:hAnsi="Times New Roman"/>
          <w:b/>
          <w:bCs/>
          <w:kern w:val="0"/>
        </w:rPr>
      </w:pPr>
      <w:proofErr w:type="gramStart"/>
      <w:r>
        <w:rPr>
          <w:rFonts w:ascii="Times New Roman" w:hAnsi="Times New Roman"/>
          <w:b/>
          <w:bCs/>
          <w:kern w:val="0"/>
        </w:rPr>
        <w:t>3.9  Summary</w:t>
      </w:r>
      <w:proofErr w:type="gramEnd"/>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This chapter provided a detailed overview of the methodology for examining the impact of the COVID-19 pandemic on SMEs in Zimbabwe. A mixed-methods design was employed to capture both quantitative and qualitative data. The population consisted of SMEs across multiple industries, and stratified random sampling ensured representative inclusion. Data collection involved surveys, interviews, and secondary document review, while data analysis combined descriptive statistics and thematic analysis. Ethical considerations, reliability, and validity were carefully addressed to ensure the study’s rigor. The methodology provides a strong foundation for understanding the operational, financial, and strategic impacts of COVID-19 on SMEs and informs the subsequent chapters on data presentation, analysis, and recommendations.</w:t>
      </w:r>
    </w:p>
    <w:p w:rsidR="003D736C" w:rsidRDefault="003D736C" w:rsidP="003D736C">
      <w:pPr>
        <w:spacing w:after="100" w:afterAutospacing="1" w:line="273" w:lineRule="auto"/>
        <w:rPr>
          <w:rFonts w:ascii="Times New Roman" w:hAnsi="Times New Roman"/>
          <w:kern w:val="0"/>
        </w:rPr>
      </w:pPr>
      <w:r>
        <w:rPr>
          <w:rFonts w:ascii="Times New Roman" w:hAnsi="Times New Roman"/>
          <w:kern w:val="0"/>
        </w:rPr>
        <w:t xml:space="preserve"> </w:t>
      </w:r>
    </w:p>
    <w:p w:rsidR="0053572B" w:rsidRDefault="0053572B">
      <w:bookmarkStart w:id="0" w:name="_GoBack"/>
      <w:bookmarkEnd w:id="0"/>
    </w:p>
    <w:sectPr w:rsidR="00535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36C"/>
    <w:rsid w:val="001A7937"/>
    <w:rsid w:val="003D736C"/>
    <w:rsid w:val="0053572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7F8A1F-F9A4-41DF-A920-192AC91E4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36C"/>
    <w:pPr>
      <w:spacing w:before="100" w:beforeAutospacing="1" w:after="160"/>
    </w:pPr>
    <w:rPr>
      <w:rFonts w:ascii="Calibri" w:eastAsia="Times New Roman" w:hAnsi="Calibri" w:cs="Times New Roman"/>
      <w:kern w:val="2"/>
      <w:sz w:val="24"/>
      <w:szCs w:val="24"/>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176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1737</Words>
  <Characters>9902</Characters>
  <Application>Microsoft Office Word</Application>
  <DocSecurity>0</DocSecurity>
  <Lines>82</Lines>
  <Paragraphs>23</Paragraphs>
  <ScaleCrop>false</ScaleCrop>
  <Company/>
  <LinksUpToDate>false</LinksUpToDate>
  <CharactersWithSpaces>11616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2026-05-14T18:17:00Z</dcterms:created>
  <dcterms:modified xsi:type="dcterms:W3CDTF">2026-05-14T18:18:00Z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2fcd99bc-d9d7-435d-90b1-7b7f202cecfd</vt:lpwstr>
  </property>
</Properties>
</file>