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5E4" w:rsidRDefault="001435E4" w:rsidP="001435E4">
      <w:pPr>
        <w:spacing w:after="100" w:afterAutospacing="1" w:line="273" w:lineRule="auto"/>
        <w:outlineLvl w:val="0"/>
        <w:rPr>
          <w:rFonts w:ascii="Times New Roman" w:hAnsi="Times New Roman"/>
          <w:b/>
          <w:bCs/>
          <w:kern w:val="36"/>
        </w:rPr>
      </w:pPr>
      <w:r>
        <w:rPr>
          <w:rFonts w:ascii="Times New Roman" w:hAnsi="Times New Roman"/>
          <w:b/>
          <w:bCs/>
          <w:kern w:val="36"/>
        </w:rPr>
        <w:t>CHAPTER FIVE: SUMMARY, CONCLUSIONS, AND RECOMMENDATIONS</w:t>
      </w:r>
    </w:p>
    <w:p w:rsidR="001435E4" w:rsidRDefault="001435E4" w:rsidP="001435E4">
      <w:pPr>
        <w:spacing w:after="100" w:afterAutospacing="1" w:line="273" w:lineRule="auto"/>
        <w:outlineLvl w:val="1"/>
        <w:rPr>
          <w:rFonts w:ascii="Times New Roman" w:hAnsi="Times New Roman"/>
          <w:b/>
          <w:bCs/>
          <w:kern w:val="0"/>
        </w:rPr>
      </w:pPr>
      <w:r>
        <w:rPr>
          <w:rFonts w:ascii="Times New Roman" w:hAnsi="Times New Roman"/>
          <w:b/>
          <w:bCs/>
          <w:kern w:val="0"/>
        </w:rPr>
        <w:t>5.0 Summary</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This study investigated the impact of the COVID-19 pandemic on the operations and survival of small and medium enterprises (SMEs) in Zimbabwe. The research sought to understand the challenges SMEs faced during the pandemic, the strategies adopted to mitigate its effects, and the factors influencing business resilience. Using a mixed-methods approach, data were collected through surveys, interviews, and secondary sources from 150 SMEs across multiple sectors, including retail, services, manufacturing, and hospitality.</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The quantitative findings revealed that a significant majority of SMEs experienced revenue declines, supply chain disruptions, and reductions in workforce. Specifically, 78% of respondents reported substantial revenue losses, with hospitality SMEs being the most affected due to government-imposed travel restrictions and lockdown measures. Operational disruptions included limited access to raw materials, difficulties in maintaining customer demand, and interruptions in service delivery. Furthermore, approximately 50% of SMEs had to implement workforce reductions or salary cuts to sustain their operations, highlighting the human resource challenges that accompanied financial strain.</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Qualitative analysis provided additional insights into the adaptive strategies employed by SMEs. These included digital adoption, such as online sales and social media marketing, cost-cutting measures, workforce retraining, and diversification of revenue streams. However, the research also revealed systemic barriers, including limited access to government support, lack of awareness about relief programs, and technological constraints for digitally underserved businesses. Overall, the study demonstrates that while SMEs displayed resilience and adaptability, the COVID-19 pandemic significantly disrupted their operations and threatened their survival.</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The findings underscore the importance of strategic planning, digital innovation, and institutional support as critical determinants of SME survival during unprecedented crises. The data collected not only highlights the vulnerabilities of SMEs but also provides evidence-based insights into the strategies and interventions that can enhance resilience in similar contexts in the future.</w:t>
      </w:r>
    </w:p>
    <w:p w:rsidR="001435E4" w:rsidRDefault="001435E4" w:rsidP="001435E4">
      <w:pPr>
        <w:spacing w:after="0" w:line="273" w:lineRule="auto"/>
        <w:rPr>
          <w:rFonts w:ascii="Times New Roman" w:hAnsi="Times New Roman"/>
          <w:kern w:val="0"/>
        </w:rPr>
      </w:pPr>
      <w:r>
        <w:rPr>
          <w:rFonts w:ascii="Times New Roman" w:hAnsi="Times New Roman"/>
          <w:kern w:val="0"/>
        </w:rPr>
        <w:t xml:space="preserve"> </w:t>
      </w:r>
    </w:p>
    <w:p w:rsidR="001435E4" w:rsidRDefault="001435E4" w:rsidP="001435E4">
      <w:pPr>
        <w:spacing w:after="100" w:afterAutospacing="1" w:line="273" w:lineRule="auto"/>
        <w:outlineLvl w:val="1"/>
        <w:rPr>
          <w:rFonts w:ascii="Times New Roman" w:hAnsi="Times New Roman"/>
          <w:b/>
          <w:bCs/>
          <w:kern w:val="0"/>
        </w:rPr>
      </w:pPr>
      <w:r>
        <w:rPr>
          <w:rFonts w:ascii="Times New Roman" w:hAnsi="Times New Roman"/>
          <w:b/>
          <w:bCs/>
          <w:kern w:val="0"/>
        </w:rPr>
        <w:t>5.1 Conclusions</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Based on the analysis of quantitative and qualitative data, several key conclusions were drawn from this study:</w:t>
      </w:r>
    </w:p>
    <w:p w:rsidR="001435E4" w:rsidRDefault="001435E4" w:rsidP="001435E4">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b/>
          <w:bCs/>
          <w:kern w:val="0"/>
        </w:rPr>
        <w:t>Severe operational and financial disruptions</w:t>
      </w:r>
      <w:r>
        <w:rPr>
          <w:rFonts w:ascii="Times New Roman" w:hAnsi="Times New Roman"/>
          <w:kern w:val="0"/>
        </w:rPr>
        <w:br/>
        <w:t xml:space="preserve">The COVID-19 pandemic caused significant operational and financial disruptions for SMEs in Zimbabwe. Revenue losses were widespread, with hospitality and </w:t>
      </w:r>
      <w:r>
        <w:rPr>
          <w:rFonts w:ascii="Times New Roman" w:hAnsi="Times New Roman"/>
          <w:kern w:val="0"/>
        </w:rPr>
        <w:lastRenderedPageBreak/>
        <w:t>manufacturing enterprises being disproportionately affected. Supply chain interruptions, reduced customer demand, and compliance with government restrictions amplified the challenges faced by SMEs. The study concludes that SMEs without financial buffers or contingency plans were particularly vulnerable to business failure during the pandemic.</w:t>
      </w:r>
    </w:p>
    <w:p w:rsidR="001435E4" w:rsidRDefault="001435E4" w:rsidP="001435E4">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b/>
          <w:bCs/>
          <w:kern w:val="0"/>
        </w:rPr>
        <w:t>Workforce management challenges</w:t>
      </w:r>
      <w:r>
        <w:rPr>
          <w:rFonts w:ascii="Times New Roman" w:hAnsi="Times New Roman"/>
          <w:kern w:val="0"/>
        </w:rPr>
        <w:br/>
      </w:r>
      <w:proofErr w:type="gramStart"/>
      <w:r>
        <w:rPr>
          <w:rFonts w:ascii="Times New Roman" w:hAnsi="Times New Roman"/>
          <w:kern w:val="0"/>
        </w:rPr>
        <w:t>The</w:t>
      </w:r>
      <w:proofErr w:type="gramEnd"/>
      <w:r>
        <w:rPr>
          <w:rFonts w:ascii="Times New Roman" w:hAnsi="Times New Roman"/>
          <w:kern w:val="0"/>
        </w:rPr>
        <w:t xml:space="preserve"> pandemic significantly impacted human resource management. Many SMEs were forced to reduce staff numbers, implement salary cuts, or adopt flexible working arrangements. These measures, while necessary for business survival, had consequences for employee morale and organizational productivity. The study concludes that effective workforce management strategies, including staff retraining and role diversification, were critical in sustaining operations during crises.</w:t>
      </w:r>
    </w:p>
    <w:p w:rsidR="001435E4" w:rsidRDefault="001435E4" w:rsidP="001435E4">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b/>
          <w:bCs/>
          <w:kern w:val="0"/>
        </w:rPr>
        <w:t>Digital adoption as a key resilience factor</w:t>
      </w:r>
      <w:r>
        <w:rPr>
          <w:rFonts w:ascii="Times New Roman" w:hAnsi="Times New Roman"/>
          <w:kern w:val="0"/>
        </w:rPr>
        <w:br/>
        <w:t>SMEs that leveraged digital technologies, such as e-commerce platforms, social media marketing, and mobile payment systems, were better able to maintain operations and customer engagement. The study concludes that digital capacity was a crucial determinant of resilience, with technology adoption enabling SMEs to adapt quickly to changing market conditions and reduce losses.</w:t>
      </w:r>
    </w:p>
    <w:p w:rsidR="001435E4" w:rsidRDefault="001435E4" w:rsidP="001435E4">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b/>
          <w:bCs/>
          <w:kern w:val="0"/>
        </w:rPr>
        <w:t>Limited access to Institutional support</w:t>
      </w:r>
      <w:r>
        <w:rPr>
          <w:rFonts w:ascii="Times New Roman" w:hAnsi="Times New Roman"/>
          <w:kern w:val="0"/>
        </w:rPr>
        <w:br/>
      </w:r>
      <w:proofErr w:type="gramStart"/>
      <w:r>
        <w:rPr>
          <w:rFonts w:ascii="Times New Roman" w:hAnsi="Times New Roman"/>
          <w:kern w:val="0"/>
        </w:rPr>
        <w:t>The</w:t>
      </w:r>
      <w:proofErr w:type="gramEnd"/>
      <w:r>
        <w:rPr>
          <w:rFonts w:ascii="Times New Roman" w:hAnsi="Times New Roman"/>
          <w:kern w:val="0"/>
        </w:rPr>
        <w:t xml:space="preserve"> research found that most SMEs faced challenges in accessing government relief programs and financial assistance. Bureaucratic procedures, lack of awareness, and slow disbursement of funds limited the effectiveness of institutional support. The study concludes that there is a critical need for more accessible, transparent, and responsive government interventions to support SMEs during crises.</w:t>
      </w:r>
    </w:p>
    <w:p w:rsidR="001435E4" w:rsidRDefault="001435E4" w:rsidP="001435E4">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b/>
          <w:bCs/>
          <w:kern w:val="0"/>
        </w:rPr>
        <w:t>Strategic planning and adaptive management are essential</w:t>
      </w:r>
      <w:r>
        <w:rPr>
          <w:rFonts w:ascii="Times New Roman" w:hAnsi="Times New Roman"/>
          <w:kern w:val="0"/>
        </w:rPr>
        <w:br/>
        <w:t>The study concludes that SMEs with prior contingency planning, diversified revenue streams, and adaptive management practices were more likely to survive and sustain operations. Strategic foresight, flexibility, and proactive decision-making were identified as key factors that enhance business continuity during unexpected disruptions.</w:t>
      </w:r>
    </w:p>
    <w:p w:rsidR="001435E4" w:rsidRDefault="001435E4" w:rsidP="001435E4">
      <w:pPr>
        <w:spacing w:after="100" w:afterAutospacing="1" w:line="273" w:lineRule="auto"/>
        <w:outlineLvl w:val="1"/>
        <w:rPr>
          <w:rFonts w:ascii="Times New Roman" w:hAnsi="Times New Roman"/>
          <w:b/>
          <w:bCs/>
          <w:kern w:val="0"/>
        </w:rPr>
      </w:pPr>
      <w:r>
        <w:rPr>
          <w:rFonts w:ascii="Times New Roman" w:hAnsi="Times New Roman"/>
          <w:b/>
          <w:bCs/>
          <w:kern w:val="0"/>
        </w:rPr>
        <w:t>5.2 Recommendations</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Based on the findings and conclusions of this study, the following recommendations are proposed to improve the resilience and survival of SMEs in Zimbabwe during crises:</w:t>
      </w:r>
    </w:p>
    <w:p w:rsidR="001435E4" w:rsidRDefault="001435E4" w:rsidP="001435E4">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b/>
          <w:bCs/>
          <w:kern w:val="0"/>
        </w:rPr>
        <w:t>Strengthening digital capacity</w:t>
      </w:r>
      <w:r>
        <w:rPr>
          <w:rFonts w:ascii="Times New Roman" w:hAnsi="Times New Roman"/>
          <w:kern w:val="0"/>
        </w:rPr>
        <w:br/>
        <w:t xml:space="preserve">SMEs should prioritize digital adoption to enhance operational flexibility. This includes investing in e-commerce platforms, digital marketing, online customer </w:t>
      </w:r>
      <w:proofErr w:type="gramStart"/>
      <w:r>
        <w:rPr>
          <w:rFonts w:ascii="Times New Roman" w:hAnsi="Times New Roman"/>
          <w:kern w:val="0"/>
        </w:rPr>
        <w:t>service</w:t>
      </w:r>
      <w:proofErr w:type="gramEnd"/>
      <w:r>
        <w:rPr>
          <w:rFonts w:ascii="Times New Roman" w:hAnsi="Times New Roman"/>
          <w:kern w:val="0"/>
        </w:rPr>
        <w:t>, and digital payment solutions. Policymakers and development partners should provide training and support to ensure SMEs with limited digital skills can adopt technology effectively.</w:t>
      </w:r>
    </w:p>
    <w:p w:rsidR="001435E4" w:rsidRDefault="001435E4" w:rsidP="001435E4">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b/>
          <w:bCs/>
          <w:kern w:val="0"/>
        </w:rPr>
        <w:t>Enhancing access to Government support</w:t>
      </w:r>
      <w:r>
        <w:rPr>
          <w:rFonts w:ascii="Times New Roman" w:hAnsi="Times New Roman"/>
          <w:kern w:val="0"/>
        </w:rPr>
        <w:br/>
      </w:r>
      <w:proofErr w:type="gramStart"/>
      <w:r>
        <w:rPr>
          <w:rFonts w:ascii="Times New Roman" w:hAnsi="Times New Roman"/>
          <w:kern w:val="0"/>
        </w:rPr>
        <w:t>The</w:t>
      </w:r>
      <w:proofErr w:type="gramEnd"/>
      <w:r>
        <w:rPr>
          <w:rFonts w:ascii="Times New Roman" w:hAnsi="Times New Roman"/>
          <w:kern w:val="0"/>
        </w:rPr>
        <w:t xml:space="preserve"> government should simplify access to relief programs and provide timely </w:t>
      </w:r>
      <w:r>
        <w:rPr>
          <w:rFonts w:ascii="Times New Roman" w:hAnsi="Times New Roman"/>
          <w:kern w:val="0"/>
        </w:rPr>
        <w:lastRenderedPageBreak/>
        <w:t>financial assistance to SMEs. Awareness campaigns, streamlined application processes, and transparent disbursement mechanisms would increase the effectiveness of support programs, particularly for small enterprises that may lack formal administrative capacity.</w:t>
      </w:r>
    </w:p>
    <w:p w:rsidR="001435E4" w:rsidRDefault="001435E4" w:rsidP="001435E4">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b/>
          <w:bCs/>
          <w:kern w:val="0"/>
        </w:rPr>
        <w:t>Building financial resilience</w:t>
      </w:r>
      <w:r>
        <w:rPr>
          <w:rFonts w:ascii="Times New Roman" w:hAnsi="Times New Roman"/>
          <w:kern w:val="0"/>
        </w:rPr>
        <w:br/>
        <w:t>SMEs should establish financial buffers and contingency plans to manage unforeseen disruptions. This may include creating emergency funds, securing flexible credit lines, and diversifying revenue streams to reduce dependence on a single market segment.</w:t>
      </w:r>
    </w:p>
    <w:p w:rsidR="001435E4" w:rsidRDefault="001435E4" w:rsidP="001435E4">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b/>
          <w:bCs/>
          <w:kern w:val="0"/>
        </w:rPr>
        <w:t>Investing in workforce flexibility</w:t>
      </w:r>
      <w:r>
        <w:rPr>
          <w:rFonts w:ascii="Times New Roman" w:hAnsi="Times New Roman"/>
          <w:kern w:val="0"/>
        </w:rPr>
        <w:br/>
        <w:t>SMEs should adopt workforce management strategies that enhance resilience, such as cross-training employees, promoting flexible work arrangements, and ensuring clear communication with staff during crises. Human resource policies should aim to balance operational needs with employee welfare to maintain morale and productivity.</w:t>
      </w:r>
    </w:p>
    <w:p w:rsidR="001435E4" w:rsidRDefault="001435E4" w:rsidP="001435E4">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b/>
          <w:bCs/>
          <w:kern w:val="0"/>
        </w:rPr>
        <w:t>Developing strategic and adaptive Business Models</w:t>
      </w:r>
      <w:r>
        <w:rPr>
          <w:rFonts w:ascii="Times New Roman" w:hAnsi="Times New Roman"/>
          <w:kern w:val="0"/>
        </w:rPr>
        <w:br/>
        <w:t>SMEs should incorporate crisis preparedness into strategic planning. This involves conducting risk assessments, scenario planning, and regularly reviewing operational policies to anticipate and respond effectively to future disruptions. Collaboration with industry associations and networks can also facilitate knowledge sharing and best practices during crises.</w:t>
      </w:r>
    </w:p>
    <w:p w:rsidR="001435E4" w:rsidRDefault="001435E4" w:rsidP="001435E4">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b/>
          <w:bCs/>
          <w:kern w:val="0"/>
        </w:rPr>
        <w:t>Encouraging sector-specific interventions</w:t>
      </w:r>
      <w:r>
        <w:rPr>
          <w:rFonts w:ascii="Times New Roman" w:hAnsi="Times New Roman"/>
          <w:kern w:val="0"/>
        </w:rPr>
        <w:br/>
        <w:t>Different sectors experienced varying levels of impact; therefore, interventions should be tailored to the needs of specific industries. For example, hospitality and tourism SMEs may benefit from targeted financial aid and marketing support, while retail and service SMEs may require digital infrastructure and training programs.</w:t>
      </w:r>
    </w:p>
    <w:p w:rsidR="001435E4" w:rsidRDefault="001435E4" w:rsidP="001435E4">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b/>
          <w:bCs/>
          <w:kern w:val="0"/>
        </w:rPr>
        <w:t>Promoting SME Networks and collaboration</w:t>
      </w:r>
      <w:r>
        <w:rPr>
          <w:rFonts w:ascii="Times New Roman" w:hAnsi="Times New Roman"/>
          <w:kern w:val="0"/>
        </w:rPr>
        <w:br/>
        <w:t>Building strong SME networks and collaborations can enhance resilience by facilitating resource sharing, collective bargaining, and access to market opportunities. Government, NGOs, and private sector partnerships can support these networks to provide technical, financial, and advisory assistance during crises.</w:t>
      </w:r>
    </w:p>
    <w:p w:rsidR="001435E4" w:rsidRDefault="001435E4" w:rsidP="001435E4">
      <w:pPr>
        <w:spacing w:after="0" w:line="273" w:lineRule="auto"/>
        <w:rPr>
          <w:rFonts w:ascii="Times New Roman" w:hAnsi="Times New Roman"/>
          <w:kern w:val="0"/>
        </w:rPr>
      </w:pPr>
      <w:r>
        <w:rPr>
          <w:rFonts w:ascii="Times New Roman" w:hAnsi="Times New Roman"/>
          <w:kern w:val="0"/>
        </w:rPr>
        <w:t xml:space="preserve"> </w:t>
      </w:r>
    </w:p>
    <w:p w:rsidR="001435E4" w:rsidRDefault="001435E4" w:rsidP="001435E4">
      <w:pPr>
        <w:spacing w:after="100" w:afterAutospacing="1" w:line="273" w:lineRule="auto"/>
        <w:outlineLvl w:val="1"/>
        <w:rPr>
          <w:rFonts w:ascii="Times New Roman" w:hAnsi="Times New Roman"/>
          <w:b/>
          <w:bCs/>
          <w:kern w:val="0"/>
        </w:rPr>
      </w:pPr>
      <w:r>
        <w:rPr>
          <w:rFonts w:ascii="Times New Roman" w:hAnsi="Times New Roman"/>
          <w:b/>
          <w:bCs/>
          <w:kern w:val="0"/>
        </w:rPr>
        <w:t>5.3 Chapter Summary</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This chapter summarized the study’s key findings, drew conclusions, and provided actionable recommendations for SMEs, policymakers, and stakeholders. The research demonstrated that the COVID-19 pandemic had a profound impact on SME operations in Zimbabwe, affecting revenue, workforce, supply chains, and overall business continuity. Adaptive strategies such as digital adoption, cost reduction, and workforce flexibility were crucial for survival. However, the study also highlighted systemic challenges, particularly limited access to institutional support and inadequate strategic planning.</w:t>
      </w:r>
    </w:p>
    <w:p w:rsidR="001435E4" w:rsidRDefault="001435E4" w:rsidP="001435E4">
      <w:pPr>
        <w:spacing w:after="100" w:afterAutospacing="1" w:line="273" w:lineRule="auto"/>
        <w:rPr>
          <w:rFonts w:ascii="Times New Roman" w:hAnsi="Times New Roman"/>
          <w:kern w:val="0"/>
        </w:rPr>
      </w:pPr>
      <w:r>
        <w:rPr>
          <w:rFonts w:ascii="Times New Roman" w:hAnsi="Times New Roman"/>
          <w:kern w:val="0"/>
        </w:rPr>
        <w:t xml:space="preserve">The conclusions emphasize that SMEs must invest in resilience-building measures, including digital capacity, strategic management, financial buffers, and workforce flexibility. Similarly, </w:t>
      </w:r>
      <w:r>
        <w:rPr>
          <w:rFonts w:ascii="Times New Roman" w:hAnsi="Times New Roman"/>
          <w:kern w:val="0"/>
        </w:rPr>
        <w:lastRenderedPageBreak/>
        <w:t>policymakers and development agencies must design accessible, timely, and sector-specific support mechanisms to mitigate the effects of future crises. The recommendations provided in this chapter offer a roadmap for strengthening SME resilience and ensuring the long-term sustainability of these critical contributors to Zimbabwe’s economy.</w:t>
      </w:r>
    </w:p>
    <w:p w:rsidR="0053572B" w:rsidRDefault="0053572B">
      <w:bookmarkStart w:id="0" w:name="_GoBack"/>
      <w:bookmarkEnd w:id="0"/>
    </w:p>
    <w:sectPr w:rsidR="0053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C1F7C"/>
    <w:multiLevelType w:val="multilevel"/>
    <w:tmpl w:val="012C536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nsid w:val="58DA693C"/>
    <w:multiLevelType w:val="multilevel"/>
    <w:tmpl w:val="E34C803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5E4"/>
    <w:rsid w:val="001435E4"/>
    <w:rsid w:val="001A7937"/>
    <w:rsid w:val="0053572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33D0CF-7160-44DB-AD20-B66EEACB2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5E4"/>
    <w:pPr>
      <w:spacing w:before="100" w:beforeAutospacing="1" w:after="160"/>
    </w:pPr>
    <w:rPr>
      <w:rFonts w:ascii="Calibri" w:eastAsia="Times New Roman" w:hAnsi="Calibri" w:cs="Times New Roman"/>
      <w:kern w:val="2"/>
      <w:sz w:val="24"/>
      <w:szCs w:val="24"/>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06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1289</Words>
  <Characters>7350</Characters>
  <Application>Microsoft Office Word</Application>
  <DocSecurity>0</DocSecurity>
  <Lines>61</Lines>
  <Paragraphs>17</Paragraphs>
  <ScaleCrop>false</ScaleCrop>
  <Company/>
  <LinksUpToDate>false</LinksUpToDate>
  <CharactersWithSpaces>8622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2026-05-14T19:27:00Z</dcterms:created>
  <dcterms:modified xsi:type="dcterms:W3CDTF">2026-05-14T19:29:00Z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e908bd4d-29d6-4474-bcd6-04136afe9c3e</vt:lpwstr>
  </property>
</Properties>
</file>