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784752"/>
          <w:sz w:val="44"/>
        </w:rPr>
        <w:t>MONTHLY ADMINISTRATIVE SUMMARY</w:t>
      </w:r>
    </w:p>
    <w:p>
      <w:pPr>
        <w:jc w:val="center"/>
      </w:pPr>
      <w:r>
        <w:rPr>
          <w:i/>
          <w:color w:val="78696C"/>
        </w:rPr>
        <w:t>Sample Report | September 2026</w:t>
      </w:r>
    </w:p>
    <w:p>
      <w:r>
        <w:t>Prepared by: Administrative Support | Reporting period: September 1–30, 2026</w:t>
      </w:r>
    </w:p>
    <w:p>
      <w:r>
        <w:rPr>
          <w:b/>
        </w:rPr>
        <w:t xml:space="preserve">Purpose. </w:t>
      </w:r>
      <w:r>
        <w:t>This sample demonstrates how routine records can be summarized into a concise, readable monthly update. All figures and business details are fictional and provided for portfolio demonstration only.</w:t>
      </w:r>
    </w:p>
    <w:p>
      <w:pPr>
        <w:pStyle w:val="Heading1"/>
      </w:pPr>
      <w:r>
        <w:t>1. Monthly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7847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312"/>
            <w:vAlign w:val="center"/>
            <w:shd w:fill="7847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Sample Result</w:t>
            </w:r>
          </w:p>
        </w:tc>
        <w:tc>
          <w:tcPr>
            <w:tcW w:type="dxa" w:w="3312"/>
            <w:vAlign w:val="center"/>
            <w:shd w:fill="7847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12"/>
            <w:vAlign w:val="center"/>
            <w:shd w:fill="F5E9E6"/>
          </w:tcPr>
          <w:p>
            <w:r/>
            <w:r>
              <w:rPr>
                <w:rFonts w:ascii="Aptos" w:hAnsi="Aptos"/>
                <w:b w:val="0"/>
                <w:sz w:val="18"/>
              </w:rPr>
              <w:t>Invoices recorded</w:t>
            </w:r>
          </w:p>
        </w:tc>
        <w:tc>
          <w:tcPr>
            <w:tcW w:type="dxa" w:w="3312"/>
            <w:vAlign w:val="center"/>
            <w:shd w:fill="F5E9E6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3312"/>
            <w:vAlign w:val="center"/>
            <w:shd w:fill="F5E9E6"/>
          </w:tcPr>
          <w:p>
            <w:r/>
            <w:r>
              <w:rPr>
                <w:rFonts w:ascii="Aptos" w:hAnsi="Aptos"/>
                <w:b w:val="0"/>
                <w:sz w:val="18"/>
              </w:rPr>
              <w:t>Records entered in tracker</w:t>
            </w:r>
          </w:p>
        </w:tc>
      </w:tr>
      <w:tr>
        <w:tc>
          <w:tcPr>
            <w:tcW w:type="dxa" w:w="3312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Total invoiced</w:t>
            </w:r>
          </w:p>
        </w:tc>
        <w:tc>
          <w:tcPr>
            <w:tcW w:type="dxa" w:w="3312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₱119,450.00</w:t>
            </w:r>
          </w:p>
        </w:tc>
        <w:tc>
          <w:tcPr>
            <w:tcW w:type="dxa" w:w="3312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Before payment deductions</w:t>
            </w:r>
          </w:p>
        </w:tc>
      </w:tr>
      <w:tr>
        <w:tc>
          <w:tcPr>
            <w:tcW w:type="dxa" w:w="3312"/>
            <w:vAlign w:val="center"/>
            <w:shd w:fill="F5E9E6"/>
          </w:tcPr>
          <w:p>
            <w:r/>
            <w:r>
              <w:rPr>
                <w:rFonts w:ascii="Aptos" w:hAnsi="Aptos"/>
                <w:b w:val="0"/>
                <w:sz w:val="18"/>
              </w:rPr>
              <w:t>Payments received</w:t>
            </w:r>
          </w:p>
        </w:tc>
        <w:tc>
          <w:tcPr>
            <w:tcW w:type="dxa" w:w="3312"/>
            <w:vAlign w:val="center"/>
            <w:shd w:fill="F5E9E6"/>
          </w:tcPr>
          <w:p>
            <w:r>
              <w:t>₱73,950.00</w:t>
            </w:r>
          </w:p>
        </w:tc>
        <w:tc>
          <w:tcPr>
            <w:tcW w:type="dxa" w:w="3312"/>
            <w:vAlign w:val="center"/>
            <w:shd w:fill="F5E9E6"/>
          </w:tcPr>
          <w:p>
            <w:r/>
            <w:r>
              <w:rPr>
                <w:rFonts w:ascii="Aptos" w:hAnsi="Aptos"/>
                <w:b w:val="0"/>
                <w:sz w:val="18"/>
              </w:rPr>
              <w:t>Payments recorded during the period</w:t>
            </w:r>
          </w:p>
        </w:tc>
      </w:tr>
      <w:tr>
        <w:tc>
          <w:tcPr>
            <w:tcW w:type="dxa" w:w="3312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Outstanding balance</w:t>
            </w:r>
          </w:p>
        </w:tc>
        <w:tc>
          <w:tcPr>
            <w:tcW w:type="dxa" w:w="3312"/>
            <w:vAlign w:val="center"/>
            <w:shd w:fill="FBF7F3"/>
          </w:tcPr>
          <w:p>
            <w:r>
              <w:t>₱45,500.00</w:t>
            </w:r>
          </w:p>
        </w:tc>
        <w:tc>
          <w:tcPr>
            <w:tcW w:type="dxa" w:w="3312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Requires review and follow-up</w:t>
            </w:r>
          </w:p>
        </w:tc>
      </w:tr>
    </w:tbl>
    <w:p>
      <w:pPr>
        <w:pStyle w:val="Heading1"/>
      </w:pPr>
      <w:r>
        <w:t>2. Key Observations</w:t>
      </w:r>
    </w:p>
    <w:p>
      <w:pPr>
        <w:pStyle w:val="ListBullet"/>
      </w:pPr>
      <w:r>
        <w:t>Several records show partial or no payment and may need a follow-up review.</w:t>
      </w:r>
    </w:p>
    <w:p>
      <w:pPr>
        <w:pStyle w:val="ListBullet"/>
      </w:pPr>
      <w:r>
        <w:t>A consistent invoice reference and payment status make records easier to filter and verify.</w:t>
      </w:r>
    </w:p>
    <w:p>
      <w:pPr>
        <w:pStyle w:val="ListBullet"/>
      </w:pPr>
      <w:r>
        <w:t>Totals should be reconciled against source records before this report is distributed.</w:t>
      </w:r>
    </w:p>
    <w:p>
      <w:pPr>
        <w:pStyle w:val="Heading1"/>
      </w:pPr>
      <w:r>
        <w:t>3. Recommended Next Steps</w:t>
      </w:r>
    </w:p>
    <w:p>
      <w:pPr>
        <w:pStyle w:val="ListNumber"/>
      </w:pPr>
      <w:r>
        <w:t>Review outstanding balances and confirm payment details.</w:t>
      </w:r>
    </w:p>
    <w:p>
      <w:pPr>
        <w:pStyle w:val="ListNumber"/>
      </w:pPr>
      <w:r>
        <w:t>Verify unusual or incomplete entries against supporting documents.</w:t>
      </w:r>
    </w:p>
    <w:p>
      <w:pPr>
        <w:pStyle w:val="ListNumber"/>
      </w:pPr>
      <w:r>
        <w:t>Save the approved report using a consistent file name and store it in the correct folder.</w:t>
      </w:r>
    </w:p>
    <w:p>
      <w:pPr>
        <w:pStyle w:val="Heading1"/>
      </w:pPr>
      <w:r>
        <w:t>4. Quality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7847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968"/>
            <w:vAlign w:val="center"/>
            <w:shd w:fill="7847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968"/>
            <w:vAlign w:val="center"/>
            <w:shd w:fill="F5E9E6"/>
          </w:tcPr>
          <w:p>
            <w:r/>
            <w:r>
              <w:rPr>
                <w:rFonts w:ascii="Aptos" w:hAnsi="Aptos"/>
                <w:b w:val="0"/>
                <w:sz w:val="18"/>
              </w:rPr>
              <w:t>Invoice references included</w:t>
            </w:r>
          </w:p>
        </w:tc>
        <w:tc>
          <w:tcPr>
            <w:tcW w:type="dxa" w:w="4968"/>
            <w:vAlign w:val="center"/>
            <w:shd w:fill="F5E9E6"/>
          </w:tcPr>
          <w:p>
            <w:r/>
            <w:r>
              <w:rPr>
                <w:rFonts w:ascii="Aptos" w:hAnsi="Aptos"/>
                <w:b w:val="0"/>
                <w:sz w:val="18"/>
              </w:rPr>
              <w:t>Demonstrated</w:t>
            </w:r>
          </w:p>
        </w:tc>
      </w:tr>
      <w:tr>
        <w:tc>
          <w:tcPr>
            <w:tcW w:type="dxa" w:w="4968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Totals clearly labeled</w:t>
            </w:r>
          </w:p>
        </w:tc>
        <w:tc>
          <w:tcPr>
            <w:tcW w:type="dxa" w:w="4968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Demonstrated</w:t>
            </w:r>
          </w:p>
        </w:tc>
      </w:tr>
      <w:tr>
        <w:tc>
          <w:tcPr>
            <w:tcW w:type="dxa" w:w="4968"/>
            <w:vAlign w:val="center"/>
            <w:shd w:fill="F5E9E6"/>
          </w:tcPr>
          <w:p>
            <w:r/>
            <w:r>
              <w:rPr>
                <w:rFonts w:ascii="Aptos" w:hAnsi="Aptos"/>
                <w:b w:val="0"/>
                <w:sz w:val="18"/>
              </w:rPr>
              <w:t>Fictional data / privacy protected</w:t>
            </w:r>
          </w:p>
        </w:tc>
        <w:tc>
          <w:tcPr>
            <w:tcW w:type="dxa" w:w="4968"/>
            <w:vAlign w:val="center"/>
            <w:shd w:fill="F5E9E6"/>
          </w:tcPr>
          <w:p>
            <w:r/>
            <w:r>
              <w:rPr>
                <w:rFonts w:ascii="Aptos" w:hAnsi="Aptos"/>
                <w:b w:val="0"/>
                <w:sz w:val="18"/>
              </w:rPr>
              <w:t>Confirmed</w:t>
            </w:r>
          </w:p>
        </w:tc>
      </w:tr>
      <w:tr>
        <w:tc>
          <w:tcPr>
            <w:tcW w:type="dxa" w:w="4968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Final reconciliation to source records</w:t>
            </w:r>
          </w:p>
        </w:tc>
        <w:tc>
          <w:tcPr>
            <w:tcW w:type="dxa" w:w="4968"/>
            <w:vAlign w:val="center"/>
            <w:shd w:fill="FBF7F3"/>
          </w:tcPr>
          <w:p>
            <w:r/>
            <w:r>
              <w:rPr>
                <w:rFonts w:ascii="Aptos" w:hAnsi="Aptos"/>
                <w:b w:val="0"/>
                <w:sz w:val="18"/>
              </w:rPr>
              <w:t>Required before real-world use</w:t>
            </w:r>
          </w:p>
        </w:tc>
      </w:tr>
    </w:tbl>
    <w:p>
      <w:pPr>
        <w:spacing w:before="240"/>
      </w:pPr>
      <w:r>
        <w:rPr>
          <w:b/>
        </w:rPr>
        <w:t xml:space="preserve">Portfolio note: </w:t>
      </w:r>
      <w:r>
        <w:t>This is a practice document created to demonstrate formatting, summarization, and administrative reporting. It is not a report for an actual client or employer.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PHILLINE KAYE SISTINA  •  PORTFOLIO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034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7847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78475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