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20" w:after="80"/>
        <w:rPr/>
      </w:pPr>
      <w:r>
        <w:rPr>
          <w:rStyle w:val="Strong"/>
          <w:rFonts w:eastAsia="Times New Roman" w:cs="Times New Roman" w:ascii="Times New Roman" w:hAnsi="Times New Roman"/>
          <w:color w:val="111111"/>
          <w:sz w:val="24"/>
          <w:szCs w:val="24"/>
          <w:lang w:val="en-AU" w:eastAsia="en-GB"/>
        </w:rPr>
        <w:t>Firewall Rule Request Emails</w:t>
      </w:r>
    </w:p>
    <w:p>
      <w:pPr>
        <w:pStyle w:val="Heading4"/>
        <w:spacing w:lineRule="auto" w:line="276"/>
        <w:rPr/>
      </w:pPr>
      <w:r>
        <w:rPr>
          <w:rStyle w:val="Strong"/>
          <w:color w:val="111111"/>
        </w:rPr>
        <w:t>1. Mobile Team – Mobile Tower Connection Firewall Rule Request</w:t>
      </w:r>
    </w:p>
    <w:p>
      <w:pPr>
        <w:pStyle w:val="HorizontalLine"/>
        <w:spacing w:lineRule="auto" w:line="276"/>
        <w:rPr>
          <w:rStyle w:val="Strong"/>
          <w:color w:val="111111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From:</w:t>
      </w:r>
      <w:r>
        <w:rPr>
          <w:color w:val="111111"/>
        </w:rPr>
        <w:t xml:space="preserve"> Telstra Security Operations</w:t>
        <w:br/>
      </w:r>
      <w:r>
        <w:rPr>
          <w:rStyle w:val="Strong"/>
          <w:color w:val="111111"/>
        </w:rPr>
        <w:t>To:</w:t>
      </w:r>
      <w:r>
        <w:rPr>
          <w:color w:val="111111"/>
        </w:rPr>
        <w:t xml:space="preserve"> Mobile Team (mobileteam@email)</w:t>
        <w:br/>
      </w:r>
      <w:r>
        <w:rPr>
          <w:rStyle w:val="Strong"/>
          <w:color w:val="111111"/>
        </w:rPr>
        <w:t>Subject:</w:t>
      </w:r>
      <w:r>
        <w:rPr>
          <w:color w:val="111111"/>
        </w:rPr>
        <w:t xml:space="preserve"> Create Firewall Rule – Block Malicious Traffic Targeting Mobile Tower Connection</w:t>
      </w:r>
    </w:p>
    <w:p>
      <w:pPr>
        <w:pStyle w:val="BodyText"/>
        <w:spacing w:lineRule="auto" w:line="276"/>
        <w:rPr>
          <w:rStyle w:val="Strong"/>
          <w:color w:val="111111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Body:</w:t>
      </w:r>
      <w:r>
        <w:rPr>
          <w:color w:val="111111"/>
        </w:rPr>
        <w:br/>
        <w:t>Hello Mobile Team,</w:t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  <w:t>We would like to request the creation of a firewall rule and provide you with more information about the ongoing attack.</w:t>
      </w:r>
    </w:p>
    <w:p>
      <w:pPr>
        <w:pStyle w:val="BodyText"/>
        <w:spacing w:lineRule="auto" w:line="276"/>
        <w:rPr/>
      </w:pPr>
      <w:r>
        <w:rPr>
          <w:color w:val="111111"/>
        </w:rPr>
        <w:t xml:space="preserve">We have detected a </w:t>
      </w:r>
      <w:r>
        <w:rPr>
          <w:rStyle w:val="Strong"/>
          <w:color w:val="111111"/>
        </w:rPr>
        <w:t>DDoS (Distributed Denial of Service) attack</w:t>
      </w:r>
      <w:r>
        <w:rPr>
          <w:color w:val="111111"/>
        </w:rPr>
        <w:t xml:space="preserve"> targeting the </w:t>
      </w:r>
      <w:r>
        <w:rPr>
          <w:rStyle w:val="Strong"/>
          <w:color w:val="111111"/>
        </w:rPr>
        <w:t>mobiletower.internal.network</w:t>
      </w:r>
      <w:r>
        <w:rPr>
          <w:color w:val="111111"/>
        </w:rPr>
        <w:t xml:space="preserve"> infrastructure, flooding it with malicious requests and degrading service availability.</w:t>
      </w:r>
    </w:p>
    <w:p>
      <w:pPr>
        <w:pStyle w:val="BodyText"/>
        <w:spacing w:lineRule="auto" w:line="276"/>
        <w:rPr/>
      </w:pPr>
      <w:r>
        <w:rPr>
          <w:color w:val="111111"/>
        </w:rPr>
        <w:t xml:space="preserve">To mitigate this, we request that </w:t>
      </w:r>
      <w:r>
        <w:rPr>
          <w:rStyle w:val="Strong"/>
          <w:color w:val="111111"/>
        </w:rPr>
        <w:t>incoming traffic from suspicious IP ranges and excessive requests per second exceeding threshold limits</w:t>
      </w:r>
      <w:r>
        <w:rPr>
          <w:color w:val="111111"/>
        </w:rPr>
        <w:t xml:space="preserve"> be blocked. Additionally, traffic originating from </w:t>
      </w:r>
      <w:r>
        <w:rPr>
          <w:rStyle w:val="Strong"/>
          <w:color w:val="111111"/>
        </w:rPr>
        <w:t>known botnets and untrusted geolocations</w:t>
      </w:r>
      <w:r>
        <w:rPr>
          <w:color w:val="111111"/>
        </w:rPr>
        <w:t xml:space="preserve"> should be restricted.</w:t>
      </w:r>
    </w:p>
    <w:p>
      <w:pPr>
        <w:pStyle w:val="BodyText"/>
        <w:spacing w:lineRule="auto" w:line="276"/>
        <w:rPr/>
      </w:pPr>
      <w:r>
        <w:rPr>
          <w:color w:val="111111"/>
        </w:rPr>
        <w:t xml:space="preserve">Our security analysis indicates that the attack is leveraging </w:t>
      </w:r>
      <w:r>
        <w:rPr>
          <w:rStyle w:val="Strong"/>
          <w:color w:val="111111"/>
        </w:rPr>
        <w:t>reflection amplification techniques</w:t>
      </w:r>
      <w:r>
        <w:rPr>
          <w:color w:val="111111"/>
        </w:rPr>
        <w:t xml:space="preserve">, and we recommend implementing </w:t>
      </w:r>
      <w:r>
        <w:rPr>
          <w:rStyle w:val="Strong"/>
          <w:color w:val="111111"/>
        </w:rPr>
        <w:t>rate limiting and deep packet inspection</w:t>
      </w:r>
      <w:r>
        <w:rPr>
          <w:color w:val="111111"/>
        </w:rPr>
        <w:t xml:space="preserve"> as additional safeguards.</w:t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  <w:t>For any questions or issues, don’t hesitate to reach out to us.</w:t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Kind regards,</w:t>
      </w:r>
      <w:r>
        <w:rPr>
          <w:color w:val="111111"/>
        </w:rPr>
        <w:br/>
        <w:t>Telstra Security Operations</w:t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</w:r>
      <w:r>
        <w:br w:type="page"/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</w:r>
    </w:p>
    <w:p>
      <w:pPr>
        <w:pStyle w:val="HorizontalLine"/>
        <w:spacing w:lineRule="auto" w:line="276"/>
        <w:rPr>
          <w:color w:val="111111"/>
        </w:rPr>
      </w:pPr>
      <w:r>
        <w:rPr>
          <w:color w:val="111111"/>
        </w:rPr>
      </w:r>
    </w:p>
    <w:p>
      <w:pPr>
        <w:pStyle w:val="Heading4"/>
        <w:spacing w:lineRule="auto" w:line="276"/>
        <w:rPr/>
      </w:pPr>
      <w:r>
        <w:rPr>
          <w:rStyle w:val="Strong"/>
          <w:color w:val="111111"/>
        </w:rPr>
        <w:t>2. NBN Team – NBN Connection Firewall Rule Request</w:t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From:</w:t>
      </w:r>
      <w:r>
        <w:rPr>
          <w:color w:val="111111"/>
        </w:rPr>
        <w:t xml:space="preserve"> Telstra Security Operations</w:t>
        <w:br/>
      </w:r>
      <w:r>
        <w:rPr>
          <w:rStyle w:val="Strong"/>
          <w:color w:val="111111"/>
        </w:rPr>
        <w:t>To:</w:t>
      </w:r>
      <w:r>
        <w:rPr>
          <w:color w:val="111111"/>
        </w:rPr>
        <w:t xml:space="preserve"> NBN Team (nbn@email)</w:t>
        <w:br/>
      </w:r>
      <w:r>
        <w:rPr>
          <w:rStyle w:val="Strong"/>
          <w:color w:val="111111"/>
        </w:rPr>
        <w:t>Subject:</w:t>
      </w:r>
      <w:r>
        <w:rPr>
          <w:color w:val="111111"/>
        </w:rPr>
        <w:t xml:space="preserve"> Create Firewall Rule – Block Unauthorized Access to NBN Connection</w:t>
      </w:r>
    </w:p>
    <w:p>
      <w:pPr>
        <w:pStyle w:val="BodyText"/>
        <w:spacing w:lineRule="auto" w:line="276"/>
        <w:rPr>
          <w:rStyle w:val="Strong"/>
          <w:color w:val="111111"/>
        </w:rPr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Body:</w:t>
      </w:r>
      <w:r>
        <w:rPr>
          <w:color w:val="111111"/>
        </w:rPr>
        <w:br/>
        <w:t>Hello NBN Team,</w:t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  <w:t>We would like to request the creation of a firewall rule and provide you with more information about the ongoing attack.</w:t>
      </w:r>
    </w:p>
    <w:p>
      <w:pPr>
        <w:pStyle w:val="BodyText"/>
        <w:spacing w:lineRule="auto" w:line="276"/>
        <w:rPr/>
      </w:pPr>
      <w:r>
        <w:rPr>
          <w:color w:val="111111"/>
        </w:rPr>
        <w:t xml:space="preserve">A </w:t>
      </w:r>
      <w:r>
        <w:rPr>
          <w:rStyle w:val="Strong"/>
          <w:color w:val="111111"/>
        </w:rPr>
        <w:t>credential stuffing attack</w:t>
      </w:r>
      <w:r>
        <w:rPr>
          <w:color w:val="111111"/>
        </w:rPr>
        <w:t xml:space="preserve"> has been detected against the </w:t>
      </w:r>
      <w:r>
        <w:rPr>
          <w:rStyle w:val="Strong"/>
          <w:color w:val="111111"/>
        </w:rPr>
        <w:t>nbn.external.network</w:t>
      </w:r>
      <w:r>
        <w:rPr>
          <w:color w:val="111111"/>
        </w:rPr>
        <w:t>, where attackers are using compromised credentials to gain unauthorized access.</w:t>
      </w:r>
    </w:p>
    <w:p>
      <w:pPr>
        <w:pStyle w:val="BodyText"/>
        <w:spacing w:lineRule="auto" w:line="276"/>
        <w:rPr/>
      </w:pPr>
      <w:r>
        <w:rPr>
          <w:color w:val="111111"/>
        </w:rPr>
        <w:t xml:space="preserve">To mitigate this risk, we request the </w:t>
      </w:r>
      <w:r>
        <w:rPr>
          <w:rStyle w:val="Strong"/>
          <w:color w:val="111111"/>
        </w:rPr>
        <w:t>blocking of multiple failed login attempts from the same IP within a short timeframe</w:t>
      </w:r>
      <w:r>
        <w:rPr>
          <w:color w:val="111111"/>
        </w:rPr>
        <w:t xml:space="preserve"> and the </w:t>
      </w:r>
      <w:r>
        <w:rPr>
          <w:rStyle w:val="Strong"/>
          <w:color w:val="111111"/>
        </w:rPr>
        <w:t>blacklisting of IPs exhibiting brute-force login behaviors</w:t>
      </w:r>
      <w:r>
        <w:rPr>
          <w:color w:val="111111"/>
        </w:rPr>
        <w:t xml:space="preserve">. Additionally, implementing </w:t>
      </w:r>
      <w:r>
        <w:rPr>
          <w:rStyle w:val="Strong"/>
          <w:color w:val="111111"/>
        </w:rPr>
        <w:t>geolocation-based access restrictions and multi-factor authentication (MFA) enforcement</w:t>
      </w:r>
      <w:r>
        <w:rPr>
          <w:color w:val="111111"/>
        </w:rPr>
        <w:t xml:space="preserve"> would enhance security.</w:t>
      </w:r>
    </w:p>
    <w:p>
      <w:pPr>
        <w:pStyle w:val="BodyText"/>
        <w:spacing w:lineRule="auto" w:line="276"/>
        <w:rPr/>
      </w:pPr>
      <w:r>
        <w:rPr>
          <w:color w:val="111111"/>
        </w:rPr>
        <w:t xml:space="preserve">Research suggests that these attacks originate from </w:t>
      </w:r>
      <w:r>
        <w:rPr>
          <w:rStyle w:val="Strong"/>
          <w:color w:val="111111"/>
        </w:rPr>
        <w:t>compromised cloud servers</w:t>
      </w:r>
      <w:r>
        <w:rPr>
          <w:color w:val="111111"/>
        </w:rPr>
        <w:t xml:space="preserve"> using automation to bypass login protections. We recommend further investigation and logging enhancements to track anomalous behavior.</w:t>
      </w:r>
    </w:p>
    <w:p>
      <w:pPr>
        <w:pStyle w:val="BodyText"/>
        <w:spacing w:lineRule="auto" w:line="276"/>
        <w:rPr>
          <w:color w:val="111111"/>
        </w:rPr>
      </w:pPr>
      <w:r>
        <w:rPr>
          <w:color w:val="111111"/>
        </w:rPr>
        <w:t>For any questions or issues, don’t hesitate to reach out to us.</w:t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Kind regards,</w:t>
      </w:r>
      <w:r>
        <w:rPr>
          <w:color w:val="111111"/>
        </w:rPr>
        <w:br/>
        <w:t>Telstra Security Operations</w:t>
      </w:r>
      <w:r>
        <w:br w:type="page"/>
      </w:r>
    </w:p>
    <w:p>
      <w:pPr>
        <w:pStyle w:val="Heading4"/>
        <w:spacing w:lineRule="auto" w:line="276"/>
        <w:rPr/>
      </w:pPr>
      <w:r>
        <w:rPr/>
      </w:r>
    </w:p>
    <w:p>
      <w:pPr>
        <w:pStyle w:val="HorizontalLine"/>
        <w:spacing w:lineRule="auto" w:line="276"/>
        <w:rPr>
          <w:color w:val="111111"/>
        </w:rPr>
      </w:pPr>
      <w:r>
        <w:rPr>
          <w:color w:val="111111"/>
        </w:rPr>
      </w:r>
    </w:p>
    <w:p>
      <w:pPr>
        <w:pStyle w:val="Heading3"/>
        <w:spacing w:lineRule="auto" w:line="276"/>
        <w:rPr/>
      </w:pPr>
      <w:r>
        <w:rPr>
          <w:rStyle w:val="Strong"/>
          <w:color w:val="111111"/>
        </w:rPr>
        <w:t>Incident Response Plan</w:t>
      </w:r>
    </w:p>
    <w:p>
      <w:pPr>
        <w:pStyle w:val="BodyText"/>
        <w:spacing w:lineRule="auto" w:line="276"/>
        <w:rPr/>
      </w:pPr>
      <w:r>
        <w:rPr>
          <w:rStyle w:val="Strong"/>
          <w:color w:val="111111"/>
        </w:rPr>
        <w:t>Incident Name:</w:t>
      </w:r>
      <w:r>
        <w:rPr>
          <w:color w:val="111111"/>
        </w:rPr>
        <w:t xml:space="preserve"> </w:t>
      </w:r>
      <w:r>
        <w:rPr>
          <w:rStyle w:val="Strong"/>
          <w:color w:val="111111"/>
        </w:rPr>
        <w:t>Telstra Network Infrastructure Attack Response Plan</w:t>
      </w:r>
      <w:r>
        <w:rPr>
          <w:color w:val="111111"/>
        </w:rPr>
        <w:br/>
      </w:r>
      <w:r>
        <w:rPr>
          <w:rStyle w:val="Strong"/>
          <w:color w:val="111111"/>
        </w:rPr>
        <w:t>Objective:</w:t>
      </w:r>
      <w:r>
        <w:rPr>
          <w:color w:val="111111"/>
        </w:rPr>
        <w:t xml:space="preserve"> Mitigate and neutralize cybersecurity threats targeting Telstra's infrastructure networks.</w:t>
      </w:r>
    </w:p>
    <w:p>
      <w:pPr>
        <w:pStyle w:val="Heading4"/>
        <w:spacing w:lineRule="auto" w:line="276"/>
        <w:rPr/>
      </w:pPr>
      <w:r>
        <w:rPr>
          <w:rStyle w:val="Strong"/>
          <w:color w:val="111111"/>
        </w:rPr>
        <w:t>1. Detection &amp; Identification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Utilize </w:t>
      </w:r>
      <w:r>
        <w:rPr>
          <w:rStyle w:val="Strong"/>
          <w:color w:val="111111"/>
        </w:rPr>
        <w:t>SIEM tools and IDS/IPS</w:t>
      </w:r>
      <w:r>
        <w:rPr>
          <w:color w:val="111111"/>
        </w:rPr>
        <w:t xml:space="preserve"> to detect abnormal traffic patterns.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Analyze </w:t>
      </w:r>
      <w:r>
        <w:rPr>
          <w:rStyle w:val="Strong"/>
          <w:color w:val="111111"/>
        </w:rPr>
        <w:t>log files, firewall events, and system alerts</w:t>
      </w:r>
      <w:r>
        <w:rPr>
          <w:color w:val="111111"/>
        </w:rPr>
        <w:t xml:space="preserve"> for indications of compromise.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76"/>
        <w:ind w:hanging="283" w:left="709"/>
        <w:rPr>
          <w:color w:val="111111"/>
        </w:rPr>
      </w:pPr>
      <w:r>
        <w:rPr>
          <w:color w:val="111111"/>
        </w:rPr>
        <w:t xml:space="preserve">Categorize incidents based on severity (P1 - Critical, P2 - High, etc.). </w:t>
      </w:r>
    </w:p>
    <w:p>
      <w:pPr>
        <w:pStyle w:val="Heading4"/>
        <w:spacing w:lineRule="auto" w:line="276"/>
        <w:rPr/>
      </w:pPr>
      <w:r>
        <w:rPr>
          <w:rStyle w:val="Strong"/>
          <w:color w:val="111111"/>
        </w:rPr>
        <w:t>2. Containment Strategy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>
          <w:color w:val="111111"/>
        </w:rPr>
      </w:pPr>
      <w:r>
        <w:rPr>
          <w:color w:val="111111"/>
        </w:rPr>
        <w:t xml:space="preserve">Isolate compromised systems and redirect legitimate traffic.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Deploy </w:t>
      </w:r>
      <w:r>
        <w:rPr>
          <w:rStyle w:val="Strong"/>
          <w:color w:val="111111"/>
        </w:rPr>
        <w:t>firewall rule updates to block malicious IPs and traffic types</w:t>
      </w:r>
      <w:r>
        <w:rPr>
          <w:color w:val="111111"/>
        </w:rPr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76"/>
        <w:ind w:hanging="283" w:left="709"/>
        <w:rPr/>
      </w:pPr>
      <w:r>
        <w:rPr>
          <w:color w:val="111111"/>
        </w:rPr>
        <w:t xml:space="preserve">Notify relevant infrastructure teams via </w:t>
      </w:r>
      <w:r>
        <w:rPr>
          <w:rStyle w:val="Strong"/>
          <w:color w:val="111111"/>
        </w:rPr>
        <w:t>automated alerts and email communications</w:t>
      </w:r>
      <w:r>
        <w:rPr>
          <w:color w:val="111111"/>
        </w:rPr>
        <w:t xml:space="preserve">. </w:t>
      </w:r>
    </w:p>
    <w:p>
      <w:pPr>
        <w:pStyle w:val="Heading4"/>
        <w:spacing w:lineRule="auto" w:line="276"/>
        <w:rPr/>
      </w:pPr>
      <w:r>
        <w:rPr>
          <w:rStyle w:val="Strong"/>
          <w:color w:val="111111"/>
        </w:rPr>
        <w:t>3. Eradication &amp; Recovery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Conduct </w:t>
      </w:r>
      <w:r>
        <w:rPr>
          <w:rStyle w:val="Strong"/>
          <w:color w:val="111111"/>
        </w:rPr>
        <w:t>malware scans, vulnerability patches, and system integrity checks</w:t>
      </w:r>
      <w:r>
        <w:rPr>
          <w:color w:val="111111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>
          <w:color w:val="111111"/>
        </w:rPr>
      </w:pPr>
      <w:r>
        <w:rPr>
          <w:color w:val="111111"/>
        </w:rPr>
        <w:t xml:space="preserve">Restore affected systems from secure backups if required.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76"/>
        <w:ind w:hanging="283" w:left="709"/>
        <w:rPr>
          <w:color w:val="111111"/>
        </w:rPr>
      </w:pPr>
      <w:r>
        <w:rPr>
          <w:color w:val="111111"/>
        </w:rPr>
        <w:t xml:space="preserve">Strengthen security policies (e.g., enforcing MFA, zero-trust access). </w:t>
      </w:r>
    </w:p>
    <w:p>
      <w:pPr>
        <w:pStyle w:val="Heading4"/>
        <w:spacing w:lineRule="auto" w:line="276"/>
        <w:rPr/>
      </w:pPr>
      <w:r>
        <w:rPr>
          <w:rStyle w:val="Strong"/>
          <w:color w:val="111111"/>
        </w:rPr>
        <w:t>4. Post-Incident Analysis &amp; Prevention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Perform </w:t>
      </w:r>
      <w:r>
        <w:rPr>
          <w:rStyle w:val="Strong"/>
          <w:color w:val="111111"/>
        </w:rPr>
        <w:t>root cause analysis (RCA)</w:t>
      </w:r>
      <w:r>
        <w:rPr>
          <w:color w:val="111111"/>
        </w:rPr>
        <w:t xml:space="preserve"> to identify attack vectors.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Implement </w:t>
      </w:r>
      <w:r>
        <w:rPr>
          <w:rStyle w:val="Strong"/>
          <w:color w:val="111111"/>
        </w:rPr>
        <w:t>security updates and permanent firewall rule changes</w:t>
      </w:r>
      <w:r>
        <w:rPr>
          <w:color w:val="111111"/>
        </w:rPr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 w:before="0" w:after="0"/>
        <w:ind w:hanging="283" w:left="709"/>
        <w:rPr/>
      </w:pPr>
      <w:r>
        <w:rPr>
          <w:color w:val="111111"/>
        </w:rPr>
        <w:t xml:space="preserve">Conduct </w:t>
      </w:r>
      <w:r>
        <w:rPr>
          <w:rStyle w:val="Strong"/>
          <w:color w:val="111111"/>
        </w:rPr>
        <w:t>training sessions for IT teams on recent attack methodologies</w:t>
      </w:r>
      <w:r>
        <w:rPr>
          <w:color w:val="111111"/>
        </w:rPr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76"/>
        <w:ind w:hanging="283" w:left="709"/>
        <w:rPr/>
      </w:pPr>
      <w:r>
        <w:rPr>
          <w:color w:val="111111"/>
        </w:rPr>
        <w:t xml:space="preserve">Enhance </w:t>
      </w:r>
      <w:r>
        <w:rPr>
          <w:rStyle w:val="Strong"/>
          <w:color w:val="111111"/>
        </w:rPr>
        <w:t>monitoring and logging</w:t>
      </w:r>
      <w:r>
        <w:rPr>
          <w:color w:val="111111"/>
        </w:rPr>
        <w:t xml:space="preserve"> to detect early warning signs of similar attacks.</w:t>
      </w:r>
    </w:p>
    <w:p>
      <w:pPr>
        <w:pStyle w:val="Normal"/>
        <w:spacing w:lineRule="auto" w:line="276"/>
        <w:rPr>
          <w:color w:val="111111"/>
        </w:rPr>
      </w:pPr>
      <w:r>
        <w:rPr>
          <w:color w:val="111111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a63c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LibreOffice/24.8.5.2$Windows_X86_64 LibreOffice_project/fddf2685c70b461e7832239a0162a77216259f22</Application>
  <AppVersion>15.0000</AppVersion>
  <Pages>3</Pages>
  <Words>490</Words>
  <Characters>3050</Characters>
  <CharactersWithSpaces>3505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2022-03-23T19:09:00Z</dcterms:created>
  <dc:creator/>
  <dc:description/>
  <dc:language>en-AU</dc:language>
  <cp:lastModifiedBy/>
  <dcterms:modified xsi:type="dcterms:W3CDTF">2025-03-21T01:46:18Z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