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60"/>
        <w:jc w:val="center"/>
        <w:rPr>
          <w:b/>
          <w:bCs/>
          <w:color w:val="111111"/>
          <w:sz w:val="44"/>
          <w:szCs w:val="44"/>
        </w:rPr>
      </w:pPr>
      <w:r>
        <w:rPr>
          <w:rFonts w:cs="Arial" w:ascii="Arial" w:hAnsi="Arial"/>
          <w:b/>
          <w:bCs/>
          <w:color w:val="111111"/>
          <w:sz w:val="44"/>
          <w:szCs w:val="44"/>
        </w:rPr>
        <w:t>Incident Postmortem: &lt;Remote code execution attack on Tomcat Web Server&gt; - INCIDENT ID – TELSTRA/S01/01</w:t>
      </w:r>
    </w:p>
    <w:p>
      <w:pPr>
        <w:pStyle w:val="Heading2"/>
        <w:rPr>
          <w:color w:val="111111"/>
        </w:rPr>
      </w:pPr>
      <w:r>
        <w:rPr>
          <w:b/>
          <w:bCs/>
          <w:color w:val="111111"/>
        </w:rPr>
        <w:t>Summary</w:t>
      </w:r>
    </w:p>
    <w:p>
      <w:pPr>
        <w:pStyle w:val="BodyText"/>
        <w:rPr/>
      </w:pPr>
      <w:r>
        <w:rPr>
          <w:rFonts w:cs="Arial"/>
          <w:color w:val="111111"/>
          <w:sz w:val="22"/>
          <w:szCs w:val="22"/>
        </w:rPr>
        <w:t xml:space="preserve">On </w:t>
      </w:r>
      <w:r>
        <w:rPr>
          <w:rStyle w:val="Strong"/>
          <w:rFonts w:cs="Arial"/>
          <w:color w:val="111111"/>
          <w:sz w:val="22"/>
          <w:szCs w:val="22"/>
        </w:rPr>
        <w:t>2022-03-20</w:t>
      </w:r>
      <w:r>
        <w:rPr>
          <w:rFonts w:cs="Arial"/>
          <w:color w:val="111111"/>
          <w:sz w:val="22"/>
          <w:szCs w:val="22"/>
        </w:rPr>
        <w:t xml:space="preserve"> at </w:t>
      </w:r>
      <w:r>
        <w:rPr>
          <w:rStyle w:val="Strong"/>
          <w:rFonts w:cs="Arial"/>
          <w:color w:val="111111"/>
          <w:sz w:val="22"/>
          <w:szCs w:val="22"/>
        </w:rPr>
        <w:t>03:21 UTC</w:t>
      </w:r>
      <w:r>
        <w:rPr>
          <w:rFonts w:cs="Arial"/>
          <w:color w:val="111111"/>
          <w:sz w:val="22"/>
          <w:szCs w:val="22"/>
        </w:rPr>
        <w:t xml:space="preserve">, an attack was detected </w:t>
      </w:r>
      <w:r>
        <w:rPr>
          <w:rFonts w:cs="Arial"/>
          <w:color w:val="111111"/>
          <w:sz w:val="22"/>
          <w:szCs w:val="22"/>
        </w:rPr>
        <w:t>by the Telestra Security Operation Team</w:t>
      </w:r>
      <w:r>
        <w:rPr>
          <w:rFonts w:cs="Arial"/>
          <w:color w:val="111111"/>
          <w:sz w:val="22"/>
          <w:szCs w:val="22"/>
        </w:rPr>
        <w:t xml:space="preserve"> targeting multiple infrastructure services of NBN network. Investigation shows that the exploit attempt is a </w:t>
      </w:r>
      <w:r>
        <w:rPr>
          <w:rStyle w:val="Strong"/>
          <w:rFonts w:cs="Arial"/>
          <w:color w:val="111111"/>
          <w:sz w:val="22"/>
          <w:szCs w:val="22"/>
        </w:rPr>
        <w:t>remote code execution (RCE) attack</w:t>
      </w:r>
      <w:r>
        <w:rPr>
          <w:rFonts w:cs="Arial"/>
          <w:color w:val="111111"/>
          <w:sz w:val="22"/>
          <w:szCs w:val="22"/>
        </w:rPr>
        <w:t xml:space="preserve"> specifically targetting the NBN Connection (nbn.external.network). It was detected targeting one of our Tomcat web servers. The attacker utilized a series of </w:t>
      </w:r>
      <w:r>
        <w:rPr>
          <w:rStyle w:val="Strong"/>
          <w:rFonts w:cs="Arial"/>
          <w:color w:val="111111"/>
          <w:sz w:val="22"/>
          <w:szCs w:val="22"/>
        </w:rPr>
        <w:t>POST requests</w:t>
      </w:r>
      <w:r>
        <w:rPr>
          <w:rFonts w:cs="Arial"/>
          <w:color w:val="111111"/>
          <w:sz w:val="22"/>
          <w:szCs w:val="22"/>
        </w:rPr>
        <w:t xml:space="preserve"> to a JSP endpoint (</w:t>
      </w:r>
      <w:r>
        <w:rPr>
          <w:rStyle w:val="SourceText"/>
          <w:color w:val="111111"/>
          <w:sz w:val="22"/>
          <w:szCs w:val="22"/>
        </w:rPr>
        <w:t>/tomcatwar.jsp</w:t>
      </w:r>
      <w:r>
        <w:rPr>
          <w:rFonts w:cs="Arial"/>
          <w:color w:val="111111"/>
          <w:sz w:val="22"/>
          <w:szCs w:val="22"/>
        </w:rPr>
        <w:t xml:space="preserve">) in an attempt to execute system commands remotely. The attack involved multiple IP addresses and was identified based on suspicious request patterns. </w:t>
      </w:r>
    </w:p>
    <w:p>
      <w:pPr>
        <w:pStyle w:val="Heading2"/>
        <w:rPr>
          <w:color w:val="111111"/>
        </w:rPr>
      </w:pPr>
      <w:r>
        <w:rPr>
          <w:b/>
          <w:bCs/>
          <w:color w:val="111111"/>
        </w:rPr>
        <w:t>Detection</w:t>
      </w:r>
    </w:p>
    <w:p>
      <w:pPr>
        <w:pStyle w:val="BodyText"/>
        <w:rPr/>
      </w:pPr>
      <w:r>
        <w:rPr>
          <w:b w:val="false"/>
          <w:bCs w:val="false"/>
        </w:rPr>
        <w:t xml:space="preserve">The incident was discovered through the monitoring of incoming traffic to the web server. </w:t>
      </w:r>
      <w:r>
        <w:rPr>
          <w:rStyle w:val="Strong"/>
          <w:b w:val="false"/>
          <w:bCs w:val="false"/>
        </w:rPr>
        <w:t>Suspicious POST requests</w:t>
      </w:r>
      <w:r>
        <w:rPr>
          <w:b w:val="false"/>
          <w:bCs w:val="false"/>
        </w:rPr>
        <w:t xml:space="preserve"> with payloads containing malicious code were detected. The logs revealed a pattern of </w:t>
      </w:r>
      <w:r>
        <w:rPr>
          <w:rStyle w:val="Strong"/>
          <w:b w:val="false"/>
          <w:bCs w:val="false"/>
        </w:rPr>
        <w:t>RCE attempt</w:t>
      </w:r>
      <w:r>
        <w:rPr>
          <w:b w:val="false"/>
          <w:bCs w:val="false"/>
        </w:rPr>
        <w:t xml:space="preserve"> exploiting a known vulnerability in the Tomcat server configuration, specifically targeting the JSP endpoint. Automated security tools flagged the malicious request patterns.</w:t>
      </w:r>
    </w:p>
    <w:p>
      <w:pPr>
        <w:pStyle w:val="Heading2"/>
        <w:rPr>
          <w:color w:val="111111"/>
        </w:rPr>
      </w:pPr>
      <w:r>
        <w:rPr>
          <w:b/>
          <w:bCs/>
          <w:color w:val="111111"/>
        </w:rPr>
        <w:t>Impact</w:t>
      </w:r>
    </w:p>
    <w:p>
      <w:pPr>
        <w:pStyle w:val="BodyText"/>
        <w:rPr/>
      </w:pPr>
      <w:r>
        <w:rPr>
          <w:color w:val="111111"/>
        </w:rPr>
        <w:t xml:space="preserve">The attack had the potential to compromise the </w:t>
      </w:r>
      <w:r>
        <w:rPr>
          <w:b/>
          <w:bCs/>
          <w:color w:val="111111"/>
        </w:rPr>
        <w:t>NBN Network’s</w:t>
      </w:r>
      <w:r>
        <w:rPr>
          <w:color w:val="111111"/>
        </w:rPr>
        <w:t xml:space="preserve"> </w:t>
      </w:r>
      <w:r>
        <w:rPr>
          <w:rStyle w:val="Strong"/>
          <w:color w:val="111111"/>
        </w:rPr>
        <w:t>Tomcat web server</w:t>
      </w:r>
      <w:r>
        <w:rPr>
          <w:color w:val="111111"/>
        </w:rPr>
        <w:t xml:space="preserve">, allowing attackers to execute arbitrary commands on the server. The attack could have led to a </w:t>
      </w:r>
      <w:r>
        <w:rPr>
          <w:rStyle w:val="Strong"/>
          <w:color w:val="111111"/>
        </w:rPr>
        <w:t>security breach</w:t>
      </w:r>
      <w:r>
        <w:rPr>
          <w:color w:val="111111"/>
        </w:rPr>
        <w:t>, unauthorized access to sensitive data, and potential service disruption. However, no confirmed data breach or service downtime was observed during the incident.</w:t>
      </w:r>
      <w:r>
        <w:rPr>
          <w:rStyle w:val="Strong"/>
          <w:color w:val="111111"/>
        </w:rPr>
        <w:t xml:space="preserve"> </w:t>
      </w:r>
      <w:r>
        <w:rPr>
          <w:color w:val="111111"/>
        </w:rPr>
        <w:t>The affected infrastructure is crucial for the company's internet service provision, particularly for high-speed connections.</w:t>
      </w:r>
    </w:p>
    <w:p>
      <w:pPr>
        <w:pStyle w:val="Heading3"/>
        <w:rPr/>
      </w:pPr>
      <w:r>
        <w:rPr>
          <w:rStyle w:val="Strong"/>
          <w:color w:val="111111"/>
          <w:sz w:val="32"/>
          <w:szCs w:val="32"/>
        </w:rPr>
        <w:t>Affected Teams and Notification</w:t>
      </w:r>
    </w:p>
    <w:p>
      <w:pPr>
        <w:pStyle w:val="BodyText"/>
        <w:rPr/>
      </w:pPr>
      <w:r>
        <w:rPr>
          <w:rStyle w:val="Strong"/>
          <w:color w:val="111111"/>
        </w:rPr>
        <w:t>Affected Infrastructure: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111111"/>
        </w:rPr>
        <w:t>Primary Target:</w:t>
      </w:r>
      <w:r>
        <w:rPr>
          <w:color w:val="111111"/>
        </w:rPr>
        <w:t xml:space="preserve"> NBN Connection (nbn.external.network) 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color w:val="111111"/>
        </w:rPr>
        <w:t>Description:</w:t>
      </w:r>
      <w:r>
        <w:rPr>
          <w:color w:val="111111"/>
        </w:rPr>
        <w:t xml:space="preserve"> Provides high-speed NBN connection service. 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  <w:color w:val="111111"/>
        </w:rPr>
        <w:t>Priority:</w:t>
      </w:r>
      <w:r>
        <w:rPr>
          <w:color w:val="111111"/>
        </w:rPr>
        <w:t xml:space="preserve"> P1 – Critical </w:t>
      </w:r>
    </w:p>
    <w:p>
      <w:pPr>
        <w:pStyle w:val="BodyText"/>
        <w:rPr/>
      </w:pPr>
      <w:r>
        <w:rPr>
          <w:rStyle w:val="Strong"/>
          <w:color w:val="111111"/>
        </w:rPr>
        <w:t>Supporting Affected Infrastructure: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111111"/>
        </w:rPr>
        <w:t>Mobile Tower Connection (mobiletower.internal.network)</w:t>
      </w:r>
      <w:r>
        <w:rPr>
          <w:color w:val="111111"/>
        </w:rPr>
        <w:t xml:space="preserve">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color w:val="111111"/>
        </w:rPr>
        <w:t>Description:</w:t>
      </w:r>
      <w:r>
        <w:rPr>
          <w:color w:val="111111"/>
        </w:rPr>
        <w:t xml:space="preserve"> Provides a route between mobile towers across the country for cell service.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color w:val="111111"/>
        </w:rPr>
        <w:t>Priority:</w:t>
      </w:r>
      <w:r>
        <w:rPr>
          <w:color w:val="111111"/>
        </w:rPr>
        <w:t xml:space="preserve"> P2 – High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111111"/>
        </w:rPr>
        <w:t>Home &amp; Business Lines (homebiz.internal.network)</w:t>
      </w:r>
      <w:r>
        <w:rPr>
          <w:color w:val="111111"/>
        </w:rPr>
        <w:t xml:space="preserve">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color w:val="111111"/>
        </w:rPr>
        <w:t>Description:</w:t>
      </w:r>
      <w:r>
        <w:rPr>
          <w:color w:val="111111"/>
        </w:rPr>
        <w:t xml:space="preserve"> Provides home &amp; business line products such as VoIP.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color w:val="111111"/>
        </w:rPr>
        <w:t>Priority:</w:t>
      </w:r>
      <w:r>
        <w:rPr>
          <w:color w:val="111111"/>
        </w:rPr>
        <w:t xml:space="preserve"> P2 – High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111111"/>
        </w:rPr>
        <w:t>ADSL Connect (adsl.internal.network)</w:t>
      </w:r>
      <w:r>
        <w:rPr>
          <w:color w:val="111111"/>
        </w:rPr>
        <w:t xml:space="preserve">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color w:val="111111"/>
        </w:rPr>
        <w:t>Description:</w:t>
      </w:r>
      <w:r>
        <w:rPr>
          <w:color w:val="111111"/>
        </w:rPr>
        <w:t xml:space="preserve"> Provides ADSL product to customers.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  <w:color w:val="111111"/>
        </w:rPr>
        <w:t>Priority:</w:t>
      </w:r>
      <w:r>
        <w:rPr>
          <w:color w:val="111111"/>
        </w:rPr>
        <w:t xml:space="preserve"> P2 – High </w:t>
      </w:r>
    </w:p>
    <w:p>
      <w:pPr>
        <w:pStyle w:val="Heading3"/>
        <w:rPr/>
      </w:pPr>
      <w:r>
        <w:rPr>
          <w:rStyle w:val="Strong"/>
          <w:color w:val="111111"/>
          <w:sz w:val="32"/>
          <w:szCs w:val="32"/>
        </w:rPr>
        <w:t>Impact Assessment</w:t>
      </w:r>
    </w:p>
    <w:p>
      <w:pPr>
        <w:pStyle w:val="BodyText"/>
        <w:rPr/>
      </w:pPr>
      <w:r>
        <w:rPr>
          <w:rStyle w:val="Strong"/>
          <w:color w:val="111111"/>
        </w:rPr>
        <w:t>Business Impact: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111111"/>
        </w:rPr>
        <w:t>Critical Infrastructure Affected:</w:t>
      </w:r>
      <w:r>
        <w:rPr>
          <w:color w:val="111111"/>
        </w:rPr>
        <w:t xml:space="preserve"> The NBN Connection is a critical infrastructure component. The ongoing exploitation may disrupt the availability of high-speed internet services for customers.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111111"/>
        </w:rPr>
        <w:t>Secondary Impact:</w:t>
      </w:r>
      <w:r>
        <w:rPr>
          <w:color w:val="111111"/>
        </w:rPr>
        <w:t xml:space="preserve"> The Mobile Tower Connection, Home &amp; Business Lines, and ADSL Connect services are also vulnerable, potentially affecting VoIP services and mobile network connectivity. </w:t>
      </w:r>
    </w:p>
    <w:p>
      <w:pPr>
        <w:pStyle w:val="BodyText"/>
        <w:rPr/>
      </w:pPr>
      <w:r>
        <w:rPr>
          <w:rStyle w:val="Strong"/>
          <w:color w:val="111111"/>
        </w:rPr>
        <w:t>Service Disruption: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111111"/>
        </w:rPr>
        <w:t>Primary Disruption:</w:t>
      </w:r>
      <w:r>
        <w:rPr>
          <w:color w:val="111111"/>
        </w:rPr>
        <w:t xml:space="preserve"> Service outages are being reported for NBN connections due to exploitation.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111111"/>
        </w:rPr>
        <w:t>Secondary Disruption:</w:t>
      </w:r>
      <w:r>
        <w:rPr>
          <w:color w:val="111111"/>
        </w:rPr>
        <w:t xml:space="preserve"> Mobile and landline services could experience degradation or outages if the attack spreads further. </w:t>
      </w:r>
    </w:p>
    <w:p>
      <w:pPr>
        <w:pStyle w:val="Heading2"/>
        <w:rPr/>
      </w:pPr>
      <w:r>
        <w:rPr>
          <w:b/>
          <w:bCs/>
          <w:color w:val="111111"/>
        </w:rPr>
        <w:t>Root Cause</w:t>
      </w:r>
    </w:p>
    <w:p>
      <w:pPr>
        <w:pStyle w:val="Normal"/>
        <w:rPr/>
      </w:pPr>
      <w:r>
        <w:rPr>
          <w:color w:val="111111"/>
        </w:rPr>
        <w:t xml:space="preserve">The attack exploited an existing vulnerability in the </w:t>
      </w:r>
      <w:r>
        <w:rPr>
          <w:rStyle w:val="Strong"/>
          <w:color w:val="111111"/>
        </w:rPr>
        <w:t>Tomcat web server</w:t>
      </w:r>
      <w:r>
        <w:rPr>
          <w:color w:val="111111"/>
        </w:rPr>
        <w:t xml:space="preserve"> configuration, specifically targeting the </w:t>
      </w:r>
      <w:r>
        <w:rPr>
          <w:rStyle w:val="Strong"/>
          <w:color w:val="111111"/>
        </w:rPr>
        <w:t>JSP file deployment</w:t>
      </w:r>
      <w:r>
        <w:rPr>
          <w:color w:val="111111"/>
        </w:rPr>
        <w:t xml:space="preserve">. The server was configured to allow certain malicious patterns within the </w:t>
      </w:r>
      <w:r>
        <w:rPr>
          <w:rStyle w:val="SourceText"/>
          <w:color w:val="111111"/>
        </w:rPr>
        <w:t>class.module.classLoader.resources.context</w:t>
      </w:r>
      <w:r>
        <w:rPr>
          <w:color w:val="111111"/>
        </w:rPr>
        <w:t xml:space="preserve"> parameters, which the attacker leveraged to trigger remote command execution.</w:t>
      </w:r>
    </w:p>
    <w:p>
      <w:pPr>
        <w:pStyle w:val="Heading2"/>
        <w:rPr>
          <w:color w:val="111111"/>
        </w:rPr>
      </w:pPr>
      <w:r>
        <w:rPr>
          <w:b/>
          <w:bCs/>
          <w:color w:val="111111"/>
        </w:rPr>
        <w:t>Resolution</w:t>
      </w:r>
    </w:p>
    <w:p>
      <w:pPr>
        <w:pStyle w:val="Normal"/>
        <w:rPr/>
      </w:pPr>
      <w:r>
        <w:rPr>
          <w:color w:val="111111"/>
        </w:rPr>
        <w:t>The attack was mitigated by: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111111"/>
        </w:rPr>
        <w:t>Blocking the malicious IP addresses</w:t>
      </w:r>
      <w:r>
        <w:rPr>
          <w:color w:val="111111"/>
        </w:rPr>
        <w:t xml:space="preserve"> involved in the attack.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111111"/>
        </w:rPr>
        <w:t>Deploying security patches</w:t>
      </w:r>
      <w:r>
        <w:rPr>
          <w:color w:val="111111"/>
        </w:rPr>
        <w:t xml:space="preserve"> to address the known vulnerability in the Tomcat server.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111111"/>
        </w:rPr>
        <w:t>Enhancing server-side input validation</w:t>
      </w:r>
      <w:r>
        <w:rPr>
          <w:color w:val="111111"/>
        </w:rPr>
        <w:t xml:space="preserve"> to prevent future injection attempts.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>
          <w:color w:val="111111"/>
        </w:rPr>
      </w:pPr>
      <w:r>
        <w:rPr>
          <w:color w:val="111111"/>
        </w:rPr>
        <w:t xml:space="preserve">Conducting a full security audit of the Tomcat web server to ensure there are no lingering threats or misconfigurations. </w:t>
      </w:r>
    </w:p>
    <w:p>
      <w:pPr>
        <w:pStyle w:val="BodyText"/>
        <w:rPr>
          <w:color w:val="111111"/>
        </w:rPr>
      </w:pPr>
      <w:r>
        <w:rPr>
          <w:color w:val="111111"/>
        </w:rPr>
      </w:r>
    </w:p>
    <w:p>
      <w:pPr>
        <w:pStyle w:val="Heading2"/>
        <w:rPr/>
      </w:pPr>
      <w:r>
        <w:rPr>
          <w:b/>
          <w:bCs/>
          <w:color w:val="111111"/>
        </w:rPr>
        <w:t>Action Items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111111"/>
        </w:rPr>
        <w:t>Update and Patch Servers</w:t>
      </w:r>
      <w:r>
        <w:rPr>
          <w:color w:val="111111"/>
        </w:rPr>
        <w:t xml:space="preserve">: Ensure that all Tomcat web servers are up to date with the latest security patches.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111111"/>
        </w:rPr>
        <w:t>Review and Strengthen Configuration</w:t>
      </w:r>
      <w:r>
        <w:rPr>
          <w:color w:val="111111"/>
        </w:rPr>
        <w:t xml:space="preserve">: Implement stricter security configurations on the Tomcat servers, including the removal of unnecessary JSP deployments and more robust input validation mechanisms.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111111"/>
        </w:rPr>
        <w:t>Enhance Monitoring and Logging</w:t>
      </w:r>
      <w:r>
        <w:rPr>
          <w:color w:val="111111"/>
        </w:rPr>
        <w:t xml:space="preserve">: Increase the frequency and scope of security monitoring, particularly for web servers, and ensure that logs are reviewed regularly for suspicious activity.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111111"/>
        </w:rPr>
        <w:t>Incident Response Training</w:t>
      </w:r>
      <w:r>
        <w:rPr>
          <w:color w:val="111111"/>
        </w:rPr>
        <w:t xml:space="preserve">: Conduct a training session for the Web Services and Security teams to improve incident detection and response time.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111111"/>
        </w:rPr>
        <w:t>Post-Incident Review</w:t>
      </w:r>
      <w:r>
        <w:rPr>
          <w:color w:val="111111"/>
        </w:rPr>
        <w:t xml:space="preserve">: Organize a post-incident review meeting to discuss lessons learned and refine security protocols. </w:t>
      </w:r>
    </w:p>
    <w:p>
      <w:pPr>
        <w:pStyle w:val="BodyText"/>
        <w:rPr>
          <w:color w:val="111111"/>
        </w:rPr>
      </w:pPr>
      <w:r>
        <w:rPr>
          <w:color w:val="111111"/>
        </w:rPr>
        <w:t>This postmortem report serves as a record of the incident and the measures taken to resolve it, with a focus on improving future prevention and response strategies.</w:t>
      </w:r>
    </w:p>
    <w:p>
      <w:pPr>
        <w:pStyle w:val="Heading3"/>
        <w:rPr/>
      </w:pPr>
      <w:r>
        <w:rPr>
          <w:rStyle w:val="Strong"/>
          <w:color w:val="111111"/>
        </w:rPr>
        <w:t>Lessons Learned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111111"/>
        </w:rPr>
        <w:t>Vulnerability Management:</w:t>
      </w:r>
      <w:r>
        <w:rPr>
          <w:color w:val="111111"/>
        </w:rPr>
        <w:t xml:space="preserve"> There was a gap in the patch management process that allowed this exploit to take place. Improved patching protocols and regular vulnerability scans will be implemented to prevent similar attacks in the future.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color w:val="111111"/>
        </w:rPr>
        <w:t>Monitoring and Alerts:</w:t>
      </w:r>
      <w:r>
        <w:rPr>
          <w:color w:val="111111"/>
        </w:rPr>
        <w:t xml:space="preserve"> The detection of this attack was reliant on log analysis. Enhanced, real-time monitoring and alert systems will be set up to identify and respond to future threats more quickly.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111111"/>
        </w:rPr>
        <w:t>Access Control:</w:t>
      </w:r>
      <w:r>
        <w:rPr>
          <w:color w:val="111111"/>
        </w:rPr>
        <w:t xml:space="preserve"> A review of access controls for web applications and servers will be conducted to ensure that unauthorized access is better prevented.</w:t>
      </w:r>
    </w:p>
    <w:p>
      <w:pPr>
        <w:pStyle w:val="HorizontalLine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BodyText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BodyText"/>
        <w:spacing w:before="0" w:after="140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qFormat/>
    <w:rsid w:val="0062515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AU" w:eastAsia="en-GB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LibreOffice/24.8.5.2$Windows_X86_64 LibreOffice_project/fddf2685c70b461e7832239a0162a77216259f22</Application>
  <AppVersion>15.0000</AppVersion>
  <Pages>3</Pages>
  <Words>734</Words>
  <Characters>4464</Characters>
  <CharactersWithSpaces>5155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2022-03-23T19:48:00Z</dcterms:created>
  <dc:creator/>
  <dc:description/>
  <dc:language>en-AU</dc:language>
  <cp:lastModifiedBy/>
  <dcterms:modified xsi:type="dcterms:W3CDTF">2025-03-22T04:07:14Z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