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CLBIPP | Additional Product Changes</w:t>
      </w:r>
    </w:p>
    <w:p>
      <w:r>
        <w:t>Concise draft • Product feedback for review</w:t>
      </w:r>
    </w:p>
    <w:p>
      <w:pPr>
        <w:pStyle w:val="Heading1"/>
      </w:pPr>
      <w:r>
        <w:t>01  Fleet signup — EPR Registration ID optional</w:t>
      </w:r>
    </w:p>
    <w:p>
      <w:r>
        <w:t>Make the EPR Registration ID optional in Fleet signup. Users can register without it; save the value when provided.</w:t>
      </w:r>
    </w:p>
    <w:p>
      <w:pPr>
        <w:pStyle w:val="Heading1"/>
      </w:pPr>
      <w:r>
        <w:t>02  Phone number mandatory at signup</w:t>
      </w:r>
    </w:p>
    <w:p>
      <w:r>
        <w:t>Require a valid phone number to complete signup, with frontend and backend validation.</w:t>
      </w:r>
    </w:p>
    <w:p>
      <w:pPr>
        <w:pStyle w:val="Heading1"/>
      </w:pPr>
      <w:r>
        <w:t>03  Reassign jobs when an agent cannot attend</w:t>
      </w:r>
    </w:p>
    <w:p>
      <w:r>
        <w:t>Allow Admin to reassign an active pickup if the assigned agent cannot attend. Require a reason, retain assignment history, notify the replacement agent, and remove the job from the original agent’s active queue.</w:t>
      </w:r>
    </w:p>
    <w:p>
      <w:pPr>
        <w:pStyle w:val="Heading1"/>
      </w:pPr>
      <w:r>
        <w:t>04  Untagged battery exception requires admin approval</w:t>
      </w:r>
    </w:p>
    <w:p>
      <w:r>
        <w:t>If a battery is untagged, the agent must submit an exception request with a reason and battery/pickup details. Admin approves or rejects it. Block progression until approval, and record the decision for audit.</w:t>
      </w:r>
    </w:p>
    <w:p>
      <w:pPr>
        <w:pStyle w:val="Heading1"/>
      </w:pPr>
      <w:r>
        <w:t>05  Record renegotiated prices on both sides</w:t>
      </w:r>
    </w:p>
    <w:p>
      <w:r>
        <w:t>When an agent renegotiates a price with Admin, both sides must record or confirm the revised amount. Keep the original price, final approved price, reason, and approval history synchronized across both apps.</w:t>
      </w:r>
    </w:p>
    <w:p>
      <w:pPr>
        <w:pStyle w:val="Heading1"/>
      </w:pPr>
      <w:r>
        <w:t>06  Vehicle number at pickup and hub drop-off</w:t>
      </w:r>
    </w:p>
    <w:p>
      <w:r>
        <w:t>Show and capture the pickup vehicle registration number in the Agent App (already present in Admin). At hub drop-off, record or confirm the vehicle number and retain a history of any corrections.</w:t>
      </w:r>
    </w:p>
    <w:p>
      <w:pPr>
        <w:pStyle w:val="Heading1"/>
      </w:pPr>
      <w:r>
        <w:t>Decisions to confirm</w:t>
      </w:r>
    </w:p>
    <w:p>
      <w:pPr>
        <w:pStyle w:val="ListBullet"/>
      </w:pPr>
      <w:r>
        <w:t>Whether phone OTP verification is needed.</w:t>
      </w:r>
    </w:p>
    <w:p>
      <w:pPr>
        <w:pStyle w:val="ListBullet"/>
      </w:pPr>
      <w:r>
        <w:t>Who can initiate and approve reassignment or untagged-battery exceptions.</w:t>
      </w:r>
    </w:p>
    <w:p>
      <w:pPr>
        <w:pStyle w:val="ListBullet"/>
      </w:pPr>
      <w:r>
        <w:t>Who approves a renegotiated price and whether customer reconfirmation is required.</w:t>
      </w:r>
    </w:p>
    <w:p>
      <w:pPr>
        <w:pStyle w:val="ListBullet"/>
      </w:pPr>
      <w:r>
        <w:t>Whether vehicle number is mandatory at both pickup and drop-off.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E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