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50"/>
        </w:rPr>
        <w:t>CLBIPP</w:t>
      </w:r>
    </w:p>
    <w:p>
      <w:pPr>
        <w:jc w:val="center"/>
      </w:pPr>
      <w:r>
        <w:rPr>
          <w:rFonts w:ascii="Aptos Display" w:hAnsi="Aptos Display"/>
          <w:b/>
          <w:sz w:val="34"/>
        </w:rPr>
        <w:t>Changes Based on Presentation Feedback</w:t>
      </w:r>
    </w:p>
    <w:p>
      <w:pPr>
        <w:jc w:val="center"/>
      </w:pPr>
      <w:r>
        <w:rPr>
          <w:i/>
          <w:sz w:val="21"/>
        </w:rPr>
        <w:t>Customer App • Field Agent App • Admin App • Logistics &amp; Lifecycle</w:t>
      </w:r>
    </w:p>
    <w:p>
      <w:r>
        <w:t>This document consolidates the changes identified after presenting the completed three-app CLBIPP platform. The updates focus on improving data quality, field verification, dispatch operations, collection logistics, chain of custody, and downstream battery lifecycle decisions.</w:t>
      </w:r>
    </w:p>
    <w:p>
      <w:pPr>
        <w:pStyle w:val="Heading1"/>
      </w:pPr>
      <w:r>
        <w:t>1. Core Workflow Changes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9"/>
              </w:rPr>
              <w:t>Change</w:t>
            </w:r>
          </w:p>
        </w:tc>
        <w:tc>
          <w:tcPr>
            <w:tcW w:type="dxa" w:w="3408"/>
            <w:vAlign w:val="center"/>
            <w:shd w:fill="D9EAF7"/>
          </w:tcPr>
          <w:p>
            <w:r/>
            <w:r>
              <w:rPr>
                <w:b/>
                <w:sz w:val="19"/>
              </w:rPr>
              <w:t>Required Update</w:t>
            </w:r>
          </w:p>
        </w:tc>
        <w:tc>
          <w:tcPr>
            <w:tcW w:type="dxa" w:w="3408"/>
            <w:vAlign w:val="center"/>
            <w:shd w:fill="D9EAF7"/>
          </w:tcPr>
          <w:p>
            <w:r/>
            <w:r>
              <w:rPr>
                <w:b/>
                <w:sz w:val="19"/>
              </w:rPr>
              <w:t>Purpose</w:t>
            </w:r>
          </w:p>
        </w:tc>
      </w:tr>
      <w:tr>
        <w:tc>
          <w:tcPr>
            <w:tcW w:type="dxa" w:w="3408"/>
            <w:vAlign w:val="center"/>
          </w:tcPr>
          <w:p>
            <w:r/>
            <w:r>
              <w:rPr>
                <w:b/>
                <w:sz w:val="19"/>
              </w:rPr>
              <w:t>Mandatory Customer Battery Photos</w:t>
            </w:r>
          </w:p>
        </w:tc>
        <w:tc>
          <w:tcPr>
            <w:tcW w:type="dxa" w:w="3408"/>
            <w:vAlign w:val="center"/>
          </w:tcPr>
          <w:p>
            <w:r/>
            <w:r>
              <w:rPr>
                <w:b w:val="0"/>
                <w:sz w:val="19"/>
              </w:rPr>
              <w:t>Customers must upload at least one clear photograph of the battery or battery lot before submitting a pickup request.</w:t>
            </w:r>
          </w:p>
        </w:tc>
        <w:tc>
          <w:tcPr>
            <w:tcW w:type="dxa" w:w="3408"/>
            <w:vAlign w:val="center"/>
          </w:tcPr>
          <w:p>
            <w:r/>
            <w:r>
              <w:rPr>
                <w:b w:val="0"/>
                <w:sz w:val="19"/>
              </w:rPr>
              <w:t>Improves pre-screening and gives the operations team visibility into quantity, size, visible damage and handling requirements before an agent is dispatched.</w:t>
            </w:r>
          </w:p>
        </w:tc>
      </w:tr>
      <w:tr>
        <w:tc>
          <w:tcPr>
            <w:tcW w:type="dxa" w:w="3408"/>
            <w:vAlign w:val="center"/>
          </w:tcPr>
          <w:p>
            <w:r/>
            <w:r>
              <w:rPr>
                <w:b/>
                <w:sz w:val="19"/>
              </w:rPr>
              <w:t>Remove Preliminary Estimated Offer</w:t>
            </w:r>
          </w:p>
        </w:tc>
        <w:tc>
          <w:tcPr>
            <w:tcW w:type="dxa" w:w="3408"/>
            <w:vAlign w:val="center"/>
          </w:tcPr>
          <w:p>
            <w:r/>
            <w:r>
              <w:rPr>
                <w:b w:val="0"/>
                <w:sz w:val="19"/>
              </w:rPr>
              <w:t>Remove the initial estimated value shown to the customer before physical inspection. The customer should receive the commercial offer only after the field agent completes the physical inspection.</w:t>
            </w:r>
          </w:p>
        </w:tc>
        <w:tc>
          <w:tcPr>
            <w:tcW w:type="dxa" w:w="3408"/>
            <w:vAlign w:val="center"/>
          </w:tcPr>
          <w:p>
            <w:r/>
            <w:r>
              <w:rPr>
                <w:b w:val="0"/>
                <w:sz w:val="19"/>
              </w:rPr>
              <w:t>Prevents the customer from anchoring expectations to an estimate that may change after condition, chemistry, weight and damage are physically verified.</w:t>
            </w:r>
          </w:p>
        </w:tc>
      </w:tr>
      <w:tr>
        <w:tc>
          <w:tcPr>
            <w:tcW w:type="dxa" w:w="3408"/>
            <w:vAlign w:val="center"/>
          </w:tcPr>
          <w:p>
            <w:r/>
            <w:r>
              <w:rPr>
                <w:b/>
                <w:sz w:val="19"/>
              </w:rPr>
              <w:t>Mandatory Agent Inspection Photos</w:t>
            </w:r>
          </w:p>
        </w:tc>
        <w:tc>
          <w:tcPr>
            <w:tcW w:type="dxa" w:w="3408"/>
            <w:vAlign w:val="center"/>
          </w:tcPr>
          <w:p>
            <w:r/>
            <w:r>
              <w:rPr>
                <w:b w:val="0"/>
                <w:sz w:val="19"/>
              </w:rPr>
              <w:t>Field agents must capture or upload battery photographs during the physical inspection.</w:t>
            </w:r>
          </w:p>
        </w:tc>
        <w:tc>
          <w:tcPr>
            <w:tcW w:type="dxa" w:w="3408"/>
            <w:vAlign w:val="center"/>
          </w:tcPr>
          <w:p>
            <w:r/>
            <w:r>
              <w:rPr>
                <w:b w:val="0"/>
                <w:sz w:val="19"/>
              </w:rPr>
              <w:t>Creates verified inspection evidence and supports pricing decisions, audits and dispute resolution.</w:t>
            </w:r>
          </w:p>
        </w:tc>
      </w:tr>
      <w:tr>
        <w:tc>
          <w:tcPr>
            <w:tcW w:type="dxa" w:w="3408"/>
            <w:vAlign w:val="center"/>
          </w:tcPr>
          <w:p>
            <w:r/>
            <w:r>
              <w:rPr>
                <w:b/>
                <w:sz w:val="19"/>
              </w:rPr>
              <w:t>Separate Inspection and Collection</w:t>
            </w:r>
          </w:p>
        </w:tc>
        <w:tc>
          <w:tcPr>
            <w:tcW w:type="dxa" w:w="3408"/>
            <w:vAlign w:val="center"/>
          </w:tcPr>
          <w:p>
            <w:r/>
            <w:r>
              <w:rPr>
                <w:b w:val="0"/>
                <w:sz w:val="19"/>
              </w:rPr>
              <w:t>After inspection, the agent should be able to choose either “Collect Today” or “Schedule Pickup for Later.” Inspection date, scheduled pickup date and actual collection time should remain separate.</w:t>
            </w:r>
          </w:p>
        </w:tc>
        <w:tc>
          <w:tcPr>
            <w:tcW w:type="dxa" w:w="3408"/>
            <w:vAlign w:val="center"/>
          </w:tcPr>
          <w:p>
            <w:r/>
            <w:r>
              <w:rPr>
                <w:b w:val="0"/>
                <w:sz w:val="19"/>
              </w:rPr>
              <w:t>Supports cases where vehicle capacity, safety requirements, route constraints or battery quantity make same-day collection impractical.</w:t>
            </w:r>
          </w:p>
        </w:tc>
      </w:tr>
      <w:tr>
        <w:tc>
          <w:tcPr>
            <w:tcW w:type="dxa" w:w="3408"/>
            <w:vAlign w:val="center"/>
          </w:tcPr>
          <w:p>
            <w:r/>
            <w:r>
              <w:rPr>
                <w:b/>
                <w:sz w:val="19"/>
              </w:rPr>
              <w:t>Verified Battery Weight</w:t>
            </w:r>
          </w:p>
        </w:tc>
        <w:tc>
          <w:tcPr>
            <w:tcW w:type="dxa" w:w="3408"/>
            <w:vAlign w:val="center"/>
          </w:tcPr>
          <w:p>
            <w:r/>
            <w:r>
              <w:rPr>
                <w:b w:val="0"/>
                <w:sz w:val="19"/>
              </w:rPr>
              <w:t>Agents should record the actual battery weight using a portable digital platform scale. The app should distinguish measured weight from any customer-declared or estimated weight.</w:t>
            </w:r>
          </w:p>
        </w:tc>
        <w:tc>
          <w:tcPr>
            <w:tcW w:type="dxa" w:w="3408"/>
            <w:vAlign w:val="center"/>
          </w:tcPr>
          <w:p>
            <w:r/>
            <w:r>
              <w:rPr>
                <w:b w:val="0"/>
                <w:sz w:val="19"/>
              </w:rPr>
              <w:t>Provides a reliable physical measurement for valuation, handling and logistics planning.</w:t>
            </w:r>
          </w:p>
        </w:tc>
      </w:tr>
    </w:tbl>
    <w:p>
      <w:pPr>
        <w:pStyle w:val="Heading1"/>
      </w:pPr>
      <w:r>
        <w:t>2. Admin Dispatch Improvements</w:t>
      </w:r>
    </w:p>
    <w:p>
      <w:pPr>
        <w:pStyle w:val="Heading2"/>
      </w:pPr>
      <w:r>
        <w:t>2.1 Dispatch Filtering and Sorting</w:t>
      </w:r>
    </w:p>
    <w:p>
      <w:r>
        <w:t>The Admin Dispatch screen should provide operational filters and sorting rather than functioning only as a basic job list.</w:t>
      </w:r>
    </w:p>
    <w:p>
      <w:pPr>
        <w:pStyle w:val="ListBullet"/>
        <w:spacing w:after="40"/>
      </w:pPr>
      <w:r>
        <w:t>Filter by pickup status.</w:t>
      </w:r>
    </w:p>
    <w:p>
      <w:pPr>
        <w:pStyle w:val="ListBullet"/>
        <w:spacing w:after="40"/>
      </w:pPr>
      <w:r>
        <w:t>Filter by scheduled date or date range.</w:t>
      </w:r>
    </w:p>
    <w:p>
      <w:pPr>
        <w:pStyle w:val="ListBullet"/>
        <w:spacing w:after="40"/>
      </w:pPr>
      <w:r>
        <w:t>Filter by location or service area.</w:t>
      </w:r>
    </w:p>
    <w:p>
      <w:pPr>
        <w:pStyle w:val="ListBullet"/>
        <w:spacing w:after="40"/>
      </w:pPr>
      <w:r>
        <w:t>Filter by assigned or unassigned jobs.</w:t>
      </w:r>
    </w:p>
    <w:p>
      <w:pPr>
        <w:pStyle w:val="ListBullet"/>
        <w:spacing w:after="40"/>
      </w:pPr>
      <w:r>
        <w:t>Filter by field agent.</w:t>
      </w:r>
    </w:p>
    <w:p>
      <w:pPr>
        <w:pStyle w:val="ListBullet"/>
        <w:spacing w:after="40"/>
      </w:pPr>
      <w:r>
        <w:t>Optionally filter by battery quantity/type and operational priority.</w:t>
      </w:r>
    </w:p>
    <w:p>
      <w:pPr>
        <w:pStyle w:val="ListBullet"/>
        <w:spacing w:after="40"/>
      </w:pPr>
      <w:r>
        <w:t>Sort by scheduled date, request date and other useful operational fields.</w:t>
      </w:r>
    </w:p>
    <w:p>
      <w:pPr>
        <w:pStyle w:val="Heading2"/>
      </w:pPr>
      <w:r>
        <w:t>2.2 Field-Agent Live Job Count</w:t>
      </w:r>
    </w:p>
    <w:p>
      <w:r>
        <w:t>While an admin is assigning a job, the assignment interface should display each field agent’s current live workload. Completed and cancelled work should not be counted as live jobs.</w:t>
      </w:r>
    </w:p>
    <w:p>
      <w:r>
        <w:rPr>
          <w:b/>
        </w:rPr>
        <w:t xml:space="preserve">Example: </w:t>
      </w:r>
      <w:r>
        <w:t>Ali — 3 live jobs | Aamir — 1 live job | Khalid — 5 live jobs</w:t>
      </w:r>
    </w:p>
    <w:p>
      <w:r>
        <w:t>This allows dispatchers to balance workload and can later be extended with agent location, route proximity and automatic agent recommendations.</w:t>
      </w:r>
    </w:p>
    <w:p>
      <w:pPr>
        <w:pStyle w:val="Heading1"/>
      </w:pPr>
      <w:r>
        <w:t>3. Field Agent Inspection and Pickup</w:t>
      </w:r>
    </w:p>
    <w:p>
      <w:pPr>
        <w:pStyle w:val="Heading2"/>
      </w:pPr>
      <w:r>
        <w:t>3.1 Battery Weight Measurement</w:t>
      </w:r>
    </w:p>
    <w:p>
      <w:r>
        <w:t>Battery weight should not rely only on visual estimation. Field agents should use a portable digital platform scale appropriate for the expected battery weights and enter the measured value in kilograms.</w:t>
      </w:r>
    </w:p>
    <w:p>
      <w:pPr>
        <w:pStyle w:val="ListBullet"/>
        <w:spacing w:after="40"/>
      </w:pPr>
      <w:r>
        <w:t>Record the measured weight in the Agent App.</w:t>
      </w:r>
    </w:p>
    <w:p>
      <w:pPr>
        <w:pStyle w:val="ListBullet"/>
        <w:spacing w:after="40"/>
      </w:pPr>
      <w:r>
        <w:t>Optionally record the measurement method: digital scale, manufacturer label, or estimated/unable to weigh.</w:t>
      </w:r>
    </w:p>
    <w:p>
      <w:pPr>
        <w:pStyle w:val="ListBullet"/>
        <w:spacing w:after="40"/>
      </w:pPr>
      <w:r>
        <w:t>Where stronger evidence is required, allow a photograph showing the battery and the scale reading.</w:t>
      </w:r>
    </w:p>
    <w:p>
      <w:pPr>
        <w:pStyle w:val="ListBullet"/>
        <w:spacing w:after="40"/>
      </w:pPr>
      <w:r>
        <w:t>Use verified measured weight for downstream valuation where available.</w:t>
      </w:r>
    </w:p>
    <w:p>
      <w:pPr>
        <w:pStyle w:val="Heading2"/>
      </w:pPr>
      <w:r>
        <w:t>3.2 Inspection vs. Scheduled Collection</w:t>
      </w:r>
    </w:p>
    <w:p>
      <w:r>
        <w:t>The inspection workflow should no longer assume that every inspected battery can be collected immediately.</w:t>
      </w:r>
    </w:p>
    <w:p>
      <w:pPr>
        <w:jc w:val="center"/>
      </w:pPr>
      <w:r>
        <w:rPr>
          <w:b/>
        </w:rPr>
        <w:t>Inspection → Final Offer → Customer Acceptance → Collect Today OR Schedule Pickup → Collection</w:t>
      </w:r>
    </w:p>
    <w:p>
      <w:r>
        <w:t>If collection is scheduled for later, the selected pickup date should be visible in the Customer App and should create an actionable future job in Admin Dispatch.</w:t>
      </w:r>
    </w:p>
    <w:p>
      <w:pPr>
        <w:pStyle w:val="Heading2"/>
      </w:pPr>
      <w:r>
        <w:t>3.3 Mandatory Agent Battery Photos</w:t>
      </w:r>
    </w:p>
    <w:p>
      <w:r>
        <w:t>Agent photographs are separate from customer photographs. Customer images represent what was declared before the visit; agent images represent what was physically verified during inspection.</w:t>
      </w:r>
    </w:p>
    <w:p>
      <w:pPr>
        <w:pStyle w:val="ListBullet"/>
        <w:spacing w:after="40"/>
      </w:pPr>
      <w:r>
        <w:t>Capture an overall battery/battery-lot image.</w:t>
      </w:r>
    </w:p>
    <w:p>
      <w:pPr>
        <w:pStyle w:val="ListBullet"/>
        <w:spacing w:after="40"/>
      </w:pPr>
      <w:r>
        <w:t>Capture identifying labels or model information where available.</w:t>
      </w:r>
    </w:p>
    <w:p>
      <w:pPr>
        <w:pStyle w:val="ListBullet"/>
        <w:spacing w:after="40"/>
      </w:pPr>
      <w:r>
        <w:t>Capture visible damage, leakage, terminals or other condition factors relevant to valuation.</w:t>
      </w:r>
    </w:p>
    <w:p>
      <w:pPr>
        <w:pStyle w:val="ListBullet"/>
        <w:spacing w:after="40"/>
      </w:pPr>
      <w:r>
        <w:t>Associate the evidence with the inspected battery or battery lot.</w:t>
      </w:r>
    </w:p>
    <w:p>
      <w:pPr>
        <w:pStyle w:val="Heading1"/>
      </w:pPr>
      <w:r>
        <w:t>4. Multi-Pickup Logistics and Chain of Custody</w:t>
      </w:r>
    </w:p>
    <w:p>
      <w:r>
        <w:t>A practical logistics issue arises when one field agent collects batteries from several nearby customers on the same day. CLBIPP should support consolidated transport without losing the identity or custody history of individual pickups.</w:t>
      </w:r>
    </w:p>
    <w:p>
      <w:pPr>
        <w:pStyle w:val="Heading2"/>
      </w:pPr>
      <w:r>
        <w:t>4.1 QR-Tracked Transport Box / Container</w:t>
      </w:r>
    </w:p>
    <w:p>
      <w:r>
        <w:t>Reusable transport boxes or containers should have unique QR codes. At the start of a collection run, the agent scans the container, and batteries collected during that run are digitally associated with it.</w:t>
      </w:r>
    </w:p>
    <w:p>
      <w:pPr>
        <w:jc w:val="center"/>
      </w:pPr>
      <w:r>
        <w:rPr>
          <w:b/>
        </w:rPr>
        <w:t>Pickup A + Pickup B + Pickup C → QR-Tracked Transport Box → Facility / Hub</w:t>
      </w:r>
    </w:p>
    <w:p>
      <w:pPr>
        <w:pStyle w:val="Heading2"/>
      </w:pPr>
      <w:r>
        <w:t>4.2 Battery / Pickup Tags for Segregation</w:t>
      </w:r>
    </w:p>
    <w:p>
      <w:r>
        <w:t>The transport-box QR alone is not sufficient because batteries from multiple customers may be physically mixed inside the same vehicle or container. Each battery, or an operationally appropriate battery lot, should therefore receive an identifiable tag.</w:t>
      </w:r>
    </w:p>
    <w:p>
      <w:pPr>
        <w:pStyle w:val="ListBullet"/>
        <w:spacing w:after="40"/>
      </w:pPr>
      <w:r>
        <w:t>Tag should link to the pickup ID.</w:t>
      </w:r>
    </w:p>
    <w:p>
      <w:pPr>
        <w:pStyle w:val="ListBullet"/>
        <w:spacing w:after="40"/>
      </w:pPr>
      <w:r>
        <w:t>Tag should link to the battery/item ID where individual tracking is used.</w:t>
      </w:r>
    </w:p>
    <w:p>
      <w:pPr>
        <w:pStyle w:val="ListBullet"/>
        <w:spacing w:after="40"/>
      </w:pPr>
      <w:r>
        <w:t>Tag may also reference the transport box/container ID.</w:t>
      </w:r>
    </w:p>
    <w:p>
      <w:pPr>
        <w:pStyle w:val="ListBullet"/>
        <w:spacing w:after="40"/>
      </w:pPr>
      <w:r>
        <w:t>QR or scannable identifiers can be used to reconcile items at the facility.</w:t>
      </w:r>
    </w:p>
    <w:p>
      <w:pPr>
        <w:pStyle w:val="Heading2"/>
      </w:pPr>
      <w:r>
        <w:t>4.3 Same-Day Nearby Pickup Grouping</w:t>
      </w:r>
    </w:p>
    <w:p>
      <w:r>
        <w:t>Admin Dispatch should eventually support grouping geographically nearby pickups scheduled for the same day into one collection run. This reduces repeated trips while retaining segregation through tags and digital container tracking.</w:t>
      </w:r>
    </w:p>
    <w:p>
      <w:pPr>
        <w:pStyle w:val="ListBullet"/>
        <w:spacing w:after="40"/>
      </w:pPr>
      <w:r>
        <w:t>Select compatible nearby pickups.</w:t>
      </w:r>
    </w:p>
    <w:p>
      <w:pPr>
        <w:pStyle w:val="ListBullet"/>
        <w:spacing w:after="40"/>
      </w:pPr>
      <w:r>
        <w:t>Assign one field agent/team.</w:t>
      </w:r>
    </w:p>
    <w:p>
      <w:pPr>
        <w:pStyle w:val="ListBullet"/>
        <w:spacing w:after="40"/>
      </w:pPr>
      <w:r>
        <w:t>Associate a vehicle or collection run where applicable.</w:t>
      </w:r>
    </w:p>
    <w:p>
      <w:pPr>
        <w:pStyle w:val="ListBullet"/>
        <w:spacing w:after="40"/>
      </w:pPr>
      <w:r>
        <w:t>Assign or scan the transport container.</w:t>
      </w:r>
    </w:p>
    <w:p>
      <w:pPr>
        <w:pStyle w:val="ListBullet"/>
        <w:spacing w:after="40"/>
      </w:pPr>
      <w:r>
        <w:t>Collect each pickup while tagging items for segregation.</w:t>
      </w:r>
    </w:p>
    <w:p>
      <w:pPr>
        <w:pStyle w:val="ListBullet"/>
        <w:spacing w:after="40"/>
      </w:pPr>
      <w:r>
        <w:t>Scan and reconcile all items at the receiving facility.</w:t>
      </w:r>
    </w:p>
    <w:p>
      <w:pPr>
        <w:pStyle w:val="Heading1"/>
      </w:pPr>
      <w:r>
        <w:t>5. Battery End-of-Life Pathway</w:t>
      </w:r>
    </w:p>
    <w:p>
      <w:r>
        <w:t>After inspection and assessment, the system should make the downstream pathway operationally clear rather than treating every collected battery as recycling material.</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9"/>
              </w:rPr>
              <w:t>Pathway</w:t>
            </w:r>
          </w:p>
        </w:tc>
        <w:tc>
          <w:tcPr>
            <w:tcW w:type="dxa" w:w="3408"/>
            <w:vAlign w:val="center"/>
            <w:shd w:fill="D9EAF7"/>
          </w:tcPr>
          <w:p>
            <w:r/>
            <w:r>
              <w:rPr>
                <w:b/>
                <w:sz w:val="19"/>
              </w:rPr>
              <w:t>Meaning</w:t>
            </w:r>
          </w:p>
        </w:tc>
        <w:tc>
          <w:tcPr>
            <w:tcW w:type="dxa" w:w="3408"/>
            <w:vAlign w:val="center"/>
            <w:shd w:fill="D9EAF7"/>
          </w:tcPr>
          <w:p>
            <w:r/>
            <w:r>
              <w:rPr>
                <w:b/>
                <w:sz w:val="19"/>
              </w:rPr>
              <w:t>System Treatment</w:t>
            </w:r>
          </w:p>
        </w:tc>
      </w:tr>
      <w:tr>
        <w:tc>
          <w:tcPr>
            <w:tcW w:type="dxa" w:w="3408"/>
            <w:vAlign w:val="center"/>
          </w:tcPr>
          <w:p>
            <w:r/>
            <w:r>
              <w:rPr>
                <w:b/>
                <w:sz w:val="19"/>
              </w:rPr>
              <w:t>Second Life</w:t>
            </w:r>
          </w:p>
        </w:tc>
        <w:tc>
          <w:tcPr>
            <w:tcW w:type="dxa" w:w="3408"/>
            <w:vAlign w:val="center"/>
          </w:tcPr>
          <w:p>
            <w:r/>
            <w:r>
              <w:rPr>
                <w:b w:val="0"/>
                <w:sz w:val="19"/>
              </w:rPr>
              <w:t>Battery is suitable for continued use, repurposing or refurbishment based on assessment.</w:t>
            </w:r>
          </w:p>
        </w:tc>
        <w:tc>
          <w:tcPr>
            <w:tcW w:type="dxa" w:w="3408"/>
            <w:vAlign w:val="center"/>
          </w:tcPr>
          <w:p>
            <w:r/>
            <w:r>
              <w:rPr>
                <w:b w:val="0"/>
                <w:sz w:val="19"/>
              </w:rPr>
              <w:t>Record the selected pathway and route the battery to the appropriate second-life process/facility.</w:t>
            </w:r>
          </w:p>
        </w:tc>
      </w:tr>
      <w:tr>
        <w:tc>
          <w:tcPr>
            <w:tcW w:type="dxa" w:w="3408"/>
            <w:vAlign w:val="center"/>
          </w:tcPr>
          <w:p>
            <w:r/>
            <w:r>
              <w:rPr>
                <w:b/>
                <w:sz w:val="19"/>
              </w:rPr>
              <w:t>Recycling</w:t>
            </w:r>
          </w:p>
        </w:tc>
        <w:tc>
          <w:tcPr>
            <w:tcW w:type="dxa" w:w="3408"/>
            <w:vAlign w:val="center"/>
          </w:tcPr>
          <w:p>
            <w:r/>
            <w:r>
              <w:rPr>
                <w:b w:val="0"/>
                <w:sz w:val="19"/>
              </w:rPr>
              <w:t>Battery is not suitable for further useful service or is otherwise designated for material recovery.</w:t>
            </w:r>
          </w:p>
        </w:tc>
        <w:tc>
          <w:tcPr>
            <w:tcW w:type="dxa" w:w="3408"/>
            <w:vAlign w:val="center"/>
          </w:tcPr>
          <w:p>
            <w:r/>
            <w:r>
              <w:rPr>
                <w:b w:val="0"/>
                <w:sz w:val="19"/>
              </w:rPr>
              <w:t>Route it through the recycling workflow, recycler/facility custody and compliance process.</w:t>
            </w:r>
          </w:p>
        </w:tc>
      </w:tr>
    </w:tbl>
    <w:p>
      <w:pPr>
        <w:pStyle w:val="Heading1"/>
      </w:pPr>
      <w:r>
        <w:t>6. Revised End-to-End Workflow</w:t>
      </w:r>
    </w:p>
    <w:p>
      <w:pPr>
        <w:spacing w:after="60"/>
      </w:pPr>
      <w:r>
        <w:t>1. Customer creates a pickup/inspection request and uploads mandatory battery photos.</w:t>
      </w:r>
    </w:p>
    <w:p>
      <w:pPr>
        <w:spacing w:after="60"/>
      </w:pPr>
      <w:r>
        <w:t>2. Admin reviews and dispatches the request using filters, sorting and agent workload information.</w:t>
      </w:r>
    </w:p>
    <w:p>
      <w:pPr>
        <w:spacing w:after="60"/>
      </w:pPr>
      <w:r>
        <w:t>3. Field agent performs the physical inspection.</w:t>
      </w:r>
    </w:p>
    <w:p>
      <w:pPr>
        <w:spacing w:after="60"/>
      </w:pPr>
      <w:r>
        <w:t>4. Agent captures mandatory inspection photos and records verified battery weight and condition.</w:t>
      </w:r>
    </w:p>
    <w:p>
      <w:pPr>
        <w:spacing w:after="60"/>
      </w:pPr>
      <w:r>
        <w:t>5. The system generates the final valuation/offer after inspection.</w:t>
      </w:r>
    </w:p>
    <w:p>
      <w:pPr>
        <w:spacing w:after="60"/>
      </w:pPr>
      <w:r>
        <w:t>6. Customer accepts or rejects the final offer.</w:t>
      </w:r>
    </w:p>
    <w:p>
      <w:pPr>
        <w:spacing w:after="60"/>
      </w:pPr>
      <w:r>
        <w:t>7. If accepted, the agent either collects immediately or schedules a later pickup date.</w:t>
      </w:r>
    </w:p>
    <w:p>
      <w:pPr>
        <w:spacing w:after="60"/>
      </w:pPr>
      <w:r>
        <w:t>8. At collection, batteries are tagged to preserve pickup/item identity.</w:t>
      </w:r>
    </w:p>
    <w:p>
      <w:pPr>
        <w:spacing w:after="60"/>
      </w:pPr>
      <w:r>
        <w:t>9. Nearby same-day pickups may be consolidated into a QR-tracked transport box/container.</w:t>
      </w:r>
    </w:p>
    <w:p>
      <w:pPr>
        <w:spacing w:after="60"/>
      </w:pPr>
      <w:r>
        <w:t>10. The facility scans and reconciles the received batteries.</w:t>
      </w:r>
    </w:p>
    <w:p>
      <w:pPr>
        <w:spacing w:after="60"/>
      </w:pPr>
      <w:r>
        <w:t>11. Each battery follows the appropriate Second Life or Recycling pathway.</w:t>
      </w:r>
    </w:p>
    <w:p>
      <w:pPr>
        <w:spacing w:after="60"/>
      </w:pPr>
      <w:r>
        <w:t>12. Payment, compliance documents, chain-of-custody records and analytics are updated.</w:t>
      </w:r>
    </w:p>
    <w:p>
      <w:pPr>
        <w:pStyle w:val="Heading1"/>
      </w:pPr>
      <w:r>
        <w:t>7. Recommended Priority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9"/>
              </w:rPr>
              <w:t>Priority</w:t>
            </w:r>
          </w:p>
        </w:tc>
        <w:tc>
          <w:tcPr>
            <w:tcW w:type="dxa" w:w="3408"/>
            <w:vAlign w:val="center"/>
            <w:shd w:fill="D9EAF7"/>
          </w:tcPr>
          <w:p>
            <w:r/>
            <w:r>
              <w:rPr>
                <w:b/>
                <w:sz w:val="19"/>
              </w:rPr>
              <w:t>Change</w:t>
            </w:r>
          </w:p>
        </w:tc>
        <w:tc>
          <w:tcPr>
            <w:tcW w:type="dxa" w:w="3408"/>
            <w:vAlign w:val="center"/>
            <w:shd w:fill="D9EAF7"/>
          </w:tcPr>
          <w:p>
            <w:r/>
            <w:r>
              <w:rPr>
                <w:b/>
                <w:sz w:val="19"/>
              </w:rPr>
              <w:t>Primary Objective</w:t>
            </w:r>
          </w:p>
        </w:tc>
      </w:tr>
      <w:tr>
        <w:tc>
          <w:tcPr>
            <w:tcW w:type="dxa" w:w="3408"/>
            <w:vAlign w:val="center"/>
          </w:tcPr>
          <w:p>
            <w:r/>
            <w:r>
              <w:rPr>
                <w:b/>
                <w:sz w:val="19"/>
              </w:rPr>
              <w:t>P0</w:t>
            </w:r>
          </w:p>
        </w:tc>
        <w:tc>
          <w:tcPr>
            <w:tcW w:type="dxa" w:w="3408"/>
            <w:vAlign w:val="center"/>
          </w:tcPr>
          <w:p>
            <w:r/>
            <w:r>
              <w:rPr>
                <w:b w:val="0"/>
                <w:sz w:val="19"/>
              </w:rPr>
              <w:t>Mandatory customer battery photos</w:t>
            </w:r>
          </w:p>
        </w:tc>
        <w:tc>
          <w:tcPr>
            <w:tcW w:type="dxa" w:w="3408"/>
            <w:vAlign w:val="center"/>
          </w:tcPr>
          <w:p>
            <w:r/>
            <w:r>
              <w:rPr>
                <w:b w:val="0"/>
                <w:sz w:val="19"/>
              </w:rPr>
              <w:t>Core data quality</w:t>
            </w:r>
          </w:p>
        </w:tc>
      </w:tr>
      <w:tr>
        <w:tc>
          <w:tcPr>
            <w:tcW w:type="dxa" w:w="3408"/>
            <w:vAlign w:val="center"/>
          </w:tcPr>
          <w:p>
            <w:r/>
            <w:r>
              <w:rPr>
                <w:b/>
                <w:sz w:val="19"/>
              </w:rPr>
              <w:t>P0</w:t>
            </w:r>
          </w:p>
        </w:tc>
        <w:tc>
          <w:tcPr>
            <w:tcW w:type="dxa" w:w="3408"/>
            <w:vAlign w:val="center"/>
          </w:tcPr>
          <w:p>
            <w:r/>
            <w:r>
              <w:rPr>
                <w:b w:val="0"/>
                <w:sz w:val="19"/>
              </w:rPr>
              <w:t>Remove preliminary estimated offer</w:t>
            </w:r>
          </w:p>
        </w:tc>
        <w:tc>
          <w:tcPr>
            <w:tcW w:type="dxa" w:w="3408"/>
            <w:vAlign w:val="center"/>
          </w:tcPr>
          <w:p>
            <w:r/>
            <w:r>
              <w:rPr>
                <w:b w:val="0"/>
                <w:sz w:val="19"/>
              </w:rPr>
              <w:t>Customer pricing clarity</w:t>
            </w:r>
          </w:p>
        </w:tc>
      </w:tr>
      <w:tr>
        <w:tc>
          <w:tcPr>
            <w:tcW w:type="dxa" w:w="3408"/>
            <w:vAlign w:val="center"/>
          </w:tcPr>
          <w:p>
            <w:r/>
            <w:r>
              <w:rPr>
                <w:b/>
                <w:sz w:val="19"/>
              </w:rPr>
              <w:t>P0</w:t>
            </w:r>
          </w:p>
        </w:tc>
        <w:tc>
          <w:tcPr>
            <w:tcW w:type="dxa" w:w="3408"/>
            <w:vAlign w:val="center"/>
          </w:tcPr>
          <w:p>
            <w:r/>
            <w:r>
              <w:rPr>
                <w:b w:val="0"/>
                <w:sz w:val="19"/>
              </w:rPr>
              <w:t>Mandatory agent inspection photos</w:t>
            </w:r>
          </w:p>
        </w:tc>
        <w:tc>
          <w:tcPr>
            <w:tcW w:type="dxa" w:w="3408"/>
            <w:vAlign w:val="center"/>
          </w:tcPr>
          <w:p>
            <w:r/>
            <w:r>
              <w:rPr>
                <w:b w:val="0"/>
                <w:sz w:val="19"/>
              </w:rPr>
              <w:t>Verification and auditability</w:t>
            </w:r>
          </w:p>
        </w:tc>
      </w:tr>
      <w:tr>
        <w:tc>
          <w:tcPr>
            <w:tcW w:type="dxa" w:w="3408"/>
            <w:vAlign w:val="center"/>
          </w:tcPr>
          <w:p>
            <w:r/>
            <w:r>
              <w:rPr>
                <w:b/>
                <w:sz w:val="19"/>
              </w:rPr>
              <w:t>P0</w:t>
            </w:r>
          </w:p>
        </w:tc>
        <w:tc>
          <w:tcPr>
            <w:tcW w:type="dxa" w:w="3408"/>
            <w:vAlign w:val="center"/>
          </w:tcPr>
          <w:p>
            <w:r/>
            <w:r>
              <w:rPr>
                <w:b w:val="0"/>
                <w:sz w:val="19"/>
              </w:rPr>
              <w:t>Separate inspection and collection</w:t>
            </w:r>
          </w:p>
        </w:tc>
        <w:tc>
          <w:tcPr>
            <w:tcW w:type="dxa" w:w="3408"/>
            <w:vAlign w:val="center"/>
          </w:tcPr>
          <w:p>
            <w:r/>
            <w:r>
              <w:rPr>
                <w:b w:val="0"/>
                <w:sz w:val="19"/>
              </w:rPr>
              <w:t>Core operational workflow</w:t>
            </w:r>
          </w:p>
        </w:tc>
      </w:tr>
      <w:tr>
        <w:tc>
          <w:tcPr>
            <w:tcW w:type="dxa" w:w="3408"/>
            <w:vAlign w:val="center"/>
          </w:tcPr>
          <w:p>
            <w:r/>
            <w:r>
              <w:rPr>
                <w:b/>
                <w:sz w:val="19"/>
              </w:rPr>
              <w:t>P0</w:t>
            </w:r>
          </w:p>
        </w:tc>
        <w:tc>
          <w:tcPr>
            <w:tcW w:type="dxa" w:w="3408"/>
            <w:vAlign w:val="center"/>
          </w:tcPr>
          <w:p>
            <w:r/>
            <w:r>
              <w:rPr>
                <w:b w:val="0"/>
                <w:sz w:val="19"/>
              </w:rPr>
              <w:t>Verified battery weight measurement</w:t>
            </w:r>
          </w:p>
        </w:tc>
        <w:tc>
          <w:tcPr>
            <w:tcW w:type="dxa" w:w="3408"/>
            <w:vAlign w:val="center"/>
          </w:tcPr>
          <w:p>
            <w:r/>
            <w:r>
              <w:rPr>
                <w:b w:val="0"/>
                <w:sz w:val="19"/>
              </w:rPr>
              <w:t>Physical assessment and valuation</w:t>
            </w:r>
          </w:p>
        </w:tc>
      </w:tr>
      <w:tr>
        <w:tc>
          <w:tcPr>
            <w:tcW w:type="dxa" w:w="3408"/>
            <w:vAlign w:val="center"/>
          </w:tcPr>
          <w:p>
            <w:r/>
            <w:r>
              <w:rPr>
                <w:b/>
                <w:sz w:val="19"/>
              </w:rPr>
              <w:t>P1</w:t>
            </w:r>
          </w:p>
        </w:tc>
        <w:tc>
          <w:tcPr>
            <w:tcW w:type="dxa" w:w="3408"/>
            <w:vAlign w:val="center"/>
          </w:tcPr>
          <w:p>
            <w:r/>
            <w:r>
              <w:rPr>
                <w:b w:val="0"/>
                <w:sz w:val="19"/>
              </w:rPr>
              <w:t>Agent live-job count during assignment</w:t>
            </w:r>
          </w:p>
        </w:tc>
        <w:tc>
          <w:tcPr>
            <w:tcW w:type="dxa" w:w="3408"/>
            <w:vAlign w:val="center"/>
          </w:tcPr>
          <w:p>
            <w:r/>
            <w:r>
              <w:rPr>
                <w:b w:val="0"/>
                <w:sz w:val="19"/>
              </w:rPr>
              <w:t>Dispatch workload balancing</w:t>
            </w:r>
          </w:p>
        </w:tc>
      </w:tr>
      <w:tr>
        <w:tc>
          <w:tcPr>
            <w:tcW w:type="dxa" w:w="3408"/>
            <w:vAlign w:val="center"/>
          </w:tcPr>
          <w:p>
            <w:r/>
            <w:r>
              <w:rPr>
                <w:b/>
                <w:sz w:val="19"/>
              </w:rPr>
              <w:t>P1</w:t>
            </w:r>
          </w:p>
        </w:tc>
        <w:tc>
          <w:tcPr>
            <w:tcW w:type="dxa" w:w="3408"/>
            <w:vAlign w:val="center"/>
          </w:tcPr>
          <w:p>
            <w:r/>
            <w:r>
              <w:rPr>
                <w:b w:val="0"/>
                <w:sz w:val="19"/>
              </w:rPr>
              <w:t>Dispatch filtering and sorting</w:t>
            </w:r>
          </w:p>
        </w:tc>
        <w:tc>
          <w:tcPr>
            <w:tcW w:type="dxa" w:w="3408"/>
            <w:vAlign w:val="center"/>
          </w:tcPr>
          <w:p>
            <w:r/>
            <w:r>
              <w:rPr>
                <w:b w:val="0"/>
                <w:sz w:val="19"/>
              </w:rPr>
              <w:t>Operational efficiency</w:t>
            </w:r>
          </w:p>
        </w:tc>
      </w:tr>
      <w:tr>
        <w:tc>
          <w:tcPr>
            <w:tcW w:type="dxa" w:w="3408"/>
            <w:vAlign w:val="center"/>
          </w:tcPr>
          <w:p>
            <w:r/>
            <w:r>
              <w:rPr>
                <w:b/>
                <w:sz w:val="19"/>
              </w:rPr>
              <w:t>P1</w:t>
            </w:r>
          </w:p>
        </w:tc>
        <w:tc>
          <w:tcPr>
            <w:tcW w:type="dxa" w:w="3408"/>
            <w:vAlign w:val="center"/>
          </w:tcPr>
          <w:p>
            <w:r/>
            <w:r>
              <w:rPr>
                <w:b w:val="0"/>
                <w:sz w:val="19"/>
              </w:rPr>
              <w:t>Second Life / Recycling pathway</w:t>
            </w:r>
          </w:p>
        </w:tc>
        <w:tc>
          <w:tcPr>
            <w:tcW w:type="dxa" w:w="3408"/>
            <w:vAlign w:val="center"/>
          </w:tcPr>
          <w:p>
            <w:r/>
            <w:r>
              <w:rPr>
                <w:b w:val="0"/>
                <w:sz w:val="19"/>
              </w:rPr>
              <w:t>Downstream lifecycle management</w:t>
            </w:r>
          </w:p>
        </w:tc>
      </w:tr>
      <w:tr>
        <w:tc>
          <w:tcPr>
            <w:tcW w:type="dxa" w:w="3408"/>
            <w:vAlign w:val="center"/>
          </w:tcPr>
          <w:p>
            <w:r/>
            <w:r>
              <w:rPr>
                <w:b/>
                <w:sz w:val="19"/>
              </w:rPr>
              <w:t>P1/P2</w:t>
            </w:r>
          </w:p>
        </w:tc>
        <w:tc>
          <w:tcPr>
            <w:tcW w:type="dxa" w:w="3408"/>
            <w:vAlign w:val="center"/>
          </w:tcPr>
          <w:p>
            <w:r/>
            <w:r>
              <w:rPr>
                <w:b w:val="0"/>
                <w:sz w:val="19"/>
              </w:rPr>
              <w:t>Battery/pickup tagging</w:t>
            </w:r>
          </w:p>
        </w:tc>
        <w:tc>
          <w:tcPr>
            <w:tcW w:type="dxa" w:w="3408"/>
            <w:vAlign w:val="center"/>
          </w:tcPr>
          <w:p>
            <w:r/>
            <w:r>
              <w:rPr>
                <w:b w:val="0"/>
                <w:sz w:val="19"/>
              </w:rPr>
              <w:t>Segregation and chain of custody</w:t>
            </w:r>
          </w:p>
        </w:tc>
      </w:tr>
      <w:tr>
        <w:tc>
          <w:tcPr>
            <w:tcW w:type="dxa" w:w="3408"/>
            <w:vAlign w:val="center"/>
          </w:tcPr>
          <w:p>
            <w:r/>
            <w:r>
              <w:rPr>
                <w:b/>
                <w:sz w:val="19"/>
              </w:rPr>
              <w:t>P2</w:t>
            </w:r>
          </w:p>
        </w:tc>
        <w:tc>
          <w:tcPr>
            <w:tcW w:type="dxa" w:w="3408"/>
            <w:vAlign w:val="center"/>
          </w:tcPr>
          <w:p>
            <w:r/>
            <w:r>
              <w:rPr>
                <w:b w:val="0"/>
                <w:sz w:val="19"/>
              </w:rPr>
              <w:t>QR-tracked transport boxes</w:t>
            </w:r>
          </w:p>
        </w:tc>
        <w:tc>
          <w:tcPr>
            <w:tcW w:type="dxa" w:w="3408"/>
            <w:vAlign w:val="center"/>
          </w:tcPr>
          <w:p>
            <w:r/>
            <w:r>
              <w:rPr>
                <w:b w:val="0"/>
                <w:sz w:val="19"/>
              </w:rPr>
              <w:t>Consolidated logistics</w:t>
            </w:r>
          </w:p>
        </w:tc>
      </w:tr>
      <w:tr>
        <w:tc>
          <w:tcPr>
            <w:tcW w:type="dxa" w:w="3408"/>
            <w:vAlign w:val="center"/>
          </w:tcPr>
          <w:p>
            <w:r/>
            <w:r>
              <w:rPr>
                <w:b/>
                <w:sz w:val="19"/>
              </w:rPr>
              <w:t>P2</w:t>
            </w:r>
          </w:p>
        </w:tc>
        <w:tc>
          <w:tcPr>
            <w:tcW w:type="dxa" w:w="3408"/>
            <w:vAlign w:val="center"/>
          </w:tcPr>
          <w:p>
            <w:r/>
            <w:r>
              <w:rPr>
                <w:b w:val="0"/>
                <w:sz w:val="19"/>
              </w:rPr>
              <w:t>Same-day nearby pickup grouping</w:t>
            </w:r>
          </w:p>
        </w:tc>
        <w:tc>
          <w:tcPr>
            <w:tcW w:type="dxa" w:w="3408"/>
            <w:vAlign w:val="center"/>
          </w:tcPr>
          <w:p>
            <w:r/>
            <w:r>
              <w:rPr>
                <w:b w:val="0"/>
                <w:sz w:val="19"/>
              </w:rPr>
              <w:t>Route and vehicle efficiency</w:t>
            </w:r>
          </w:p>
        </w:tc>
      </w:tr>
    </w:tbl>
    <w:p>
      <w:pPr>
        <w:pStyle w:val="Heading1"/>
      </w:pPr>
      <w:r>
        <w:t>8. Summary</w:t>
      </w:r>
    </w:p>
    <w:p>
      <w:r>
        <w:t>The proposed changes strengthen CLBIPP from a three-interface demonstration into a more operationally realistic battery collection platform. The immediate focus should be evidence collection, removal of the premature customer valuation, verified field inspection, and separation of inspection from collection. The subsequent logistics improvements—battery tags, QR-tracked containers and geographically consolidated pickup runs—extend the platform's chain-of-custody capability while improving transport efficiency.</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CLBIPP — Presentation Feedback &amp; Proposed Changes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