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00"/>
      </w:pPr>
      <w:r>
        <w:rPr>
          <w:b/>
          <w:bCs/>
          <w:color w:val="0f172a"/>
          <w:sz w:val="48"/>
          <w:szCs w:val="48"/>
        </w:rPr>
        <w:t xml:space="preserve">Battery Waste Collection App</w:t>
      </w:r>
    </w:p>
    <w:p>
      <w:pPr>
        <w:spacing w:after="400"/>
      </w:pPr>
      <w:r>
        <w:rPr>
          <w:color w:val="475569"/>
          <w:sz w:val="26"/>
          <w:szCs w:val="26"/>
        </w:rPr>
        <w:t xml:space="preserve">Product &amp; Process Documentation — for Build Planning</w:t>
      </w:r>
    </w:p>
    <w:p>
      <w:pPr>
        <w:pBdr>
          <w:bottom w:val="single" w:color="0d9488" w:sz="12" w:space="1"/>
        </w:pBdr>
        <w:spacing w:after="300"/>
      </w:pPr>
      <w:r>
        <w:t xml:space="preserve"/>
      </w:r>
    </w:p>
    <w:p>
      <w:pPr>
        <w:pStyle w:val="Heading1"/>
        <w:spacing w:after="150" w:before="320"/>
      </w:pPr>
      <w:r>
        <w:t xml:space="preserve">1. Overview</w:t>
      </w:r>
    </w:p>
    <w:p>
      <w:pPr>
        <w:spacing w:after="160"/>
      </w:pPr>
      <w:r>
        <w:t xml:space="preserve">This app lets people (households, businesses, EV owners) get their dead/waste batteries picked up, get paid for them, and have them safely recycled through certified partners — while automatically generating compliance records required under India's Battery Waste Management Rules, 2022 (EPR). The UX pattern follows on-demand pickup platforms like EpiCircle (cab-booking-style scrap collection), adapted for battery-specific safety and regulatory needs.</w:t>
      </w:r>
    </w:p>
    <w:p>
      <w:pPr>
        <w:pStyle w:val="Heading1"/>
        <w:spacing w:after="150" w:before="320"/>
      </w:pPr>
      <w:r>
        <w:t xml:space="preserve">2. Users &amp; Roles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800"/>
      </w:tblGrid>
      <w:tr>
        <w:trPr>
          <w:tblHeader/>
        </w:trPr>
        <w:tc>
          <w:tcPr>
            <w:tcW w:type="dxa" w:w="2700"/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800"/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they do in the app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Books a pickup, gets paid, receives disposal certificate, tracks impact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Collection Partner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Accepts jobs, follows safety checklist, collects/weighs/categorizes batteries, gets paid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Facility/Hub Staff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Receives batteries from partners, sorts by chemistry, manages storage &amp; dispatch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Recycler/Refurbisher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Registered downstream partner who processes batteries and confirms recovery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Admin/Ops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Manages partners, pricing, facilities, and recycler network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Producer/OEM client (B2B)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Battery manufacturer/importer using the platform to meet their EPR obligations</w:t>
            </w:r>
          </w:p>
        </w:tc>
      </w:tr>
    </w:tbl>
    <w:p>
      <w:pPr>
        <w:pStyle w:val="Heading1"/>
        <w:spacing w:after="150" w:before="320"/>
      </w:pPr>
      <w:r>
        <w:t xml:space="preserve">3. App Modules &amp; Features</w:t>
      </w:r>
    </w:p>
    <w:p>
      <w:pPr>
        <w:pStyle w:val="Heading2"/>
        <w:spacing w:after="120" w:before="240"/>
      </w:pPr>
      <w:r>
        <w:t xml:space="preserve">3.1 Customer App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pickup — battery category selection + photo upload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Indicative pricing based on category, weight, condition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 tracking of assigned partner (map + ETA)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In-app chat/call with partner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Digital wallet — cash-out, or redeem as rewards/coins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Digital pickup &amp; disposal certificate (downloadable, shareable)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Personal impact dashboard — kg collected, CO2 avoided, materials recovered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 history and repeat-booking</w:t>
      </w:r>
    </w:p>
    <w:p>
      <w:pPr>
        <w:pStyle w:val="Heading2"/>
        <w:spacing w:after="120" w:before="240"/>
      </w:pPr>
      <w:r>
        <w:t xml:space="preserve">3.2 Partner (Collection Agent) App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Job feed — nearby pickup requests, accept/reject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GPS navigation to pickup location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Pre-pickup safety checklist (mandatory, per battery chemistry)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Categorization + weighing + condition capture (with photo proof)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Auto-calculated payout, added to partner wallet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Bulk drop-off flow at hub with digital handover receipt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Earnings history and incentive tracking</w:t>
      </w:r>
    </w:p>
    <w:p>
      <w:pPr>
        <w:pStyle w:val="Heading2"/>
        <w:spacing w:after="120" w:before="240"/>
      </w:pPr>
      <w:r>
        <w:t xml:space="preserve">3.3 Admin / Compliance Dashboard (Web)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Partner &amp; job management (assignment, zones, ratings)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Dynamic pricing engine by battery category/condition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Facility inventory — stock by chemistry, dwell-time alerts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Recycler/refurbisher directory — registration status, capacity, recovery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EPR reconciliation — collected vs. dispatched vs. certified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Reporting exports for CPCB/SPCB annual returns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Producer/OEM client portal — live progress against EPR targets</w:t>
      </w:r>
    </w:p>
    <w:p>
      <w:r>
        <w:br w:type="page"/>
      </w:r>
    </w:p>
    <w:p>
      <w:pPr>
        <w:pStyle w:val="Heading1"/>
        <w:spacing w:after="150" w:before="320"/>
      </w:pPr>
      <w:r>
        <w:t xml:space="preserve">4. End-to-End Workflow</w:t>
      </w:r>
    </w:p>
    <w:p>
      <w:pPr>
        <w:spacing w:after="160"/>
      </w:pPr>
      <w:r>
        <w:t xml:space="preserve">The diagram below shows the full pickup-to-compliance journey. Steps 1-4 are customer/partner-facing; steps 5-8 happen after the batteries leave the customer's hands.</w:t>
      </w:r>
    </w:p>
    <w:p>
      <w:pPr>
        <w:spacing w:after="200" w:before="200"/>
        <w:jc w:val="center"/>
      </w:pPr>
      <w:r>
        <w:drawing>
          <wp:inline distT="0" distB="0" distL="0" distR="0">
            <wp:extent cx="3771900" cy="526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20"/>
      </w:pPr>
      <w:r>
        <w:t xml:space="preserve">5. Workflow Steps (Detail)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Book a pickup — customer selects battery category and uploads a photo; app returns an indicative value.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Trained partner assigned — nearest available partner accepts and follows a mandatory safety checklist before pickup.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Categorize and weigh — partner logs chemistry type, condition (healthy/swollen/leaking), and weight, with photo evidence.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Instant payment — payout calculated from category + weight + condition; customer receives a digital certificate.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Aggregate and segregate — batteries are grouped strictly by chemistry at a collection hub, stored under safety norms.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Dispatch to recycler — only CPCB-registered recyclers/refurbishers receive shipments; a manifest is logged for traceability.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Recycle and recover — recycler extracts lithium, cobalt, nickel, lead, etc., and confirms processing in-app.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EPR and compliance — confirmation is converted into an EPR credit, reconciled against producer obligations, and rolled into CPCB/SPCB filings.</w:t>
      </w:r>
    </w:p>
    <w:p>
      <w:pPr>
        <w:pStyle w:val="Heading1"/>
        <w:spacing w:after="150" w:before="320"/>
      </w:pPr>
      <w:r>
        <w:t xml:space="preserve">6. Core Data Entities (for backend design)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900"/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(Customer)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name, address, phone, wallet balance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Partner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name, zone, vehicle, safety-training status, rating, wallet balance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Pickup Request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customer_id, partner_id, status, category, photo, scheduled time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Battery Item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pickup_id, chemistry type, condition, weight, price, photo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Facility/Hub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location, current inventory by chemistry, capacity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Recycler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name, CPCB registration no., capacity, accepted chemistries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Dispatch Manifest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facility_id, recycler_id, item list, dispatch date, status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EPR Certificate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manifest_id, producer_id, quantity, issue date, CPCB reference</w:t>
            </w:r>
          </w:p>
        </w:tc>
      </w:tr>
    </w:tbl>
    <w:p>
      <w:pPr>
        <w:pStyle w:val="Heading1"/>
        <w:spacing w:after="150" w:before="320"/>
      </w:pPr>
      <w:r>
        <w:t xml:space="preserve">7. Suggested Tech Stack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&amp; Partner apps: cross-platform mobile (Flutter or React Native)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Backend: REST/GraphQL API, job-assignment &amp; pricing engine, wallet/payments service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Database: relational DB (PostgreSQL/MySQL) with an append-only audit log for traceability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AI/ML: image-based battery type &amp; condition detection at booking and pickup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dashboard: web app (React) with role-based access for ops, producers, and eventually regulators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Integrations: CPCB EPR portal, payment gateway/UPI, SMS/WhatsApp notifications, maps/geolocation</w:t>
      </w:r>
    </w:p>
    <w:p>
      <w:pPr>
        <w:pStyle w:val="Heading1"/>
        <w:spacing w:after="150" w:before="320"/>
      </w:pPr>
      <w:r>
        <w:t xml:space="preserve">8. Compliance Checklist (India)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Register the platform/collection entity, partners, and recyclers under the Battery Waste Management Rules, 2022 via the CPCB portal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Never route batteries to landfill or incineration — recycler/refurbisher only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Maintain chemistry-wise segregation from pickup through dispatch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 and reconcile EPR certificates for every batch processed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 annual returns to CPCB/SPCB (due 30 June for the prior financial year)</w:t>
      </w:r>
    </w:p>
    <w:p>
      <w:pPr>
        <w:pStyle w:val="Heading1"/>
        <w:spacing w:after="150" w:before="320"/>
      </w:pPr>
      <w:r>
        <w:t xml:space="preserve">9. Suggested Build Order (MVP → Scale)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MVP: Customer booking + Partner pickup + manual pricing + basic payment — for one battery category (e.g. portable) in one city.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categorization/condition capture with photo proof and automated pricing.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Facility/Hub module for segregation and dispatch tracking.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Integrate with 2-3 registered recyclers and build the EPR reconciliation flow.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Launch the B2B producer/OEM portal for compliance reporting.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Expand battery categories (automotive, industrial, EV) and cities.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4854eeac98e6d5a438f18aa902500a7e25eff5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2026-07-23T11:35:18.253Z</dcterms:created>
  <dcterms:modified xsi:type="dcterms:W3CDTF">2026-07-23T11:35:18.267Z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