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1BA6E" w14:textId="77777777" w:rsidR="00E57961" w:rsidRPr="00E57961" w:rsidRDefault="00E57961" w:rsidP="00E57961">
      <w:pPr>
        <w:widowControl/>
        <w:spacing w:before="100" w:beforeAutospacing="1" w:after="100" w:afterAutospacing="1"/>
        <w:jc w:val="left"/>
        <w:outlineLvl w:val="2"/>
        <w:rPr>
          <w:rFonts w:asciiTheme="minorEastAsia" w:hAnsiTheme="minorEastAsia" w:cs="SimSun"/>
          <w:b/>
          <w:bCs/>
          <w:kern w:val="0"/>
          <w:sz w:val="27"/>
          <w:szCs w:val="27"/>
        </w:rPr>
      </w:pPr>
      <w:r w:rsidRPr="00E57961">
        <w:rPr>
          <w:rFonts w:asciiTheme="minorEastAsia" w:hAnsiTheme="minorEastAsia" w:cs="SimSun"/>
          <w:b/>
          <w:bCs/>
          <w:kern w:val="0"/>
          <w:sz w:val="27"/>
          <w:szCs w:val="27"/>
        </w:rPr>
        <w:t xml:space="preserve">Sanofi </w:t>
      </w:r>
      <w:proofErr w:type="spellStart"/>
      <w:r w:rsidRPr="00E57961">
        <w:rPr>
          <w:rFonts w:asciiTheme="minorEastAsia" w:hAnsiTheme="minorEastAsia" w:cs="SimSun"/>
          <w:b/>
          <w:bCs/>
          <w:kern w:val="0"/>
          <w:sz w:val="27"/>
          <w:szCs w:val="27"/>
        </w:rPr>
        <w:t>Praluent</w:t>
      </w:r>
      <w:proofErr w:type="spellEnd"/>
      <w:r w:rsidRPr="00E57961">
        <w:rPr>
          <w:rFonts w:asciiTheme="minorEastAsia" w:hAnsiTheme="minorEastAsia" w:cs="SimSun"/>
          <w:b/>
          <w:bCs/>
          <w:kern w:val="0"/>
          <w:sz w:val="27"/>
          <w:szCs w:val="27"/>
        </w:rPr>
        <w:t>: Medicaid Drug Utilization Analysis</w:t>
      </w:r>
    </w:p>
    <w:p w14:paraId="5B79E27B" w14:textId="77777777" w:rsidR="00E57961" w:rsidRPr="00E57961" w:rsidRDefault="00E57961" w:rsidP="00E57961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SimSun"/>
          <w:b/>
          <w:bCs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Project Overview</w:t>
      </w:r>
    </w:p>
    <w:p w14:paraId="6DF25E53" w14:textId="4B372181" w:rsidR="00E57961" w:rsidRDefault="00E57961" w:rsidP="00E57961">
      <w:pPr>
        <w:widowControl/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This project was developed as the individual core assignment for the graduate course </w:t>
      </w: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"Machine Learning and Deep Learning."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 Its primary objective was to </w:t>
      </w: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practice an end-to-end data analysis pipeline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: learning how to identify and source data based on a self-selected theme and a real-world business problem, perform data cleaning and processing, and ultimately utilize Power BI for data visualization and business intelligence analytics. Using </w:t>
      </w: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 xml:space="preserve">drug utilization analysis of </w:t>
      </w:r>
      <w:proofErr w:type="spellStart"/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Praluent</w:t>
      </w:r>
      <w:proofErr w:type="spellEnd"/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 xml:space="preserve"> versus Repatha within the U.S. Medicaid system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 as a case study, the project explores data-driven market insights.</w:t>
      </w:r>
    </w:p>
    <w:p w14:paraId="1D0D33F2" w14:textId="763DC8E4" w:rsidR="00B431B1" w:rsidRPr="00B431B1" w:rsidRDefault="00B431B1" w:rsidP="00B431B1">
      <w:pPr>
        <w:widowControl/>
        <w:jc w:val="left"/>
        <w:rPr>
          <w:rFonts w:hint="eastAsia"/>
          <w:sz w:val="24"/>
          <w:szCs w:val="24"/>
        </w:rPr>
      </w:pPr>
      <w:r w:rsidRPr="00B431B1">
        <w:rPr>
          <w:rFonts w:asciiTheme="minorEastAsia" w:hAnsiTheme="minorEastAsia" w:cs="SimSun" w:hint="eastAsia"/>
          <w:kern w:val="0"/>
          <w:sz w:val="24"/>
          <w:szCs w:val="24"/>
        </w:rPr>
        <w:t>Link</w:t>
      </w:r>
      <w:r w:rsidRPr="00B431B1">
        <w:rPr>
          <w:rFonts w:asciiTheme="minorEastAsia" w:hAnsiTheme="minorEastAsia" w:cs="SimSun"/>
          <w:kern w:val="0"/>
          <w:sz w:val="24"/>
          <w:szCs w:val="24"/>
        </w:rPr>
        <w:t xml:space="preserve"> to</w:t>
      </w:r>
      <w:r w:rsidR="00E571D3">
        <w:rPr>
          <w:rFonts w:asciiTheme="minorEastAsia" w:hAnsiTheme="minorEastAsia" w:cs="SimSun"/>
          <w:kern w:val="0"/>
          <w:sz w:val="24"/>
          <w:szCs w:val="24"/>
        </w:rPr>
        <w:t xml:space="preserve"> download</w:t>
      </w:r>
      <w:r w:rsidRPr="00B431B1">
        <w:rPr>
          <w:rFonts w:asciiTheme="minorEastAsia" w:hAnsiTheme="minorEastAsia" w:cs="SimSun"/>
          <w:kern w:val="0"/>
          <w:sz w:val="24"/>
          <w:szCs w:val="24"/>
        </w:rPr>
        <w:t xml:space="preserve"> the </w:t>
      </w:r>
      <w:proofErr w:type="spellStart"/>
      <w:r w:rsidRPr="00B431B1">
        <w:rPr>
          <w:rFonts w:asciiTheme="minorEastAsia" w:hAnsiTheme="minorEastAsia" w:cs="SimSun"/>
          <w:kern w:val="0"/>
          <w:sz w:val="24"/>
          <w:szCs w:val="24"/>
        </w:rPr>
        <w:t>PowerBI</w:t>
      </w:r>
      <w:proofErr w:type="spellEnd"/>
      <w:r w:rsidRPr="00B431B1">
        <w:rPr>
          <w:rFonts w:asciiTheme="minorEastAsia" w:hAnsiTheme="minorEastAsia" w:cs="SimSun"/>
          <w:kern w:val="0"/>
          <w:sz w:val="24"/>
          <w:szCs w:val="24"/>
        </w:rPr>
        <w:t xml:space="preserve"> Dashboard: </w:t>
      </w:r>
      <w:r w:rsidRPr="00B431B1">
        <w:rPr>
          <w:rFonts w:asciiTheme="minorEastAsia" w:hAnsiTheme="minorEastAsia" w:cs="SimSun"/>
          <w:kern w:val="0"/>
          <w:sz w:val="24"/>
          <w:szCs w:val="24"/>
        </w:rPr>
        <w:tab/>
      </w:r>
      <w:hyperlink r:id="rId5" w:history="1">
        <w:r w:rsidRPr="00B431B1">
          <w:rPr>
            <w:rStyle w:val="Hyperlink"/>
            <w:sz w:val="24"/>
            <w:szCs w:val="24"/>
          </w:rPr>
          <w:t>Sanofi Praluent Drug Utilization Analysis.pbix</w:t>
        </w:r>
      </w:hyperlink>
    </w:p>
    <w:p w14:paraId="6230424E" w14:textId="77777777" w:rsidR="00B431B1" w:rsidRPr="00B431B1" w:rsidRDefault="00B431B1" w:rsidP="00E57961">
      <w:pPr>
        <w:widowControl/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</w:p>
    <w:p w14:paraId="06198799" w14:textId="77777777" w:rsidR="00E57961" w:rsidRPr="00E57961" w:rsidRDefault="00E57961" w:rsidP="00E57961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SimSun"/>
          <w:b/>
          <w:bCs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Professional Context &amp; Business Problem</w:t>
      </w:r>
    </w:p>
    <w:p w14:paraId="1C73AC5C" w14:textId="77777777" w:rsidR="00E57961" w:rsidRPr="00E57961" w:rsidRDefault="00E57961" w:rsidP="00E57961">
      <w:pPr>
        <w:widowControl/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Professional Context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br/>
        <w:t xml:space="preserve">The business context for this analysis stems from </w:t>
      </w: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Sanofi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, a global biopharmaceutical company, seeking to advance health equity for its product </w:t>
      </w:r>
      <w:proofErr w:type="spellStart"/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Praluent</w:t>
      </w:r>
      <w:proofErr w:type="spellEnd"/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 among low-income (Medicaid) populations in the United States. Both </w:t>
      </w:r>
      <w:proofErr w:type="spellStart"/>
      <w:r w:rsidRPr="00E57961">
        <w:rPr>
          <w:rFonts w:asciiTheme="minorEastAsia" w:hAnsiTheme="minorEastAsia" w:cs="SimSun"/>
          <w:kern w:val="0"/>
          <w:sz w:val="24"/>
          <w:szCs w:val="24"/>
        </w:rPr>
        <w:t>Praluent</w:t>
      </w:r>
      <w:proofErr w:type="spellEnd"/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 and its primary competitor </w:t>
      </w: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Repatha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 are PCSK9 inhibitors, a class of high-cost injectable biologics prescribed to reduce the risk of myocardial infarction and stroke. The analysis aims to 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lastRenderedPageBreak/>
        <w:t>uncover systemic barriers to drug access—such as cost-control mechanisms (prior authorization, step-therapy) and a shortage of qualified healthcare professionals—which may prevent vulnerable populations from receiving optimal preventative care.</w:t>
      </w:r>
    </w:p>
    <w:p w14:paraId="1CA80C9B" w14:textId="77777777" w:rsidR="00E57961" w:rsidRPr="00E57961" w:rsidRDefault="00E57961" w:rsidP="00E57961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SimSun"/>
          <w:b/>
          <w:bCs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Data Source &amp; Processing</w:t>
      </w:r>
    </w:p>
    <w:p w14:paraId="75F85F36" w14:textId="77777777" w:rsidR="00E57961" w:rsidRPr="00E57961" w:rsidRDefault="00E57961" w:rsidP="00E57961">
      <w:pPr>
        <w:widowControl/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Dataset and Source</w:t>
      </w:r>
    </w:p>
    <w:p w14:paraId="546990B4" w14:textId="77777777" w:rsidR="00E57961" w:rsidRPr="00E57961" w:rsidRDefault="00E57961" w:rsidP="00E579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Primary Data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: </w:t>
      </w: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State Drug Utilization Data (SDUD)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, sourced from the official U.S. data portal </w:t>
      </w:r>
      <w:hyperlink r:id="rId6" w:tgtFrame="_blank" w:history="1">
        <w:r w:rsidRPr="00E57961">
          <w:rPr>
            <w:rFonts w:asciiTheme="minorEastAsia" w:hAnsiTheme="minorEastAsia" w:cs="SimSun"/>
            <w:color w:val="0000FF"/>
            <w:kern w:val="0"/>
            <w:sz w:val="24"/>
            <w:szCs w:val="24"/>
            <w:u w:val="single"/>
          </w:rPr>
          <w:t>Data.gov</w:t>
        </w:r>
      </w:hyperlink>
      <w:r w:rsidRPr="00E57961">
        <w:rPr>
          <w:rFonts w:asciiTheme="minorEastAsia" w:hAnsiTheme="minorEastAsia" w:cs="SimSun"/>
          <w:kern w:val="0"/>
          <w:sz w:val="24"/>
          <w:szCs w:val="24"/>
        </w:rPr>
        <w:t>. This dataset records all outpatient drugs reimbursed by state Medicaid agencies.</w:t>
      </w:r>
    </w:p>
    <w:p w14:paraId="70E12D6B" w14:textId="77777777" w:rsidR="00E57961" w:rsidRPr="00E57961" w:rsidRDefault="00E57961" w:rsidP="00E579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Supplementary Data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: The </w:t>
      </w: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FDA's National Drug Code (NDC) Directory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>, used to obtain detailed information on dosage form, strength, and delivery device.</w:t>
      </w:r>
    </w:p>
    <w:p w14:paraId="09984E85" w14:textId="77777777" w:rsidR="00E57961" w:rsidRPr="00E57961" w:rsidRDefault="00E57961" w:rsidP="00E579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Analysis Period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>: Eight consecutive quarters from Q1 2023 through Q4 2024.</w:t>
      </w:r>
    </w:p>
    <w:p w14:paraId="3309067B" w14:textId="77777777" w:rsidR="00E57961" w:rsidRPr="00E57961" w:rsidRDefault="00E57961" w:rsidP="00E5796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Key Variables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>: Number of prescriptions, Medicaid reimbursement amount, state, and NDC code.</w:t>
      </w:r>
    </w:p>
    <w:p w14:paraId="7C4A5F11" w14:textId="77777777" w:rsidR="00E57961" w:rsidRPr="00E57961" w:rsidRDefault="00E57961" w:rsidP="00E57961">
      <w:pPr>
        <w:widowControl/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Data Preparation Procedures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br/>
        <w:t>Data preparation followed a structured ETL (Extract, Transform, Load) pipeline to ensure analytical integrity:</w:t>
      </w:r>
    </w:p>
    <w:p w14:paraId="4C2E0CD5" w14:textId="77777777" w:rsidR="00E57961" w:rsidRPr="00E57961" w:rsidRDefault="00E57961" w:rsidP="00E579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Exploration &amp; Verification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>: Confirmed the dataset contained sufficient relevant variables and records.</w:t>
      </w:r>
    </w:p>
    <w:p w14:paraId="1DAF1262" w14:textId="77777777" w:rsidR="00E57961" w:rsidRPr="00E57961" w:rsidRDefault="00E57961" w:rsidP="00E579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Cleaning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>: Addressed missing values, removed duplicate records, and standardized textual data in categorical fields (e.g., state names, product labels).</w:t>
      </w:r>
    </w:p>
    <w:p w14:paraId="60610C9F" w14:textId="77777777" w:rsidR="00E57961" w:rsidRPr="00E57961" w:rsidRDefault="00E57961" w:rsidP="00E579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lastRenderedPageBreak/>
        <w:t>Transformation &amp; Merging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>: Consolidated quarterly SDUD files into a unified dataset, which was then joined with the FDA NDC Directory using the NDC code as the key to accurately distinguish product and device types.</w:t>
      </w:r>
    </w:p>
    <w:p w14:paraId="062E137F" w14:textId="77777777" w:rsidR="00E57961" w:rsidRPr="00E57961" w:rsidRDefault="00E57961" w:rsidP="00E579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Feature Engineering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>: Created new calculated metrics, such as average reimbursement per prescription and period-over-period growth rates.</w:t>
      </w:r>
    </w:p>
    <w:p w14:paraId="30AE998C" w14:textId="77777777" w:rsidR="00E57961" w:rsidRPr="00E57961" w:rsidRDefault="00E57961" w:rsidP="00E57961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SimSun"/>
          <w:b/>
          <w:bCs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Analytics Tools &amp; Techniques</w:t>
      </w:r>
    </w:p>
    <w:p w14:paraId="3545625B" w14:textId="77777777" w:rsidR="00E57961" w:rsidRPr="00E57961" w:rsidRDefault="00E57961" w:rsidP="00E57961">
      <w:pPr>
        <w:widowControl/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Business Intelligence Tools and Techniques</w:t>
      </w:r>
    </w:p>
    <w:p w14:paraId="41DB1660" w14:textId="77777777" w:rsidR="00E57961" w:rsidRPr="00E57961" w:rsidRDefault="00E57961" w:rsidP="00E5796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Power Query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>: Used for all data loading, transformation (e.g., type changes, filtering), and merging operations to build a relational data model.</w:t>
      </w:r>
    </w:p>
    <w:p w14:paraId="0CF62823" w14:textId="77777777" w:rsidR="00E57961" w:rsidRPr="00E57961" w:rsidRDefault="00E57961" w:rsidP="00E5796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DAX (Data Analysis Expressions)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>: Employed to create core calculated measures, including total prescriptions, average reimbursement amount, and year-over-year growth percentage.</w:t>
      </w:r>
    </w:p>
    <w:p w14:paraId="5A6E7039" w14:textId="77777777" w:rsidR="00E57961" w:rsidRPr="00E57961" w:rsidRDefault="00E57961" w:rsidP="00E5796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Theme="minorEastAsia" w:hAnsiTheme="minorEastAsia" w:cs="SimSun"/>
          <w:kern w:val="0"/>
          <w:sz w:val="24"/>
          <w:szCs w:val="24"/>
        </w:rPr>
      </w:pPr>
      <w:r w:rsidRPr="00E57961">
        <w:rPr>
          <w:rFonts w:asciiTheme="minorEastAsia" w:hAnsiTheme="minorEastAsia" w:cs="SimSun"/>
          <w:b/>
          <w:bCs/>
          <w:kern w:val="0"/>
          <w:sz w:val="24"/>
          <w:szCs w:val="24"/>
        </w:rPr>
        <w:t>Power BI Visualizations</w:t>
      </w:r>
      <w:r w:rsidRPr="00E57961">
        <w:rPr>
          <w:rFonts w:asciiTheme="minorEastAsia" w:hAnsiTheme="minorEastAsia" w:cs="SimSun"/>
          <w:kern w:val="0"/>
          <w:sz w:val="24"/>
          <w:szCs w:val="24"/>
        </w:rPr>
        <w:t xml:space="preserve">: Constructed interactive dashboards utilizing various visualizations—line charts, bar charts, </w:t>
      </w:r>
      <w:proofErr w:type="spellStart"/>
      <w:r w:rsidRPr="00E57961">
        <w:rPr>
          <w:rFonts w:asciiTheme="minorEastAsia" w:hAnsiTheme="minorEastAsia" w:cs="SimSun"/>
          <w:kern w:val="0"/>
          <w:sz w:val="24"/>
          <w:szCs w:val="24"/>
        </w:rPr>
        <w:t>treemaps</w:t>
      </w:r>
      <w:proofErr w:type="spellEnd"/>
      <w:r w:rsidRPr="00E57961">
        <w:rPr>
          <w:rFonts w:asciiTheme="minorEastAsia" w:hAnsiTheme="minorEastAsia" w:cs="SimSun"/>
          <w:kern w:val="0"/>
          <w:sz w:val="24"/>
          <w:szCs w:val="24"/>
        </w:rPr>
        <w:t>, and filled maps—to answer specific business questions.</w:t>
      </w:r>
    </w:p>
    <w:p w14:paraId="6FF94EED" w14:textId="77777777" w:rsidR="006C7E43" w:rsidRPr="00E57961" w:rsidRDefault="006C7E43">
      <w:pPr>
        <w:rPr>
          <w:rFonts w:asciiTheme="minorEastAsia" w:hAnsiTheme="minorEastAsia"/>
        </w:rPr>
      </w:pPr>
    </w:p>
    <w:sectPr w:rsidR="006C7E43" w:rsidRPr="00E5796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60CB6"/>
    <w:multiLevelType w:val="multilevel"/>
    <w:tmpl w:val="8AFE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2402B"/>
    <w:multiLevelType w:val="multilevel"/>
    <w:tmpl w:val="E5AA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71619"/>
    <w:multiLevelType w:val="multilevel"/>
    <w:tmpl w:val="F31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44ABA"/>
    <w:multiLevelType w:val="multilevel"/>
    <w:tmpl w:val="0B8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D8"/>
    <w:rsid w:val="005556D8"/>
    <w:rsid w:val="006C7E43"/>
    <w:rsid w:val="00830974"/>
    <w:rsid w:val="00B431B1"/>
    <w:rsid w:val="00D73594"/>
    <w:rsid w:val="00E571D3"/>
    <w:rsid w:val="00E5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1D22"/>
  <w15:chartTrackingRefBased/>
  <w15:docId w15:val="{CED558EF-49BC-4D2C-AAD1-31CB8335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E57961"/>
    <w:pPr>
      <w:widowControl/>
      <w:spacing w:before="100" w:beforeAutospacing="1" w:after="100" w:afterAutospacing="1"/>
      <w:jc w:val="left"/>
      <w:outlineLvl w:val="2"/>
    </w:pPr>
    <w:rPr>
      <w:rFonts w:ascii="SimSun" w:eastAsia="SimSun" w:hAnsi="SimSun" w:cs="SimSu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7961"/>
    <w:pPr>
      <w:widowControl/>
      <w:spacing w:before="100" w:beforeAutospacing="1" w:after="100" w:afterAutospacing="1"/>
      <w:jc w:val="left"/>
      <w:outlineLvl w:val="3"/>
    </w:pPr>
    <w:rPr>
      <w:rFonts w:ascii="SimSun" w:eastAsia="SimSun" w:hAnsi="SimSun" w:cs="SimSu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7961"/>
    <w:rPr>
      <w:rFonts w:ascii="SimSun" w:eastAsia="SimSun" w:hAnsi="SimSun" w:cs="SimSu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7961"/>
    <w:rPr>
      <w:rFonts w:ascii="SimSun" w:eastAsia="SimSun" w:hAnsi="SimSun" w:cs="SimSun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Normal"/>
    <w:rsid w:val="00E57961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5796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5796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71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0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gov" TargetMode="External"/><Relationship Id="rId5" Type="http://schemas.openxmlformats.org/officeDocument/2006/relationships/hyperlink" Target="https://neoma-my.sharepoint.com/:u:/g/personal/yongqing_wang_25_neoma-bs_com/IQDDCvlau2PlQIgU2X7WhJGgAX4bH7bViRQncTmUqKezv0s?e=YelBo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6</cp:revision>
  <dcterms:created xsi:type="dcterms:W3CDTF">2025-12-23T10:48:00Z</dcterms:created>
  <dcterms:modified xsi:type="dcterms:W3CDTF">2026-01-19T12:48:00Z</dcterms:modified>
</cp:coreProperties>
</file>