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and representation rank as two of the most crucial elements of </w:t>
      </w:r>
      <w:proofErr w:type="gramStart"/>
      <w:r>
        <w:rPr>
          <w:rFonts w:ascii="Times New Roman" w:eastAsia="Times New Roman" w:hAnsi="Times New Roman" w:cs="Times New Roman"/>
          <w:sz w:val="24"/>
          <w:szCs w:val="24"/>
        </w:rPr>
        <w:t>democracy, yet</w:t>
      </w:r>
      <w:proofErr w:type="gramEnd"/>
      <w:r>
        <w:rPr>
          <w:rFonts w:ascii="Times New Roman" w:eastAsia="Times New Roman" w:hAnsi="Times New Roman" w:cs="Times New Roman"/>
          <w:sz w:val="24"/>
          <w:szCs w:val="24"/>
        </w:rPr>
        <w:t xml:space="preserve"> attempts to stifle Black voices and votes haunt the history of the United States. Voters determine leaders and leaders dictate policy, so silencing voters has severe conse</w:t>
      </w:r>
      <w:r>
        <w:rPr>
          <w:rFonts w:ascii="Times New Roman" w:eastAsia="Times New Roman" w:hAnsi="Times New Roman" w:cs="Times New Roman"/>
          <w:sz w:val="24"/>
          <w:szCs w:val="24"/>
        </w:rPr>
        <w:t>quences for representation. Although the days of outright voter suppression through mechanisms such as the Grandfather Clause and literacy tests have passed, Donald Trump’s popular vote loss and Electoral College victory in 2016 illustrated that some voter</w:t>
      </w:r>
      <w:r>
        <w:rPr>
          <w:rFonts w:ascii="Times New Roman" w:eastAsia="Times New Roman" w:hAnsi="Times New Roman" w:cs="Times New Roman"/>
          <w:sz w:val="24"/>
          <w:szCs w:val="24"/>
        </w:rPr>
        <w:t xml:space="preserve">s still carry more power than others. The distribution of voters across states determines whose votes carry the most electoral weight, and concentrations of various demographic groups vary across states. Given the nation’s history of voter suppression and </w:t>
      </w:r>
      <w:r>
        <w:rPr>
          <w:rFonts w:ascii="Times New Roman" w:eastAsia="Times New Roman" w:hAnsi="Times New Roman" w:cs="Times New Roman"/>
          <w:sz w:val="24"/>
          <w:szCs w:val="24"/>
        </w:rPr>
        <w:t>the heterogeneity of state-level populations, the Electoral College could very well perpetuate the underrepresentation of historically marginalized groups. This raises the question, does the Electoral College offer proportional representation for Black vot</w:t>
      </w:r>
      <w:r>
        <w:rPr>
          <w:rFonts w:ascii="Times New Roman" w:eastAsia="Times New Roman" w:hAnsi="Times New Roman" w:cs="Times New Roman"/>
          <w:sz w:val="24"/>
          <w:szCs w:val="24"/>
        </w:rPr>
        <w: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w:t>
      </w:r>
      <w:r>
        <w:rPr>
          <w:rFonts w:ascii="Times New Roman" w:eastAsia="Times New Roman" w:hAnsi="Times New Roman" w:cs="Times New Roman"/>
          <w:sz w:val="24"/>
          <w:szCs w:val="24"/>
        </w:rPr>
        <w:t>ntextualize the importance of proportional representation of Black voters in the Electoral College. Then, this paper takes a two-pronged approach to develop hypotheses for the research question. The first approach--referred to as the “National Approach”--e</w:t>
      </w:r>
      <w:r>
        <w:rPr>
          <w:rFonts w:ascii="Times New Roman" w:eastAsia="Times New Roman" w:hAnsi="Times New Roman" w:cs="Times New Roman"/>
          <w:sz w:val="24"/>
          <w:szCs w:val="24"/>
        </w:rPr>
        <w:t>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w:t>
      </w:r>
      <w:r>
        <w:rPr>
          <w:rFonts w:ascii="Times New Roman" w:eastAsia="Times New Roman" w:hAnsi="Times New Roman" w:cs="Times New Roman"/>
          <w:sz w:val="24"/>
          <w:szCs w:val="24"/>
        </w:rPr>
        <w:t xml:space="preserve">as a whole. After reviewing related literature and proposing two hypotheses, the following </w:t>
      </w:r>
      <w:r>
        <w:rPr>
          <w:rFonts w:ascii="Times New Roman" w:eastAsia="Times New Roman" w:hAnsi="Times New Roman" w:cs="Times New Roman"/>
          <w:sz w:val="24"/>
          <w:szCs w:val="24"/>
        </w:rPr>
        <w:lastRenderedPageBreak/>
        <w:t xml:space="preserve">two sections outline a unique quantitative method to assess each hypothesis with election data and state-level Census data: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National Approach utilizes linear reg</w:t>
      </w:r>
      <w:r>
        <w:rPr>
          <w:rFonts w:ascii="Times New Roman" w:eastAsia="Times New Roman" w:hAnsi="Times New Roman" w:cs="Times New Roman"/>
          <w:sz w:val="24"/>
          <w:szCs w:val="24"/>
        </w:rPr>
        <w:t>ression and the Battleground Approach uses a paired t-test. After assessing the limitations of each method, the paper tests the hypotheses using their respective methods. Finally, the paper concludes with a discussion of the results, their implications, an</w:t>
      </w:r>
      <w:r>
        <w:rPr>
          <w:rFonts w:ascii="Times New Roman" w:eastAsia="Times New Roman" w:hAnsi="Times New Roman" w:cs="Times New Roman"/>
          <w:sz w:val="24"/>
          <w:szCs w:val="24"/>
        </w:rPr>
        <w:t>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When discussing the representation of Black voters in the Electoral College, this analysis takes an aggregative view of</w:t>
      </w:r>
      <w:r>
        <w:rPr>
          <w:rFonts w:ascii="Times New Roman" w:eastAsia="Times New Roman" w:hAnsi="Times New Roman" w:cs="Times New Roman"/>
          <w:sz w:val="24"/>
          <w:szCs w:val="24"/>
        </w:rPr>
        <w:t xml:space="preserve"> substantive representation, which focuses on the representation of group interests in proportion to the numbers of that group (</w:t>
      </w: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1999). Proportional representation in voting has implications for both substantive representation in policy and desc</w:t>
      </w:r>
      <w:r>
        <w:rPr>
          <w:rFonts w:ascii="Times New Roman" w:eastAsia="Times New Roman" w:hAnsi="Times New Roman" w:cs="Times New Roman"/>
          <w:sz w:val="24"/>
          <w:szCs w:val="24"/>
        </w:rPr>
        <w:t>riptive representation in elected officials. Previous research found that African American voters are more likely to cast ballots for losing candidates in local, state, and federal elections across the United States (</w:t>
      </w: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2009). Assuming that Black vote</w:t>
      </w:r>
      <w:r>
        <w:rPr>
          <w:rFonts w:ascii="Times New Roman" w:eastAsia="Times New Roman" w:hAnsi="Times New Roman" w:cs="Times New Roman"/>
          <w:sz w:val="24"/>
          <w:szCs w:val="24"/>
        </w:rPr>
        <w:t>rs support candidates that best represent their descriptive and substantive interests, consistent election losses would hinder the representation of their interests. The previously described study examines the Black vote in the context of election results,</w:t>
      </w:r>
      <w:r>
        <w:rPr>
          <w:rFonts w:ascii="Times New Roman" w:eastAsia="Times New Roman" w:hAnsi="Times New Roman" w:cs="Times New Roman"/>
          <w:sz w:val="24"/>
          <w:szCs w:val="24"/>
        </w:rPr>
        <w:t xml:space="preserve"> but it does not consider the weight of the Black vote in determining those outcomes. This analysis aims to fill that gap. Previous research on congressional districts found that dividing minority voters equally across districts generally maximizes substan</w:t>
      </w:r>
      <w:r>
        <w:rPr>
          <w:rFonts w:ascii="Times New Roman" w:eastAsia="Times New Roman" w:hAnsi="Times New Roman" w:cs="Times New Roman"/>
          <w:sz w:val="24"/>
          <w:szCs w:val="24"/>
        </w:rPr>
        <w:t xml:space="preserve">tive representation (Cameron et al., 1996). If ballots cast by Black voters have less weight than ballots cast by non-Black voters, then underrepresentation in voting would also have downstream consequences on Black voters’ substantive representation--and </w:t>
      </w:r>
      <w:r>
        <w:rPr>
          <w:rFonts w:ascii="Times New Roman" w:eastAsia="Times New Roman" w:hAnsi="Times New Roman" w:cs="Times New Roman"/>
          <w:sz w:val="24"/>
          <w:szCs w:val="24"/>
        </w:rPr>
        <w:t xml:space="preserve">possibly descriptive representation--in the presidency. Considering the nation’s long history of voter suppression and </w:t>
      </w:r>
      <w:r>
        <w:rPr>
          <w:rFonts w:ascii="Times New Roman" w:eastAsia="Times New Roman" w:hAnsi="Times New Roman" w:cs="Times New Roman"/>
          <w:sz w:val="24"/>
          <w:szCs w:val="24"/>
        </w:rPr>
        <w:lastRenderedPageBreak/>
        <w:t>poor representation of Black Americans, the continued misrepresentation of Black voters through the Electoral College would exacerbate th</w:t>
      </w:r>
      <w:r>
        <w:rPr>
          <w:rFonts w:ascii="Times New Roman" w:eastAsia="Times New Roman" w:hAnsi="Times New Roman" w:cs="Times New Roman"/>
          <w:sz w:val="24"/>
          <w:szCs w:val="24"/>
        </w:rPr>
        <w:t>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w:t>
      </w:r>
      <w:r>
        <w:rPr>
          <w:rFonts w:ascii="Times New Roman" w:eastAsia="Times New Roman" w:hAnsi="Times New Roman" w:cs="Times New Roman"/>
          <w:b/>
          <w:i/>
          <w:sz w:val="24"/>
          <w:szCs w:val="24"/>
        </w:rPr>
        <w:t>onal Approach: Electoral Votes Per Capita</w:t>
      </w:r>
    </w:p>
    <w:p w14:paraId="6CC4BF40"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w:t>
      </w:r>
      <w:r>
        <w:rPr>
          <w:rFonts w:ascii="Times New Roman" w:eastAsia="Times New Roman" w:hAnsi="Times New Roman" w:cs="Times New Roman"/>
          <w:sz w:val="24"/>
          <w:szCs w:val="24"/>
        </w:rPr>
        <w:t xml:space="preserve">all voters have an equal voice, as they would in a national popular vote. Previous research has explored the relationship between electoral votes per capita and a state’s population of White voters in presidential elections from 2000 to 2020. However, not </w:t>
      </w:r>
      <w:r>
        <w:rPr>
          <w:rFonts w:ascii="Times New Roman" w:eastAsia="Times New Roman" w:hAnsi="Times New Roman" w:cs="Times New Roman"/>
          <w:sz w:val="24"/>
          <w:szCs w:val="24"/>
        </w:rPr>
        <w:t>all non-White individuals are Black. Due to the unique struggle of Black voters throughout American history, this analysis will focus on Black voters relative to non-Black voters. The previous research on White voters found that the Electoral College consi</w:t>
      </w:r>
      <w:r>
        <w:rPr>
          <w:rFonts w:ascii="Times New Roman" w:eastAsia="Times New Roman" w:hAnsi="Times New Roman" w:cs="Times New Roman"/>
          <w:sz w:val="24"/>
          <w:szCs w:val="24"/>
        </w:rPr>
        <w:t xml:space="preserve">stently awarded more votes per capita to states with Whiter populations and more racially conservative attitudes (Blake, 2019).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w:t>
      </w:r>
      <w:r>
        <w:rPr>
          <w:rFonts w:ascii="Times New Roman" w:eastAsia="Times New Roman" w:hAnsi="Times New Roman" w:cs="Times New Roman"/>
          <w:sz w:val="24"/>
          <w:szCs w:val="24"/>
        </w:rPr>
        <w:t>ults. Since states with larger White populations tend to award more electoral votes per capita, it follows that states with larger non-White populations tend to award fewer electoral votes per capita. This gives reason to contend that, as a whole, the Elec</w:t>
      </w:r>
      <w:r>
        <w:rPr>
          <w:rFonts w:ascii="Times New Roman" w:eastAsia="Times New Roman" w:hAnsi="Times New Roman" w:cs="Times New Roman"/>
          <w:sz w:val="24"/>
          <w:szCs w:val="24"/>
        </w:rPr>
        <w:t>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The average Black voter in the United States receives fewer electoral votes per capita than the average non-Black voter, implying that the Electoral College underrepresents Black voters on a </w:t>
      </w:r>
      <w:r>
        <w:rPr>
          <w:rFonts w:ascii="Times New Roman" w:eastAsia="Times New Roman" w:hAnsi="Times New Roman" w:cs="Times New Roman"/>
          <w:i/>
          <w:sz w:val="24"/>
          <w:szCs w:val="24"/>
        </w:rPr>
        <w:t>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Much narrower in scope than the National Approach, the Battleground Approach will focus on the winner-take-all nature of the Electoral College and its emphasis on battlegr</w:t>
      </w:r>
      <w:r>
        <w:rPr>
          <w:rFonts w:ascii="Times New Roman" w:eastAsia="Times New Roman" w:hAnsi="Times New Roman" w:cs="Times New Roman"/>
          <w:sz w:val="24"/>
          <w:szCs w:val="24"/>
        </w:rPr>
        <w:t>ound states. The winner-take-all system incentivizes candidates to strive for rail-thin margins across a wide range of states rather than seek out landslide victories in the most populous states. As a result, candidates often devote a disproportionate amou</w:t>
      </w:r>
      <w:r>
        <w:rPr>
          <w:rFonts w:ascii="Times New Roman" w:eastAsia="Times New Roman" w:hAnsi="Times New Roman" w:cs="Times New Roman"/>
          <w:sz w:val="24"/>
          <w:szCs w:val="24"/>
        </w:rPr>
        <w:t>nt of attention to “battleground” states in an attempt to win over just enough voters. Since these states often determine election winners, a larger proportion of Black voters in battleground states relative to non-battleground states would imply that Blac</w:t>
      </w:r>
      <w:r>
        <w:rPr>
          <w:rFonts w:ascii="Times New Roman" w:eastAsia="Times New Roman" w:hAnsi="Times New Roman" w:cs="Times New Roman"/>
          <w:sz w:val="24"/>
          <w:szCs w:val="24"/>
        </w:rPr>
        <w:t>k voters have a disproportionately large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construct a hypothesis about the proportional representation of Black voters in battleground states, one should consider the variables of race and partisanship. Since Black</w:t>
      </w:r>
      <w:r>
        <w:rPr>
          <w:rFonts w:ascii="Times New Roman" w:eastAsia="Times New Roman" w:hAnsi="Times New Roman" w:cs="Times New Roman"/>
          <w:sz w:val="24"/>
          <w:szCs w:val="24"/>
        </w:rPr>
        <w:t xml:space="preserve">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However, a previous study found that the sp</w:t>
      </w:r>
      <w:r>
        <w:rPr>
          <w:rFonts w:ascii="Times New Roman" w:eastAsia="Times New Roman" w:hAnsi="Times New Roman" w:cs="Times New Roman"/>
          <w:color w:val="0E101A"/>
          <w:sz w:val="24"/>
          <w:szCs w:val="24"/>
        </w:rPr>
        <w:t xml:space="preserve">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w:t>
      </w:r>
      <w:r>
        <w:rPr>
          <w:rFonts w:ascii="Times New Roman" w:eastAsia="Times New Roman" w:hAnsi="Times New Roman" w:cs="Times New Roman"/>
          <w:sz w:val="24"/>
          <w:szCs w:val="24"/>
        </w:rPr>
        <w:t>nate between parties since the turn of the century (</w:t>
      </w: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all Black voters vote for Democrats, which makes partisanship an imprecise gauge for the distribution of Black voters across key states. Fortunately, overall </w:t>
      </w:r>
      <w:r>
        <w:rPr>
          <w:rFonts w:ascii="Times New Roman" w:eastAsia="Times New Roman" w:hAnsi="Times New Roman" w:cs="Times New Roman"/>
          <w:sz w:val="24"/>
          <w:szCs w:val="24"/>
        </w:rPr>
        <w:lastRenderedPageBreak/>
        <w:t>population dem</w:t>
      </w:r>
      <w:r>
        <w:rPr>
          <w:rFonts w:ascii="Times New Roman" w:eastAsia="Times New Roman" w:hAnsi="Times New Roman" w:cs="Times New Roman"/>
          <w:sz w:val="24"/>
          <w:szCs w:val="24"/>
        </w:rPr>
        <w:t>ographics seem to reinforce the notion that the distribution of voters across states does not disadvantage Black voters. If anything, a larger-than-average Black composition of the voting-age population in battleground states could lead to overrepresentati</w:t>
      </w:r>
      <w:r>
        <w:rPr>
          <w:rFonts w:ascii="Times New Roman" w:eastAsia="Times New Roman" w:hAnsi="Times New Roman" w:cs="Times New Roman"/>
          <w:sz w:val="24"/>
          <w:szCs w:val="24"/>
        </w:rPr>
        <w:t>on of Black voters in key states relative to the nation as a whole. While many rural states with a high number of electoral votes per capita tend to have overwhelmingly White populations, many of the recurring battleground states have a relatively large bl</w:t>
      </w:r>
      <w:r>
        <w:rPr>
          <w:rFonts w:ascii="Times New Roman" w:eastAsia="Times New Roman" w:hAnsi="Times New Roman" w:cs="Times New Roman"/>
          <w:sz w:val="24"/>
          <w:szCs w:val="24"/>
        </w:rPr>
        <w:t>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w:t>
      </w:r>
      <w:r>
        <w:rPr>
          <w:rFonts w:ascii="Times New Roman" w:eastAsia="Times New Roman" w:hAnsi="Times New Roman" w:cs="Times New Roman"/>
          <w:sz w:val="24"/>
          <w:szCs w:val="24"/>
        </w:rPr>
        <w:t xml:space="preserve">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w:t>
      </w:r>
      <w:r>
        <w:rPr>
          <w:rFonts w:ascii="Times New Roman" w:eastAsia="Times New Roman" w:hAnsi="Times New Roman" w:cs="Times New Roman"/>
          <w:i/>
          <w:sz w:val="24"/>
          <w:szCs w:val="24"/>
        </w:rPr>
        <w:t>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w:t>
      </w:r>
      <w:r>
        <w:rPr>
          <w:rFonts w:ascii="Times New Roman" w:eastAsia="Times New Roman" w:hAnsi="Times New Roman" w:cs="Times New Roman"/>
          <w:sz w:val="24"/>
          <w:szCs w:val="24"/>
        </w:rPr>
        <w:t>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w:t>
      </w:r>
      <w:r>
        <w:rPr>
          <w:rFonts w:ascii="Times New Roman" w:eastAsia="Times New Roman" w:hAnsi="Times New Roman" w:cs="Times New Roman"/>
          <w:sz w:val="24"/>
          <w:szCs w:val="24"/>
        </w:rPr>
        <w:t xml:space="preserve"> determining if ballots cast in states with a higher share of Black voters carry less electoral weight relative to ballots from other states. An inverse relationship between the percentage of Black voters and electoral votes per million voters would provid</w:t>
      </w:r>
      <w:r>
        <w:rPr>
          <w:rFonts w:ascii="Times New Roman" w:eastAsia="Times New Roman" w:hAnsi="Times New Roman" w:cs="Times New Roman"/>
          <w:sz w:val="24"/>
          <w:szCs w:val="24"/>
        </w:rPr>
        <w:t xml:space="preserve">e evidence that Black voters face underrepresentation in the Electoral College system. In </w:t>
      </w:r>
      <w:r>
        <w:rPr>
          <w:rFonts w:ascii="Times New Roman" w:eastAsia="Times New Roman" w:hAnsi="Times New Roman" w:cs="Times New Roman"/>
          <w:sz w:val="24"/>
          <w:szCs w:val="24"/>
        </w:rPr>
        <w:lastRenderedPageBreak/>
        <w:t>practice, I use a separate regression for each year to account for changes in population and electoral vote distribution. Within each regression, individual states se</w:t>
      </w:r>
      <w:r>
        <w:rPr>
          <w:rFonts w:ascii="Times New Roman" w:eastAsia="Times New Roman" w:hAnsi="Times New Roman" w:cs="Times New Roman"/>
          <w:sz w:val="24"/>
          <w:szCs w:val="24"/>
        </w:rPr>
        <w:t>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w:t>
      </w:r>
      <w:r>
        <w:rPr>
          <w:rFonts w:ascii="Times New Roman" w:eastAsia="Times New Roman" w:hAnsi="Times New Roman" w:cs="Times New Roman"/>
          <w:sz w:val="24"/>
          <w:szCs w:val="24"/>
        </w:rPr>
        <w:t>rest. Then, using a mixture of variables such as name, the demographic breakdown of the voter’s Census tract, and voting history, I could impute the race for each of approximately 180 million voters in each election year. Even then, classification errors w</w:t>
      </w:r>
      <w:r>
        <w:rPr>
          <w:rFonts w:ascii="Times New Roman" w:eastAsia="Times New Roman" w:hAnsi="Times New Roman" w:cs="Times New Roman"/>
          <w:sz w:val="24"/>
          <w:szCs w:val="24"/>
        </w:rPr>
        <w:t>ould introduce some inaccuracy in the data. This approach, while doable, demands much more labor and money than warranted by the scope of this assignment.</w:t>
      </w:r>
    </w:p>
    <w:p w14:paraId="69E34FB6" w14:textId="1212D4AC"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this analysis uses state-level estimates of the citizen voting-age population (VAP) by race </w:t>
      </w:r>
      <w:r>
        <w:rPr>
          <w:rFonts w:ascii="Times New Roman" w:eastAsia="Times New Roman" w:hAnsi="Times New Roman" w:cs="Times New Roman"/>
          <w:sz w:val="24"/>
          <w:szCs w:val="24"/>
        </w:rPr>
        <w:t>and ethnicity, made available by the Census Bureau and compiled by IPUMS USA (Ruggles et al., 2021). Because the Census only tracked decennial estimates until 2000, I linearly interpolated</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population total VAP and Black VAP counts for each non-Census year before the turn of the century, calculating the Black proportion of the VAP for each of these years. Then, I replaced the interpolated total VAP counts for years from 1980-2014 with the st</w:t>
      </w:r>
      <w:r>
        <w:rPr>
          <w:rFonts w:ascii="Times New Roman" w:eastAsia="Times New Roman" w:hAnsi="Times New Roman" w:cs="Times New Roman"/>
          <w:sz w:val="24"/>
          <w:szCs w:val="24"/>
        </w:rPr>
        <w:t xml:space="preserve">ate-level total VAP data from the United States Elections Project (McDonald, n.d.). Unfortunately, the United States Elections Project did not have data with the state-level Black VAP, so I </w:t>
      </w:r>
      <w:r w:rsidR="004B3717">
        <w:rPr>
          <w:rFonts w:ascii="Times New Roman" w:eastAsia="Times New Roman" w:hAnsi="Times New Roman" w:cs="Times New Roman"/>
          <w:sz w:val="24"/>
          <w:szCs w:val="24"/>
        </w:rPr>
        <w:t xml:space="preserve">applied </w:t>
      </w:r>
      <w:r>
        <w:rPr>
          <w:rFonts w:ascii="Times New Roman" w:eastAsia="Times New Roman" w:hAnsi="Times New Roman" w:cs="Times New Roman"/>
          <w:sz w:val="24"/>
          <w:szCs w:val="24"/>
        </w:rPr>
        <w:t xml:space="preserve">the interpolated Black proportions </w:t>
      </w:r>
      <w:r w:rsidR="004B371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total VAP data to </w:t>
      </w:r>
      <w:r>
        <w:rPr>
          <w:rFonts w:ascii="Times New Roman" w:eastAsia="Times New Roman" w:hAnsi="Times New Roman" w:cs="Times New Roman"/>
          <w:sz w:val="24"/>
          <w:szCs w:val="24"/>
        </w:rPr>
        <w:t xml:space="preserve">recalculate the Black VAP estimates. In conjunction with this population data, data with electoral vote counts </w:t>
      </w:r>
      <w:r>
        <w:rPr>
          <w:rFonts w:ascii="Times New Roman" w:eastAsia="Times New Roman" w:hAnsi="Times New Roman" w:cs="Times New Roman"/>
          <w:sz w:val="24"/>
          <w:szCs w:val="24"/>
        </w:rPr>
        <w:lastRenderedPageBreak/>
        <w:t>aid</w:t>
      </w:r>
      <w:r w:rsidR="004B371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calculation of each state’s electoral votes per million voters (Office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w:t>
      </w:r>
      <w:r>
        <w:rPr>
          <w:rFonts w:ascii="Times New Roman" w:eastAsia="Times New Roman" w:hAnsi="Times New Roman" w:cs="Times New Roman"/>
          <w:b/>
          <w:sz w:val="24"/>
          <w:szCs w:val="24"/>
        </w:rPr>
        <w:t>ach</w:t>
      </w:r>
    </w:p>
    <w:p w14:paraId="55AEB5B5"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approach to the research question takes advantage of the “battleground states” resulting from the winner-take-all system and tests if Black voters comprise a greater share of the electorate in these crucial states. To begin this analysis</w:t>
      </w:r>
      <w:r>
        <w:rPr>
          <w:rFonts w:ascii="Times New Roman" w:eastAsia="Times New Roman" w:hAnsi="Times New Roman" w:cs="Times New Roman"/>
          <w:sz w:val="24"/>
          <w:szCs w:val="24"/>
        </w:rPr>
        <w:t>, I treat all battleground states in a given year as a single unit and all of the non-battleground states within that same year as a single unit. Then, I sum the Black VAP and overall VAP across the states in each group and take the Black proportion of the</w:t>
      </w:r>
      <w:r>
        <w:rPr>
          <w:rFonts w:ascii="Times New Roman" w:eastAsia="Times New Roman" w:hAnsi="Times New Roman" w:cs="Times New Roman"/>
          <w:sz w:val="24"/>
          <w:szCs w:val="24"/>
        </w:rPr>
        <w:t xml:space="preserve"> VAP for the two categories within that election year. Summing all of the populations together within each category yields proportions weighted by population size. Because the Electoral College assigns more votes to states with larger populations, a weight</w:t>
      </w:r>
      <w:r>
        <w:rPr>
          <w:rFonts w:ascii="Times New Roman" w:eastAsia="Times New Roman" w:hAnsi="Times New Roman" w:cs="Times New Roman"/>
          <w:sz w:val="24"/>
          <w:szCs w:val="24"/>
        </w:rPr>
        <w:t xml:space="preserve">ed proportion of the Black VAP best suits this analysis of Black representation in the Electoral College. While the Battleground Method does not directly account for electoral votes, the relative state-level population sizes serve as a proxy for electoral </w:t>
      </w:r>
      <w:r>
        <w:rPr>
          <w:rFonts w:ascii="Times New Roman" w:eastAsia="Times New Roman" w:hAnsi="Times New Roman" w:cs="Times New Roman"/>
          <w:sz w:val="24"/>
          <w:szCs w:val="24"/>
        </w:rPr>
        <w:t xml:space="preserve">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w:t>
      </w:r>
      <w:r>
        <w:rPr>
          <w:rFonts w:ascii="Times New Roman" w:eastAsia="Times New Roman" w:hAnsi="Times New Roman" w:cs="Times New Roman"/>
          <w:sz w:val="24"/>
          <w:szCs w:val="24"/>
        </w:rPr>
        <w:t>l definition of “battleground state,” but this clear-cut definition does not exist beyond the general idea that battleground states are closely divided states that play a crucial role in determining the election’s outcome. For this analysis, I define a “ba</w:t>
      </w:r>
      <w:r>
        <w:rPr>
          <w:rFonts w:ascii="Times New Roman" w:eastAsia="Times New Roman" w:hAnsi="Times New Roman" w:cs="Times New Roman"/>
          <w:sz w:val="24"/>
          <w:szCs w:val="24"/>
        </w:rPr>
        <w:t>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election (MIT Election Data and Science Lab, 2021). As discussed in the </w:t>
      </w:r>
      <w:r>
        <w:rPr>
          <w:rFonts w:ascii="Times New Roman" w:eastAsia="Times New Roman" w:hAnsi="Times New Roman" w:cs="Times New Roman"/>
          <w:sz w:val="24"/>
          <w:szCs w:val="24"/>
        </w:rPr>
        <w:t xml:space="preserve">previous section, the </w:t>
      </w:r>
      <w:r>
        <w:rPr>
          <w:rFonts w:ascii="Times New Roman" w:eastAsia="Times New Roman" w:hAnsi="Times New Roman" w:cs="Times New Roman"/>
          <w:sz w:val="24"/>
          <w:szCs w:val="24"/>
        </w:rPr>
        <w:lastRenderedPageBreak/>
        <w:t>ideal voter data source would contain demographic information on the voters that cast ballots in each of the elections of interest. Due to the inaccessibility of this data, this paper instead uses Census estimates and data from the Un</w:t>
      </w:r>
      <w:r>
        <w:rPr>
          <w:rFonts w:ascii="Times New Roman" w:eastAsia="Times New Roman" w:hAnsi="Times New Roman" w:cs="Times New Roman"/>
          <w:sz w:val="24"/>
          <w:szCs w:val="24"/>
        </w:rPr>
        <w:t xml:space="preserve">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02EA1819"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state-level election data only dates back to 1976 and the demographic Census data only covers until 2019, so this analysis will only focus on those election years. Before 2000, the government only collected population data from the decennial Census and</w:t>
      </w:r>
      <w:r>
        <w:rPr>
          <w:rFonts w:ascii="Times New Roman" w:eastAsia="Times New Roman" w:hAnsi="Times New Roman" w:cs="Times New Roman"/>
          <w:sz w:val="24"/>
          <w:szCs w:val="24"/>
        </w:rPr>
        <w:t xml:space="preserve"> did not have the American Community Survey estimates. As described in the Methods section, I used linear interpolation to fill in the gaps for non-Census years between 1970 and 2000 and then cross-referenced with data on the state-level total VAP for year</w:t>
      </w:r>
      <w:r>
        <w:rPr>
          <w:rFonts w:ascii="Times New Roman" w:eastAsia="Times New Roman" w:hAnsi="Times New Roman" w:cs="Times New Roman"/>
          <w:sz w:val="24"/>
          <w:szCs w:val="24"/>
        </w:rPr>
        <w:t xml:space="preserve">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each decade, which is an unlikely assumption. However, the direction and magnitude of the change will likely parallel that of reality. Since the regressions in the National Appr</w:t>
      </w:r>
      <w:r>
        <w:rPr>
          <w:rFonts w:ascii="Times New Roman" w:eastAsia="Times New Roman" w:hAnsi="Times New Roman" w:cs="Times New Roman"/>
          <w:sz w:val="24"/>
          <w:szCs w:val="24"/>
        </w:rPr>
        <w:t>oach look at each year in isolation, slightly different numbers in these interpolated years will not have any bearing on the coefficients for the years included in the data. Therefore, I chose to move forward with this approach while taking note that the d</w:t>
      </w:r>
      <w:r>
        <w:rPr>
          <w:rFonts w:ascii="Times New Roman" w:eastAsia="Times New Roman" w:hAnsi="Times New Roman" w:cs="Times New Roman"/>
          <w:sz w:val="24"/>
          <w:szCs w:val="24"/>
        </w:rPr>
        <w:t>ata uses estimates rather than true values.</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analysis will not attempt to make a causal argument: any conclusion about the overrepresentation or underrepresentation of Black voters in the Electora</w:t>
      </w:r>
      <w:r>
        <w:rPr>
          <w:rFonts w:ascii="Times New Roman" w:eastAsia="Times New Roman" w:hAnsi="Times New Roman" w:cs="Times New Roman"/>
          <w:sz w:val="24"/>
          <w:szCs w:val="24"/>
        </w:rPr>
        <w:t xml:space="preserve">l College owes itself to some other connection between race and the electoral geography of the time. Since this analysis does not seek to establish a causal mechanism, the results cannot generalize far beyond the </w:t>
      </w:r>
      <w:r>
        <w:rPr>
          <w:rFonts w:ascii="Times New Roman" w:eastAsia="Times New Roman" w:hAnsi="Times New Roman" w:cs="Times New Roman"/>
          <w:sz w:val="24"/>
          <w:szCs w:val="24"/>
        </w:rPr>
        <w:lastRenderedPageBreak/>
        <w:t>examined elections. Even within this analys</w:t>
      </w:r>
      <w:r>
        <w:rPr>
          <w:rFonts w:ascii="Times New Roman" w:eastAsia="Times New Roman" w:hAnsi="Times New Roman" w:cs="Times New Roman"/>
          <w:sz w:val="24"/>
          <w:szCs w:val="24"/>
        </w:rPr>
        <w:t xml:space="preserve">is, variables change between elections: both approaches must account for shifting population distributions and the Battleground Approach must also account for changes in battleground state classification. To provide a more nuanced look at the relationship </w:t>
      </w:r>
      <w:r>
        <w:rPr>
          <w:rFonts w:ascii="Times New Roman" w:eastAsia="Times New Roman" w:hAnsi="Times New Roman" w:cs="Times New Roman"/>
          <w:sz w:val="24"/>
          <w:szCs w:val="24"/>
        </w:rPr>
        <w:t>between Black voters and Electoral College representation, the National Approach examines each election separately. Likewise, the Battleground Approach uses a paired t-test, looking at the differences between battleground and non-battleground states within</w:t>
      </w:r>
      <w:r>
        <w:rPr>
          <w:rFonts w:ascii="Times New Roman" w:eastAsia="Times New Roman" w:hAnsi="Times New Roman" w:cs="Times New Roman"/>
          <w:sz w:val="24"/>
          <w:szCs w:val="24"/>
        </w:rPr>
        <w:t xml:space="preserve"> the same election before assessing the significance across all of these differences. Since population redistribution happens gradually and electoral vote reallocation only occurs every decade, the conclusions within this analysis do not vary significantly</w:t>
      </w:r>
      <w:r>
        <w:rPr>
          <w:rFonts w:ascii="Times New Roman" w:eastAsia="Times New Roman" w:hAnsi="Times New Roman" w:cs="Times New Roman"/>
          <w:sz w:val="24"/>
          <w:szCs w:val="24"/>
        </w:rPr>
        <w:t xml:space="preserve"> between elections. Likewise, trends in representation will likely not vary in the elections immediately preceding and proceeding the time frame covered in this analysis. If the results of this analysis all lean in the same direction, one could speculate t</w:t>
      </w:r>
      <w:r>
        <w:rPr>
          <w:rFonts w:ascii="Times New Roman" w:eastAsia="Times New Roman" w:hAnsi="Times New Roman" w:cs="Times New Roman"/>
          <w:sz w:val="24"/>
          <w:szCs w:val="24"/>
        </w:rPr>
        <w: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w:t>
      </w:r>
      <w:r>
        <w:rPr>
          <w:rFonts w:ascii="Times New Roman" w:eastAsia="Times New Roman" w:hAnsi="Times New Roman" w:cs="Times New Roman"/>
          <w:b/>
          <w:sz w:val="24"/>
          <w:szCs w:val="24"/>
        </w:rPr>
        <w:t>oach</w:t>
      </w:r>
    </w:p>
    <w:p w14:paraId="659B41B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As discussed in the methods section, an inverse relationship between electoral votes per million and a state’s Black voting-age population would provide evidence that Black voters face underrepresentation in the Electoral College system. Plotting the</w:t>
      </w:r>
      <w:r>
        <w:rPr>
          <w:rFonts w:ascii="Times New Roman" w:eastAsia="Times New Roman" w:hAnsi="Times New Roman" w:cs="Times New Roman"/>
          <w:sz w:val="24"/>
          <w:szCs w:val="24"/>
        </w:rPr>
        <w:t xml:space="preserve"> data reveals a negative association between the two variables.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6100364D">
            <wp:extent cx="5993704" cy="2996852"/>
            <wp:effectExtent l="0" t="0" r="0" b="0"/>
            <wp:docPr id="1"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993704" cy="2996852"/>
                    </a:xfrm>
                    <a:prstGeom prst="rect">
                      <a:avLst/>
                    </a:prstGeom>
                    <a:ln/>
                  </pic:spPr>
                </pic:pic>
              </a:graphicData>
            </a:graphic>
          </wp:inline>
        </w:drawing>
      </w:r>
    </w:p>
    <w:p w14:paraId="42F3E4F2"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linear regression confirms the significance of the inverse relationship between the relative electoral power of each voter and that state’s voting-age population. Every election has a ne</w:t>
      </w:r>
      <w:r>
        <w:rPr>
          <w:rFonts w:ascii="Times New Roman" w:eastAsia="Times New Roman" w:hAnsi="Times New Roman" w:cs="Times New Roman"/>
          <w:sz w:val="24"/>
          <w:szCs w:val="24"/>
        </w:rPr>
        <w:t>gative coefficient for the Black VAP term, indicating that an increase in the Black share of the VAP typically accompanies a decrease in the electoral votes per million members of the VAP in that state. This pattern holds over the years with true Census co</w:t>
      </w:r>
      <w:r>
        <w:rPr>
          <w:rFonts w:ascii="Times New Roman" w:eastAsia="Times New Roman" w:hAnsi="Times New Roman" w:cs="Times New Roman"/>
          <w:sz w:val="24"/>
          <w:szCs w:val="24"/>
        </w:rPr>
        <w:t>unts and those that relied on linear interpolation. On average, a 1% increase in the Black percentage of the VAP is associated with a decrease of anywhere from 0.005 to 0.008 electoral votes per million members of the VAP in the election years in the data.</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electoral votes per million numbers are rather small as well, with Florida having only 1.82 electoral votes per million in the 2016 race. These results confirm Hypothesis 1, giving us sufficient evidence to conclude tha</w:t>
      </w:r>
      <w:r>
        <w:rPr>
          <w:rFonts w:ascii="Times New Roman" w:eastAsia="Times New Roman" w:hAnsi="Times New Roman" w:cs="Times New Roman"/>
          <w:sz w:val="24"/>
          <w:szCs w:val="24"/>
        </w:rPr>
        <w:t>t Black voters face underrepresentation in the Electoral College when looking at the nation as a whole.</w:t>
      </w:r>
    </w:p>
    <w:p w14:paraId="21A30144" w14:textId="77777777" w:rsidR="004B5300" w:rsidRDefault="004B5300">
      <w:pPr>
        <w:spacing w:line="480" w:lineRule="auto"/>
        <w:rPr>
          <w:rFonts w:ascii="Times New Roman" w:eastAsia="Times New Roman" w:hAnsi="Times New Roman" w:cs="Times New Roman"/>
          <w:sz w:val="24"/>
          <w:szCs w:val="24"/>
        </w:rPr>
      </w:pP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2343F0DC" w14:textId="77777777" w:rsidR="004B5300" w:rsidRDefault="004B5300">
      <w:pPr>
        <w:spacing w:line="480" w:lineRule="auto"/>
        <w:rPr>
          <w:rFonts w:ascii="Times New Roman" w:eastAsia="Times New Roman" w:hAnsi="Times New Roman" w:cs="Times New Roman"/>
          <w:sz w:val="24"/>
          <w:szCs w:val="24"/>
        </w:rPr>
      </w:pPr>
    </w:p>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If a larger proportion of Black voters live in battleground states relative to non-battleground states, then Black voters would have a disproportionately large weight in the states that determine election outcomes. Running the paired</w:t>
      </w:r>
      <w:r>
        <w:rPr>
          <w:rFonts w:ascii="Times New Roman" w:eastAsia="Times New Roman" w:hAnsi="Times New Roman" w:cs="Times New Roman"/>
          <w:sz w:val="24"/>
          <w:szCs w:val="24"/>
        </w:rPr>
        <w:t xml:space="preserve"> t-test as described in the methods section indicates battleground states do have a greater proportion of Black voters than non-battleground states, but the difference is insignificant. The estimated difference in the Black share of the VAP in battleground</w:t>
      </w:r>
      <w:r>
        <w:rPr>
          <w:rFonts w:ascii="Times New Roman" w:eastAsia="Times New Roman" w:hAnsi="Times New Roman" w:cs="Times New Roman"/>
          <w:sz w:val="24"/>
          <w:szCs w:val="24"/>
        </w:rPr>
        <w:t xml:space="preserve"> states versus non-battleground states is less than one percent when aggregated across the years, and this slight difference could have easily arisen due to chance. Therefore, the </w:t>
      </w:r>
      <w:r>
        <w:rPr>
          <w:rFonts w:ascii="Times New Roman" w:eastAsia="Times New Roman" w:hAnsi="Times New Roman" w:cs="Times New Roman"/>
          <w:sz w:val="24"/>
          <w:szCs w:val="24"/>
        </w:rPr>
        <w:lastRenderedPageBreak/>
        <w:t>data do not support the conclusion that Black voters are significantly overr</w:t>
      </w:r>
      <w:r>
        <w:rPr>
          <w:rFonts w:ascii="Times New Roman" w:eastAsia="Times New Roman" w:hAnsi="Times New Roman" w:cs="Times New Roman"/>
          <w:sz w:val="24"/>
          <w:szCs w:val="24"/>
        </w:rPr>
        <w:t>epresented in battleground states relative to non-battleground states.</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7165EB48" w14:textId="77777777" w:rsidR="004B5300" w:rsidRDefault="004B5300">
      <w:pPr>
        <w:spacing w:line="480" w:lineRule="auto"/>
        <w:rPr>
          <w:rFonts w:ascii="Times New Roman" w:eastAsia="Times New Roman" w:hAnsi="Times New Roman" w:cs="Times New Roman"/>
          <w:b/>
          <w:sz w:val="24"/>
          <w:szCs w:val="24"/>
        </w:rPr>
      </w:pP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analysis are twofold. First, a linear regression confirmed the first hypothesis that states with larger Black percentages of the VAP receive fewer electoral votes per million. Second, a paired t-test f</w:t>
      </w:r>
      <w:r>
        <w:rPr>
          <w:rFonts w:ascii="Times New Roman" w:eastAsia="Times New Roman" w:hAnsi="Times New Roman" w:cs="Times New Roman"/>
          <w:sz w:val="24"/>
          <w:szCs w:val="24"/>
        </w:rPr>
        <w:t>ound no sufficient evidence supporting the second hypothesis that battleground states give a disproportionately large weight to Black voters. When viewing these results in conjunction, Black voters do not have an advantage or disadvantage in battleground s</w:t>
      </w:r>
      <w:r>
        <w:rPr>
          <w:rFonts w:ascii="Times New Roman" w:eastAsia="Times New Roman" w:hAnsi="Times New Roman" w:cs="Times New Roman"/>
          <w:sz w:val="24"/>
          <w:szCs w:val="24"/>
        </w:rPr>
        <w:t>tates, but the Electoral College underrepresents Black voters in the aggregate. As previously described, underrepresentation in voting has downstream consequences on the substantive--and sometimes descriptive--representation of voters. This raises the ques</w:t>
      </w:r>
      <w:r>
        <w:rPr>
          <w:rFonts w:ascii="Times New Roman" w:eastAsia="Times New Roman" w:hAnsi="Times New Roman" w:cs="Times New Roman"/>
          <w:sz w:val="24"/>
          <w:szCs w:val="24"/>
        </w:rPr>
        <w:t>tion, whose voices deserve amplification in presidential elections? The Electoral College prevents smaller, more urban states from crowding out the larger but less populous states. However, one must also consider how the first finding of this analysis sugg</w:t>
      </w:r>
      <w:r>
        <w:rPr>
          <w:rFonts w:ascii="Times New Roman" w:eastAsia="Times New Roman" w:hAnsi="Times New Roman" w:cs="Times New Roman"/>
          <w:sz w:val="24"/>
          <w:szCs w:val="24"/>
        </w:rPr>
        <w:t>ests that the Electoral College subtly perpetuates America’s long history of suppressing the voices of Black Americans. Should the Electoral College amplify the voices of rural voters at the expense of Black voters? Future research could explore the implic</w:t>
      </w:r>
      <w:r>
        <w:rPr>
          <w:rFonts w:ascii="Times New Roman" w:eastAsia="Times New Roman" w:hAnsi="Times New Roman" w:cs="Times New Roman"/>
          <w:sz w:val="24"/>
          <w:szCs w:val="24"/>
        </w:rPr>
        <w:t>ations of aggregative underrepresentation for particular groups and this hurts some groups more than others.</w:t>
      </w:r>
    </w:p>
    <w:p w14:paraId="128EDD15"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Assuming that underrepresentation of any group has negative consequences for that group, switching from the Electoral College system to a national </w:t>
      </w:r>
      <w:r>
        <w:rPr>
          <w:rFonts w:ascii="Times New Roman" w:eastAsia="Times New Roman" w:hAnsi="Times New Roman" w:cs="Times New Roman"/>
          <w:sz w:val="24"/>
          <w:szCs w:val="24"/>
        </w:rPr>
        <w:t xml:space="preserve">popular vote would achieve perfect aggregative representation among voters. Unfortunately, the current political climate makes any drastic Electoral College reform unlikely, and scholars disagree about the best path forward. The most direct and clear path </w:t>
      </w:r>
      <w:r>
        <w:rPr>
          <w:rFonts w:ascii="Times New Roman" w:eastAsia="Times New Roman" w:hAnsi="Times New Roman" w:cs="Times New Roman"/>
          <w:sz w:val="24"/>
          <w:szCs w:val="24"/>
        </w:rPr>
        <w:t>to abolishing the Electoral College would require a constitutional amendment, but one party typically benefits from the Electoral College and is unlikely to back such a move. The National Popular Vote Plan, a movement created in the aftermath of the 2000 p</w:t>
      </w:r>
      <w:r>
        <w:rPr>
          <w:rFonts w:ascii="Times New Roman" w:eastAsia="Times New Roman" w:hAnsi="Times New Roman" w:cs="Times New Roman"/>
          <w:sz w:val="24"/>
          <w:szCs w:val="24"/>
        </w:rPr>
        <w:t>residential election, seeks to bypass the amendment process via state statute and abolish the Electoral College.  However, scholars criticize the plan’s potential to dilute the voices of minority voters and instead argue that an amendment would be the best</w:t>
      </w:r>
      <w:r>
        <w:rPr>
          <w:rFonts w:ascii="Times New Roman" w:eastAsia="Times New Roman" w:hAnsi="Times New Roman" w:cs="Times New Roman"/>
          <w:sz w:val="24"/>
          <w:szCs w:val="24"/>
        </w:rPr>
        <w:t xml:space="preserve"> path (</w:t>
      </w:r>
      <w:proofErr w:type="spellStart"/>
      <w:r>
        <w:rPr>
          <w:rFonts w:ascii="Times New Roman" w:eastAsia="Times New Roman" w:hAnsi="Times New Roman" w:cs="Times New Roman"/>
          <w:sz w:val="24"/>
          <w:szCs w:val="24"/>
        </w:rPr>
        <w:t>Gringer</w:t>
      </w:r>
      <w:proofErr w:type="spellEnd"/>
      <w:r>
        <w:rPr>
          <w:rFonts w:ascii="Times New Roman" w:eastAsia="Times New Roman" w:hAnsi="Times New Roman" w:cs="Times New Roman"/>
          <w:sz w:val="24"/>
          <w:szCs w:val="24"/>
        </w:rPr>
        <w:t>, 2008). Electoral College reform or not, a clear and feasible solution for the underrepresentation of Black voters in the Electoral College does not exist in the current body of academic and political work. This analysis paves the way for fu</w:t>
      </w:r>
      <w:r>
        <w:rPr>
          <w:rFonts w:ascii="Times New Roman" w:eastAsia="Times New Roman" w:hAnsi="Times New Roman" w:cs="Times New Roman"/>
          <w:sz w:val="24"/>
          <w:szCs w:val="24"/>
        </w:rPr>
        <w:t>rther research to explore the implications of the underrepresentation of particular groups and identify paths to mend the imbalance of aggregative representation in the Electoral College.</w:t>
      </w: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 the variables helps to linearize a relationship, reduce the spread of residuals, and normalize the distribution of a variable. The Black percentage of the voting-age populati</w:t>
      </w:r>
      <w:r>
        <w:rPr>
          <w:rFonts w:ascii="Times New Roman" w:eastAsia="Times New Roman" w:hAnsi="Times New Roman" w:cs="Times New Roman"/>
          <w:sz w:val="24"/>
          <w:szCs w:val="24"/>
        </w:rPr>
        <w:t>on is highly skewed, so I took the natural log of the variable before running the regressions. Because proportions have an upper bound of 1 and are negative after taking the natural log, I used the Black percentage of the VAP for the National Approach inst</w:t>
      </w:r>
      <w:r>
        <w:rPr>
          <w:rFonts w:ascii="Times New Roman" w:eastAsia="Times New Roman" w:hAnsi="Times New Roman" w:cs="Times New Roman"/>
          <w:sz w:val="24"/>
          <w:szCs w:val="24"/>
        </w:rPr>
        <w:t xml:space="preserve">ead. This transformation helped to reduce skewness in the distribution of the Black percentage of the VAP and create a distribution more suitable for linear regression. </w:t>
      </w:r>
    </w:p>
    <w:p w14:paraId="7CFCBFEC" w14:textId="77777777" w:rsidR="004B5300" w:rsidRDefault="008550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2EFB80A1">
            <wp:extent cx="6159641" cy="3074765"/>
            <wp:effectExtent l="0" t="0" r="0" b="0"/>
            <wp:docPr id="3" name="image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6159641" cy="3074765"/>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03FDCCD0">
            <wp:extent cx="6186527" cy="3093264"/>
            <wp:effectExtent l="0" t="0" r="0"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6186527" cy="3093264"/>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w:t>
      </w:r>
      <w:r>
        <w:rPr>
          <w:rFonts w:ascii="Times New Roman" w:eastAsia="Times New Roman" w:hAnsi="Times New Roman" w:cs="Times New Roman"/>
          <w:sz w:val="24"/>
          <w:szCs w:val="24"/>
        </w:rPr>
        <w:t>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Simple linear regression assumes ho</w:t>
      </w:r>
      <w:r>
        <w:rPr>
          <w:rFonts w:ascii="Times New Roman" w:eastAsia="Times New Roman" w:hAnsi="Times New Roman" w:cs="Times New Roman"/>
          <w:sz w:val="24"/>
          <w:szCs w:val="24"/>
        </w:rPr>
        <w:t xml:space="preserve">moscedasticity, or the constant variance of the errors, in the data (Nau, n.d.). A simple plot of the electoral votes per capita reveals that a select few states have far more electoral votes per million voters than the majority of states. These unusually </w:t>
      </w:r>
      <w:r>
        <w:rPr>
          <w:rFonts w:ascii="Times New Roman" w:eastAsia="Times New Roman" w:hAnsi="Times New Roman" w:cs="Times New Roman"/>
          <w:sz w:val="24"/>
          <w:szCs w:val="24"/>
        </w:rPr>
        <w:t>high values pull the regression line higher, skewing the line away from the overall trend in the majority of states. Taking the log of the independent variable helped to amend some of the heteroscedasticity in the data, which is why I opted to include this</w:t>
      </w:r>
      <w:r>
        <w:rPr>
          <w:rFonts w:ascii="Times New Roman" w:eastAsia="Times New Roman" w:hAnsi="Times New Roman" w:cs="Times New Roman"/>
          <w:sz w:val="24"/>
          <w:szCs w:val="24"/>
        </w:rPr>
        <w:t xml:space="preserve"> supplemental regression in the Appendix rather than the main analysis. Borrowing from Blake (2019), I also ran a MM regression--a robust regression method resistant to samples with a high proportion of outliers--to account for influential points that may </w:t>
      </w:r>
      <w:r>
        <w:rPr>
          <w:rFonts w:ascii="Times New Roman" w:eastAsia="Times New Roman" w:hAnsi="Times New Roman" w:cs="Times New Roman"/>
          <w:sz w:val="24"/>
          <w:szCs w:val="24"/>
        </w:rPr>
        <w:t xml:space="preserve">skew the regular OLS regression. Running both of these </w:t>
      </w:r>
      <w:r>
        <w:rPr>
          <w:rFonts w:ascii="Times New Roman" w:eastAsia="Times New Roman" w:hAnsi="Times New Roman" w:cs="Times New Roman"/>
          <w:sz w:val="24"/>
          <w:szCs w:val="24"/>
        </w:rPr>
        <w:lastRenderedPageBreak/>
        <w:t>regressions provides a more nuanced view of the relationship between electoral votes per million and the Black percentage of the voting-age population. This more robust regression yields slightly weake</w:t>
      </w:r>
      <w:r>
        <w:rPr>
          <w:rFonts w:ascii="Times New Roman" w:eastAsia="Times New Roman" w:hAnsi="Times New Roman" w:cs="Times New Roman"/>
          <w:sz w:val="24"/>
          <w:szCs w:val="24"/>
        </w:rPr>
        <w:t>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D18C8BA" w14:textId="77777777" w:rsidR="004B5300" w:rsidRDefault="004B5300"/>
    <w:p w14:paraId="2AD95D37" w14:textId="77777777" w:rsidR="004B5300" w:rsidRDefault="004B5300">
      <w:pPr>
        <w:spacing w:line="480" w:lineRule="auto"/>
        <w:jc w:val="center"/>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main analysis looks at each election year in isolation. However, an alternative approach would look at the general trend over time, controlling for years. To do that, I ran two additional regressions that included fixed effects for either the year or t</w:t>
      </w:r>
      <w:r>
        <w:rPr>
          <w:rFonts w:ascii="Times New Roman" w:eastAsia="Times New Roman" w:hAnsi="Times New Roman" w:cs="Times New Roman"/>
          <w:sz w:val="24"/>
          <w:szCs w:val="24"/>
        </w:rPr>
        <w:t xml:space="preserve">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this </w:t>
      </w:r>
      <w:r>
        <w:rPr>
          <w:rFonts w:ascii="Times New Roman" w:eastAsia="Times New Roman" w:hAnsi="Times New Roman" w:cs="Times New Roman"/>
          <w:sz w:val="24"/>
          <w:szCs w:val="24"/>
        </w:rPr>
        <w:t>must be interpreted with caution. Population growth in general will lead to fewer electoral votes per million across all states, hence the significant negative coefficient for the year. The second regression, which includes fixed effects for the state, has</w:t>
      </w:r>
      <w:r>
        <w:rPr>
          <w:rFonts w:ascii="Times New Roman" w:eastAsia="Times New Roman" w:hAnsi="Times New Roman" w:cs="Times New Roman"/>
          <w:sz w:val="24"/>
          <w:szCs w:val="24"/>
        </w:rPr>
        <w:t xml:space="preserve"> an insignificant coefficient for the Black percentage of the VAP, indicating that having an increased Black percentage of the VAP is not associated with a decrease in electoral power within the same state. A significant coefficient in this regression woul</w:t>
      </w:r>
      <w:r>
        <w:rPr>
          <w:rFonts w:ascii="Times New Roman" w:eastAsia="Times New Roman" w:hAnsi="Times New Roman" w:cs="Times New Roman"/>
          <w:sz w:val="24"/>
          <w:szCs w:val="24"/>
        </w:rPr>
        <w:t>d give grounds for a causal argument, but the Limitations section clearly states that this paper does not seek to make a causal claim. Within a single state, having an increased Black share of the voting-age population does not cause the electoral votes pe</w:t>
      </w:r>
      <w:r>
        <w:rPr>
          <w:rFonts w:ascii="Times New Roman" w:eastAsia="Times New Roman" w:hAnsi="Times New Roman" w:cs="Times New Roman"/>
          <w:sz w:val="24"/>
          <w:szCs w:val="24"/>
        </w:rPr>
        <w:t>r million to decrease. Rather, as previously stated, the underlying relationship has to do with the states themselves.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w:t>
            </w:r>
            <w:r>
              <w:rPr>
                <w:rFonts w:ascii="Times New Roman" w:eastAsia="Times New Roman" w:hAnsi="Times New Roman" w:cs="Times New Roman"/>
                <w:b/>
                <w:sz w:val="24"/>
                <w:szCs w:val="24"/>
              </w:rPr>
              <w:t>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 year difference in percentages, under the ori</w:t>
      </w:r>
      <w:r>
        <w:rPr>
          <w:rFonts w:ascii="Times New Roman" w:eastAsia="Times New Roman" w:hAnsi="Times New Roman" w:cs="Times New Roman"/>
          <w:sz w:val="24"/>
          <w:szCs w:val="24"/>
        </w:rPr>
        <w:t xml:space="preserve">ginal definition of a battleground state as one with a two-party vote margin within 5% points. Each year has a very small difference in the Black percentage, and the sign changes approximately every two years. This closer look at the data further bolsters </w:t>
      </w:r>
      <w:r>
        <w:rPr>
          <w:rFonts w:ascii="Times New Roman" w:eastAsia="Times New Roman" w:hAnsi="Times New Roman" w:cs="Times New Roman"/>
          <w:sz w:val="24"/>
          <w:szCs w:val="24"/>
        </w:rPr>
        <w:t xml:space="preserve">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w:t>
      </w:r>
      <w:r>
        <w:rPr>
          <w:rFonts w:ascii="Times New Roman" w:eastAsia="Times New Roman" w:hAnsi="Times New Roman" w:cs="Times New Roman"/>
          <w:sz w:val="24"/>
          <w:szCs w:val="24"/>
        </w:rPr>
        <w:t>ansparent as possible, I ran multiple tests with different definitions of “battleground” to examine how that impacts the results. Below we see that setting larger margins as the classification cutoff yields smaller p-values and more positive differences. H</w:t>
      </w:r>
      <w:r>
        <w:rPr>
          <w:rFonts w:ascii="Times New Roman" w:eastAsia="Times New Roman" w:hAnsi="Times New Roman" w:cs="Times New Roman"/>
          <w:sz w:val="24"/>
          <w:szCs w:val="24"/>
        </w:rPr>
        <w:t xml:space="preserve">owever, the p-value never drops to a 0.05 significance level. The closest result to a significant outcome comes at the 30% threshold, but no battleground state reasonably has an election with a </w:t>
      </w:r>
      <w:proofErr w:type="gramStart"/>
      <w:r>
        <w:rPr>
          <w:rFonts w:ascii="Times New Roman" w:eastAsia="Times New Roman" w:hAnsi="Times New Roman" w:cs="Times New Roman"/>
          <w:sz w:val="24"/>
          <w:szCs w:val="24"/>
        </w:rPr>
        <w:t>30 point</w:t>
      </w:r>
      <w:proofErr w:type="gramEnd"/>
      <w:r>
        <w:rPr>
          <w:rFonts w:ascii="Times New Roman" w:eastAsia="Times New Roman" w:hAnsi="Times New Roman" w:cs="Times New Roman"/>
          <w:sz w:val="24"/>
          <w:szCs w:val="24"/>
        </w:rPr>
        <w:t xml:space="preserve"> margin. This analysis reveals that while battleground</w:t>
      </w:r>
      <w:r>
        <w:rPr>
          <w:rFonts w:ascii="Times New Roman" w:eastAsia="Times New Roman" w:hAnsi="Times New Roman" w:cs="Times New Roman"/>
          <w:sz w:val="24"/>
          <w:szCs w:val="24"/>
        </w:rPr>
        <w:t xml:space="preserve">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w:t>
            </w:r>
            <w:r>
              <w:rPr>
                <w:rFonts w:ascii="Times New Roman" w:eastAsia="Times New Roman" w:hAnsi="Times New Roman" w:cs="Times New Roman"/>
                <w:b/>
              </w:rPr>
              <w:t>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Ansolabehere</w:t>
      </w:r>
      <w:proofErr w:type="spellEnd"/>
      <w:r>
        <w:rPr>
          <w:rFonts w:ascii="Times New Roman" w:eastAsia="Times New Roman" w:hAnsi="Times New Roman" w:cs="Times New Roman"/>
          <w:sz w:val="24"/>
          <w:szCs w:val="24"/>
        </w:rPr>
        <w:t xml:space="preserv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w:t>
      </w:r>
      <w:proofErr w:type="spellStart"/>
      <w:r w:rsidRPr="004B3717">
        <w:rPr>
          <w:rFonts w:ascii="Times New Roman" w:eastAsia="Times New Roman" w:hAnsi="Times New Roman" w:cs="Times New Roman"/>
          <w:sz w:val="24"/>
          <w:szCs w:val="24"/>
          <w:lang w:val="it-IT"/>
        </w:rPr>
        <w:t>O’Halloran</w:t>
      </w:r>
      <w:proofErr w:type="spellEnd"/>
      <w:r w:rsidRPr="004B3717">
        <w:rPr>
          <w:rFonts w:ascii="Times New Roman" w:eastAsia="Times New Roman" w:hAnsi="Times New Roman" w:cs="Times New Roman"/>
          <w:sz w:val="24"/>
          <w:szCs w:val="24"/>
          <w:lang w:val="it-IT"/>
        </w:rPr>
        <w:t xml:space="preserve">, S. (1996). </w:t>
      </w:r>
      <w:r>
        <w:rPr>
          <w:rFonts w:ascii="Times New Roman" w:eastAsia="Times New Roman" w:hAnsi="Times New Roman" w:cs="Times New Roman"/>
          <w:sz w:val="24"/>
          <w:szCs w:val="24"/>
        </w:rPr>
        <w:t xml:space="preserve">Do Majority-Minority Districts Maximize Substantive Black Representation in </w:t>
      </w:r>
      <w:r>
        <w:rPr>
          <w:rFonts w:ascii="Times New Roman" w:eastAsia="Times New Roman" w:hAnsi="Times New Roman" w:cs="Times New Roman"/>
          <w:sz w:val="24"/>
          <w:szCs w:val="24"/>
        </w:rPr>
        <w:t xml:space="preserve">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w:t>
      </w:r>
      <w:r>
        <w:rPr>
          <w:rFonts w:ascii="Times New Roman" w:eastAsia="Times New Roman" w:hAnsi="Times New Roman" w:cs="Times New Roman"/>
          <w:i/>
          <w:sz w:val="24"/>
          <w:szCs w:val="24"/>
        </w:rPr>
        <w:t xml:space="preserv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Hajnal</w:t>
      </w:r>
      <w:proofErr w:type="spellEnd"/>
      <w:r>
        <w:rPr>
          <w:rFonts w:ascii="Times New Roman" w:eastAsia="Times New Roman" w:hAnsi="Times New Roman" w:cs="Times New Roman"/>
          <w:sz w:val="24"/>
          <w:szCs w:val="24"/>
        </w:rPr>
        <w:t xml:space="preserve">, Z. L. (2009). Who Loses in American Democracy? A Count of Votes Demonstrates the Limited Representation of African Americans. </w:t>
      </w:r>
      <w:r>
        <w:rPr>
          <w:rFonts w:ascii="Times New Roman" w:eastAsia="Times New Roman" w:hAnsi="Times New Roman" w:cs="Times New Roman"/>
          <w:i/>
          <w:sz w:val="24"/>
          <w:szCs w:val="24"/>
        </w:rPr>
        <w:t xml:space="preserve">American Political Science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Mansbridge</w:t>
      </w:r>
      <w:proofErr w:type="spellEnd"/>
      <w:r>
        <w:rPr>
          <w:rFonts w:ascii="Times New Roman" w:eastAsia="Times New Roman" w:hAnsi="Times New Roman" w:cs="Times New Roman"/>
          <w:sz w:val="24"/>
          <w:szCs w:val="24"/>
        </w:rPr>
        <w:t>, J. (1999). Should Blacks Represent Blacks and Women Repre</w:t>
      </w:r>
      <w:r>
        <w:rPr>
          <w:rFonts w:ascii="Times New Roman" w:eastAsia="Times New Roman" w:hAnsi="Times New Roman" w:cs="Times New Roman"/>
          <w:sz w:val="24"/>
          <w:szCs w:val="24"/>
        </w:rPr>
        <w:t xml:space="preserv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w:t>
      </w:r>
      <w:proofErr w:type="spellStart"/>
      <w:r>
        <w:rPr>
          <w:rFonts w:ascii="Times New Roman" w:eastAsia="Times New Roman" w:hAnsi="Times New Roman" w:cs="Times New Roman"/>
          <w:sz w:val="24"/>
          <w:szCs w:val="24"/>
        </w:rPr>
        <w:t>Goeken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Pacas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Schouweiler</w:t>
      </w:r>
      <w:proofErr w:type="spellEnd"/>
      <w:r>
        <w:rPr>
          <w:rFonts w:ascii="Times New Roman" w:eastAsia="Times New Roman" w:hAnsi="Times New Roman" w:cs="Times New Roman"/>
          <w:sz w:val="24"/>
          <w:szCs w:val="24"/>
        </w:rPr>
        <w:t xml:space="preserve">,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Schaeffer, K. (2019, July 30). The most common age among whites in U.S. is 58 – more than double that of racial and ethnic m</w:t>
      </w:r>
      <w:r>
        <w:rPr>
          <w:rFonts w:ascii="Times New Roman" w:eastAsia="Times New Roman" w:hAnsi="Times New Roman" w:cs="Times New Roman"/>
          <w:sz w:val="24"/>
          <w:szCs w:val="24"/>
        </w:rPr>
        <w:t xml:space="preserve">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w:t>
        </w:r>
        <w:r>
          <w:rPr>
            <w:rFonts w:ascii="Times New Roman" w:eastAsia="Times New Roman" w:hAnsi="Times New Roman" w:cs="Times New Roman"/>
            <w:color w:val="1155CC"/>
            <w:sz w:val="24"/>
            <w:szCs w:val="24"/>
            <w:u w:val="single"/>
          </w:rPr>
          <w:t>/fact-tank/2019/07/30/most-common-age-among-us-racial-ethnic-groups/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Skelley</w:t>
      </w:r>
      <w:proofErr w:type="spellEnd"/>
      <w:r>
        <w:rPr>
          <w:rFonts w:ascii="Times New Roman" w:eastAsia="Times New Roman" w:hAnsi="Times New Roman" w:cs="Times New Roman"/>
          <w:sz w:val="24"/>
          <w:szCs w:val="24"/>
        </w:rPr>
        <w:t xml:space="preserve">, G. (2021, January 19). Even Though Biden Won, Republicans Enjoyed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w:t>
      </w:r>
      <w:r>
        <w:rPr>
          <w:rFonts w:ascii="Times New Roman" w:eastAsia="Times New Roman" w:hAnsi="Times New Roman" w:cs="Times New Roman"/>
          <w:i/>
          <w:sz w:val="24"/>
          <w:szCs w:val="24"/>
        </w:rPr>
        <w:t>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w:t>
      </w:r>
      <w:r>
        <w:rPr>
          <w:rFonts w:ascii="Times New Roman" w:eastAsia="Times New Roman" w:hAnsi="Times New Roman" w:cs="Times New Roman"/>
          <w:i/>
          <w:sz w:val="24"/>
          <w:szCs w:val="24"/>
        </w:rPr>
        <w:t>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w:t>
        </w:r>
        <w:r>
          <w:rPr>
            <w:rFonts w:ascii="Times New Roman" w:eastAsia="Times New Roman" w:hAnsi="Times New Roman" w:cs="Times New Roman"/>
            <w:color w:val="1155CC"/>
            <w:sz w:val="24"/>
            <w:szCs w:val="24"/>
            <w:u w:val="single"/>
          </w:rPr>
          <w:t>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928CB" w14:textId="77777777" w:rsidR="00855060" w:rsidRDefault="00855060">
      <w:pPr>
        <w:spacing w:line="240" w:lineRule="auto"/>
      </w:pPr>
      <w:r>
        <w:separator/>
      </w:r>
    </w:p>
  </w:endnote>
  <w:endnote w:type="continuationSeparator" w:id="0">
    <w:p w14:paraId="55BFF902" w14:textId="77777777" w:rsidR="00855060" w:rsidRDefault="00855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A556" w14:textId="77777777" w:rsidR="00855060" w:rsidRDefault="00855060">
      <w:pPr>
        <w:spacing w:line="240" w:lineRule="auto"/>
      </w:pPr>
      <w:r>
        <w:separator/>
      </w:r>
    </w:p>
  </w:footnote>
  <w:footnote w:type="continuationSeparator" w:id="0">
    <w:p w14:paraId="452CEE14" w14:textId="77777777" w:rsidR="00855060" w:rsidRDefault="00855060">
      <w:pPr>
        <w:spacing w:line="240" w:lineRule="auto"/>
      </w:pPr>
      <w:r>
        <w:continuationSeparator/>
      </w:r>
    </w:p>
  </w:footnote>
  <w:footnote w:id="1">
    <w:p w14:paraId="43029F71"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w:t>
        </w:r>
        <w:r>
          <w:rPr>
            <w:rFonts w:ascii="Times New Roman" w:eastAsia="Times New Roman" w:hAnsi="Times New Roman" w:cs="Times New Roman"/>
            <w:color w:val="1155CC"/>
            <w:sz w:val="20"/>
            <w:szCs w:val="20"/>
            <w:u w:val="single"/>
          </w:rPr>
          <w:t>s://github.com/kayla-manning/black-representation-ec</w:t>
        </w:r>
      </w:hyperlink>
    </w:p>
  </w:footnote>
  <w:footnote w:id="2">
    <w:p w14:paraId="56AB7F87"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See the Appendix for an explanation of the use of the natural log-transformed variable rather than the raw value.</w:t>
      </w:r>
    </w:p>
  </w:footnote>
  <w:footnote w:id="3">
    <w:p w14:paraId="0C4830D8" w14:textId="77777777"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 get a sense of the overarching trend rather than looking at each state in isolation, the Appendix includes an additional regression that </w:t>
      </w:r>
      <w:r>
        <w:rPr>
          <w:rFonts w:ascii="Times New Roman" w:eastAsia="Times New Roman" w:hAnsi="Times New Roman" w:cs="Times New Roman"/>
          <w:sz w:val="20"/>
          <w:szCs w:val="20"/>
        </w:rPr>
        <w:t>incorporates fixed effects for the election year.</w:t>
      </w:r>
    </w:p>
  </w:footnote>
  <w:footnote w:id="4">
    <w:p w14:paraId="488676EE"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 did this with the </w:t>
      </w:r>
      <w:proofErr w:type="spellStart"/>
      <w:r>
        <w:rPr>
          <w:rFonts w:ascii="Consolas" w:eastAsia="Consolas" w:hAnsi="Consolas" w:cs="Consolas"/>
          <w:color w:val="444444"/>
          <w:sz w:val="20"/>
          <w:szCs w:val="20"/>
          <w:shd w:val="clear" w:color="auto" w:fill="F0F0F0"/>
        </w:rPr>
        <w:t>na.approx</w:t>
      </w:r>
      <w:proofErr w:type="spellEnd"/>
      <w:r>
        <w:rPr>
          <w:rFonts w:ascii="Consolas" w:eastAsia="Consolas" w:hAnsi="Consolas" w:cs="Consolas"/>
          <w:color w:val="444444"/>
          <w:sz w:val="20"/>
          <w:szCs w:val="20"/>
          <w:shd w:val="clear" w:color="auto" w:fill="F0F0F0"/>
        </w:rPr>
        <w:t>()</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p>
  </w:footnote>
  <w:footnote w:id="5">
    <w:p w14:paraId="698D6598"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the Appendix for sensitivity analyses that run the same test while varying the cutoff for a “battleground state.”</w:t>
      </w:r>
    </w:p>
  </w:footnote>
  <w:footnote w:id="6">
    <w:p w14:paraId="707F6FF4" w14:textId="77777777"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w:t>
      </w:r>
      <w:r>
        <w:rPr>
          <w:rFonts w:ascii="Times New Roman" w:eastAsia="Times New Roman" w:hAnsi="Times New Roman" w:cs="Times New Roman"/>
          <w:sz w:val="20"/>
          <w:szCs w:val="20"/>
        </w:rPr>
        <w:t xml:space="preserve">ssion uses the log of the independent variable, so this interpretation differs from the direct interpretation of the coefficient. This does not mean an increase of one percentage point, but rather an increase of 1% from the previous number (so an increase </w:t>
      </w:r>
      <w:r>
        <w:rPr>
          <w:rFonts w:ascii="Times New Roman" w:eastAsia="Times New Roman" w:hAnsi="Times New Roman" w:cs="Times New Roman"/>
          <w:sz w:val="20"/>
          <w:szCs w:val="20"/>
        </w:rPr>
        <w:t>of 0.2 percentage points if the baseline value is 20%). See the Appendix for further explanation of log-transformations.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4B3717"/>
    <w:rsid w:val="004B5300"/>
    <w:rsid w:val="0085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5319</Words>
  <Characters>30319</Characters>
  <Application>Microsoft Office Word</Application>
  <DocSecurity>0</DocSecurity>
  <Lines>252</Lines>
  <Paragraphs>71</Paragraphs>
  <ScaleCrop>false</ScaleCrop>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2</cp:revision>
  <dcterms:created xsi:type="dcterms:W3CDTF">2021-05-09T12:58:00Z</dcterms:created>
  <dcterms:modified xsi:type="dcterms:W3CDTF">2021-05-09T13:01:00Z</dcterms:modified>
</cp:coreProperties>
</file>