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4DD92">
      <w:pPr>
        <w:jc w:val="center"/>
        <w:rPr>
          <w:rFonts w:ascii="Calibri" w:hAnsi="Calibri" w:eastAsia="微软雅黑"/>
          <w:b/>
          <w:sz w:val="30"/>
          <w:szCs w:val="30"/>
        </w:rPr>
      </w:pPr>
      <w:r>
        <w:rPr>
          <w:rFonts w:ascii="Calibri" w:hAnsi="Calibri" w:eastAsia="微软雅黑"/>
          <w:b/>
          <w:sz w:val="30"/>
          <w:szCs w:val="30"/>
        </w:rPr>
        <w:t>智能政企招采审计系统产品需求文档（PRD）</w:t>
      </w:r>
    </w:p>
    <w:p w14:paraId="50B59F00">
      <w:pPr>
        <w:rPr>
          <w:rFonts w:ascii="Calibri" w:hAnsi="Calibri" w:eastAsia="微软雅黑"/>
          <w:b/>
          <w:sz w:val="28"/>
        </w:rPr>
      </w:pPr>
    </w:p>
    <w:p w14:paraId="5CC34B29">
      <w:pPr>
        <w:rPr>
          <w:rFonts w:ascii="Calibri" w:hAnsi="Calibri" w:eastAsia="微软雅黑"/>
          <w:b/>
          <w:sz w:val="28"/>
        </w:rPr>
      </w:pPr>
    </w:p>
    <w:p w14:paraId="4F33E664">
      <w:pPr>
        <w:rPr>
          <w:rFonts w:ascii="Calibri" w:hAnsi="Calibri" w:eastAsia="微软雅黑"/>
          <w:b/>
          <w:sz w:val="28"/>
        </w:rPr>
      </w:pPr>
    </w:p>
    <w:p w14:paraId="16E8DE18">
      <w:pPr>
        <w:rPr>
          <w:rFonts w:ascii="Calibri" w:hAnsi="Calibri" w:eastAsia="微软雅黑"/>
          <w:b/>
          <w:sz w:val="28"/>
        </w:rPr>
      </w:pPr>
    </w:p>
    <w:p w14:paraId="0E46F6AA">
      <w:pPr>
        <w:rPr>
          <w:rFonts w:ascii="Calibri" w:hAnsi="Calibri" w:eastAsia="微软雅黑"/>
          <w:b/>
          <w:sz w:val="28"/>
        </w:rPr>
      </w:pPr>
    </w:p>
    <w:p w14:paraId="14E1FA91">
      <w:pPr>
        <w:rPr>
          <w:rFonts w:ascii="Calibri" w:hAnsi="Calibri" w:eastAsia="微软雅黑"/>
          <w:b/>
          <w:sz w:val="28"/>
        </w:rPr>
      </w:pPr>
    </w:p>
    <w:tbl>
      <w:tblPr>
        <w:tblStyle w:val="49"/>
        <w:tblW w:w="864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4168"/>
        <w:gridCol w:w="2236"/>
      </w:tblGrid>
      <w:tr w14:paraId="55E7F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36" w:type="dxa"/>
            <w:vAlign w:val="center"/>
          </w:tcPr>
          <w:p w14:paraId="6630A8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微软雅黑"/>
                <w:b/>
              </w:rPr>
              <w:t>项目</w:t>
            </w:r>
          </w:p>
        </w:tc>
        <w:tc>
          <w:tcPr>
            <w:tcW w:w="4168" w:type="dxa"/>
            <w:vAlign w:val="center"/>
          </w:tcPr>
          <w:p w14:paraId="6CE653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微软雅黑"/>
                <w:b/>
              </w:rPr>
              <w:t>内容</w:t>
            </w:r>
          </w:p>
        </w:tc>
        <w:tc>
          <w:tcPr>
            <w:tcW w:w="2236" w:type="dxa"/>
            <w:vAlign w:val="center"/>
          </w:tcPr>
          <w:p w14:paraId="2EC03C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Calibri" w:hAnsi="Calibri" w:eastAsia="微软雅黑"/>
                <w:b/>
              </w:rPr>
              <w:t>备注</w:t>
            </w:r>
          </w:p>
        </w:tc>
      </w:tr>
      <w:tr w14:paraId="543C3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6" w:type="dxa"/>
            <w:vAlign w:val="center"/>
          </w:tcPr>
          <w:p w14:paraId="1A513E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文档版本</w:t>
            </w:r>
          </w:p>
        </w:tc>
        <w:tc>
          <w:tcPr>
            <w:tcW w:w="4168" w:type="dxa"/>
            <w:vAlign w:val="center"/>
          </w:tcPr>
          <w:p w14:paraId="3B4939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V1.0</w:t>
            </w:r>
          </w:p>
        </w:tc>
        <w:tc>
          <w:tcPr>
            <w:tcW w:w="2236" w:type="dxa"/>
            <w:vAlign w:val="center"/>
          </w:tcPr>
          <w:p w14:paraId="2DB6D3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Calibri" w:hAnsi="Calibri" w:eastAsia="微软雅黑"/>
              </w:rPr>
              <w:t>初始版本</w:t>
            </w:r>
          </w:p>
        </w:tc>
      </w:tr>
      <w:tr w14:paraId="7F13A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6" w:type="dxa"/>
            <w:vAlign w:val="center"/>
          </w:tcPr>
          <w:p w14:paraId="3947E4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Calibri" w:hAnsi="Calibri" w:eastAsia="微软雅黑"/>
                <w:b/>
              </w:rPr>
              <w:t>编写日期</w:t>
            </w:r>
          </w:p>
        </w:tc>
        <w:tc>
          <w:tcPr>
            <w:tcW w:w="4168" w:type="dxa"/>
            <w:vAlign w:val="center"/>
          </w:tcPr>
          <w:p w14:paraId="7D2590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Calibri" w:hAnsi="Calibri" w:eastAsia="微软雅黑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Calibri" w:hAnsi="Calibri" w:eastAsia="微软雅黑"/>
              </w:rPr>
              <w:t>年0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ascii="Calibri" w:hAnsi="Calibri" w:eastAsia="微软雅黑"/>
              </w:rPr>
              <w:t>月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ascii="Calibri" w:hAnsi="Calibri" w:eastAsia="微软雅黑"/>
              </w:rPr>
              <w:t>日</w:t>
            </w:r>
          </w:p>
        </w:tc>
        <w:tc>
          <w:tcPr>
            <w:tcW w:w="2236" w:type="dxa"/>
            <w:vAlign w:val="center"/>
          </w:tcPr>
          <w:p w14:paraId="3B3C4A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0AF17A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6" w:type="dxa"/>
            <w:vAlign w:val="center"/>
          </w:tcPr>
          <w:p w14:paraId="1E3FC0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Calibri" w:hAnsi="Calibri" w:eastAsia="微软雅黑"/>
                <w:b/>
              </w:rPr>
              <w:t>产品经理</w:t>
            </w:r>
          </w:p>
        </w:tc>
        <w:tc>
          <w:tcPr>
            <w:tcW w:w="4168" w:type="dxa"/>
            <w:vAlign w:val="center"/>
          </w:tcPr>
          <w:p w14:paraId="4451B0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WZH</w:t>
            </w:r>
          </w:p>
        </w:tc>
        <w:tc>
          <w:tcPr>
            <w:tcW w:w="2236" w:type="dxa"/>
            <w:vAlign w:val="center"/>
          </w:tcPr>
          <w:p w14:paraId="099DF4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5968D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6" w:type="dxa"/>
            <w:vAlign w:val="center"/>
          </w:tcPr>
          <w:p w14:paraId="4A9E11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Calibri" w:hAnsi="Calibri" w:eastAsia="微软雅黑"/>
                <w:b/>
              </w:rPr>
              <w:t>审阅方</w:t>
            </w:r>
          </w:p>
        </w:tc>
        <w:tc>
          <w:tcPr>
            <w:tcW w:w="4168" w:type="dxa"/>
            <w:vAlign w:val="center"/>
          </w:tcPr>
          <w:p w14:paraId="670ABC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236" w:type="dxa"/>
            <w:vAlign w:val="center"/>
          </w:tcPr>
          <w:p w14:paraId="30F8C8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7047EAAD">
      <w:pPr>
        <w:pStyle w:val="4"/>
        <w:rPr>
          <w:rFonts w:ascii="Calibri" w:hAnsi="Calibri" w:eastAsia="微软雅黑"/>
        </w:rPr>
      </w:pPr>
    </w:p>
    <w:p w14:paraId="6462C958">
      <w:pPr>
        <w:rPr>
          <w:rFonts w:ascii="Calibri" w:hAnsi="Calibri" w:eastAsia="微软雅黑"/>
        </w:rPr>
      </w:pPr>
    </w:p>
    <w:p w14:paraId="0F4201A9">
      <w:pPr>
        <w:rPr>
          <w:rFonts w:ascii="Calibri" w:hAnsi="Calibri" w:eastAsia="微软雅黑"/>
        </w:rPr>
      </w:pPr>
    </w:p>
    <w:p w14:paraId="2A0A910D">
      <w:pPr>
        <w:rPr>
          <w:rFonts w:ascii="Calibri" w:hAnsi="Calibri" w:eastAsia="微软雅黑"/>
        </w:rPr>
      </w:pPr>
    </w:p>
    <w:p w14:paraId="31612E45">
      <w:pPr>
        <w:rPr>
          <w:rFonts w:ascii="Calibri" w:hAnsi="Calibri" w:eastAsia="微软雅黑"/>
        </w:rPr>
      </w:pPr>
    </w:p>
    <w:p w14:paraId="4ABE71A3">
      <w:pPr>
        <w:rPr>
          <w:rFonts w:ascii="Calibri" w:hAnsi="Calibri" w:eastAsia="微软雅黑"/>
        </w:rPr>
      </w:pPr>
    </w:p>
    <w:p w14:paraId="21AE3850">
      <w:pPr>
        <w:rPr>
          <w:rFonts w:ascii="Calibri" w:hAnsi="Calibri" w:eastAsia="微软雅黑"/>
        </w:rPr>
      </w:pPr>
    </w:p>
    <w:p w14:paraId="57822D6F">
      <w:pPr>
        <w:rPr>
          <w:rFonts w:ascii="Calibri" w:hAnsi="Calibri" w:eastAsia="微软雅黑"/>
        </w:rPr>
      </w:pPr>
    </w:p>
    <w:p w14:paraId="1739CA09">
      <w:pPr>
        <w:rPr>
          <w:rFonts w:ascii="Calibri" w:hAnsi="Calibri" w:eastAsia="微软雅黑"/>
        </w:rPr>
      </w:pPr>
    </w:p>
    <w:p w14:paraId="00C2343C">
      <w:pPr>
        <w:rPr>
          <w:rFonts w:ascii="Calibri" w:hAnsi="Calibri" w:eastAsia="微软雅黑"/>
        </w:rPr>
      </w:pPr>
    </w:p>
    <w:p w14:paraId="1558AC95">
      <w:pPr>
        <w:rPr>
          <w:rFonts w:ascii="Calibri" w:hAnsi="Calibri" w:eastAsia="微软雅黑"/>
        </w:rPr>
      </w:pPr>
    </w:p>
    <w:p w14:paraId="5F67535C">
      <w:pPr>
        <w:rPr>
          <w:rFonts w:ascii="Calibri" w:hAnsi="Calibri" w:eastAsia="微软雅黑"/>
        </w:rPr>
      </w:pPr>
    </w:p>
    <w:p w14:paraId="288E011C">
      <w:pPr>
        <w:rPr>
          <w:rFonts w:ascii="Calibri" w:hAnsi="Calibri" w:eastAsia="微软雅黑"/>
        </w:rPr>
      </w:pPr>
    </w:p>
    <w:p w14:paraId="2504D6C7">
      <w:pPr>
        <w:pStyle w:val="4"/>
      </w:pPr>
      <w:r>
        <w:rPr>
          <w:rFonts w:ascii="Calibri" w:hAnsi="Calibri" w:eastAsia="微软雅黑"/>
        </w:rPr>
        <w:t>1. 产品概述与目标</w:t>
      </w:r>
    </w:p>
    <w:p w14:paraId="48D78C4C">
      <w:pPr>
        <w:pStyle w:val="5"/>
      </w:pPr>
      <w:r>
        <w:rPr>
          <w:rFonts w:ascii="Calibri" w:hAnsi="Calibri" w:eastAsia="微软雅黑"/>
        </w:rPr>
        <w:t>1.1 业务背景与痛点</w:t>
      </w:r>
    </w:p>
    <w:p w14:paraId="5587EFAB">
      <w:r>
        <w:t>在“机器管招投标”政策全面深化与《全省招标投标领域突出问题深化整治标准工作指引》等法规密集出台的背景下，政企单位的招采审计工作正面临前所未有的压力与挑战。传统审计模式高度依赖人工，效率低下且难以应对日益隐蔽的违规手段。主要痛点如下：</w:t>
      </w:r>
    </w:p>
    <w:p w14:paraId="0135B2E5">
      <w:pPr>
        <w:pStyle w:val="16"/>
      </w:pPr>
      <w:r>
        <w:rPr>
          <w:rFonts w:ascii="Calibri" w:hAnsi="Calibri" w:eastAsia="微软雅黑"/>
          <w:b/>
        </w:rPr>
        <w:t>审计穿透力不足</w:t>
      </w:r>
      <w:r>
        <w:rPr>
          <w:rFonts w:ascii="Calibri" w:hAnsi="Calibri" w:eastAsia="微软雅黑"/>
        </w:rPr>
        <w:t>：采购、招标、合同、支付等环节数据分散在多个异构系统，形成“数据孤岛”，导致全流程审计线索难以串联，无法实现真正意义上的穿透式监管。</w:t>
      </w:r>
    </w:p>
    <w:p w14:paraId="3BFA0EF7">
      <w:pPr>
        <w:pStyle w:val="16"/>
      </w:pPr>
      <w:r>
        <w:rPr>
          <w:rFonts w:ascii="Calibri" w:hAnsi="Calibri" w:eastAsia="微软雅黑"/>
          <w:b/>
        </w:rPr>
        <w:t>违规发现能力滞后</w:t>
      </w:r>
      <w:r>
        <w:rPr>
          <w:rFonts w:ascii="Calibri" w:hAnsi="Calibri" w:eastAsia="微软雅黑"/>
        </w:rPr>
        <w:t>：围标串标行为已演变为利用虚拟化技术、一致性文件制作软件等手段，人工肉眼审核无法从海量投标文件中识别IP/MAC关联、文件结构/语义相似性等深层风险。</w:t>
      </w:r>
    </w:p>
    <w:p w14:paraId="2CA72A32">
      <w:pPr>
        <w:pStyle w:val="16"/>
      </w:pPr>
      <w:r>
        <w:rPr>
          <w:rFonts w:ascii="Calibri" w:hAnsi="Calibri" w:eastAsia="微软雅黑"/>
          <w:b/>
        </w:rPr>
        <w:t>专家评审风险高</w:t>
      </w:r>
      <w:r>
        <w:rPr>
          <w:rFonts w:ascii="Calibri" w:hAnsi="Calibri" w:eastAsia="微软雅黑"/>
        </w:rPr>
        <w:t>：评审过程缺乏有效的量化监控与隔离机制，存在打“人情分”、“倾向分”的风险，影响评审的公正性与结果的公信力。</w:t>
      </w:r>
    </w:p>
    <w:p w14:paraId="59924E1A">
      <w:pPr>
        <w:pStyle w:val="16"/>
      </w:pPr>
      <w:r>
        <w:rPr>
          <w:rFonts w:ascii="Calibri" w:hAnsi="Calibri" w:eastAsia="微软雅黑"/>
          <w:b/>
        </w:rPr>
        <w:t>信创合规压力迫近</w:t>
      </w:r>
      <w:r>
        <w:rPr>
          <w:rFonts w:ascii="Calibri" w:hAnsi="Calibri" w:eastAsia="微软雅黑"/>
        </w:rPr>
        <w:t>：2026年是信创工程从“可用”到“好用”的关键落地年。现有审计工具大多基于国外技术栈，在国产化CPU、操作系统、数据库及中间件环境下的兼容性、性能与安全性均面临巨大挑战。</w:t>
      </w:r>
    </w:p>
    <w:p w14:paraId="16CE1E2F">
      <w:pPr>
        <w:pStyle w:val="16"/>
      </w:pPr>
      <w:r>
        <w:rPr>
          <w:rFonts w:ascii="Calibri" w:hAnsi="Calibri" w:eastAsia="微软雅黑"/>
          <w:b/>
        </w:rPr>
        <w:t>决策支持数据缺失</w:t>
      </w:r>
      <w:r>
        <w:rPr>
          <w:rFonts w:ascii="Calibri" w:hAnsi="Calibri" w:eastAsia="微软雅黑"/>
        </w:rPr>
        <w:t>：管理层缺乏基于全量招采数据的可视化分析看板，难以从宏观层面洞察采购成本趋势、供应商集中度风险、品类支出合理性等问题。</w:t>
      </w:r>
    </w:p>
    <w:p w14:paraId="36043CB1">
      <w:pPr>
        <w:pStyle w:val="5"/>
      </w:pPr>
      <w:r>
        <w:rPr>
          <w:rFonts w:ascii="Calibri" w:hAnsi="Calibri" w:eastAsia="微软雅黑"/>
        </w:rPr>
        <w:t>1.2 目标与关键指标 (OKRs)</w:t>
      </w:r>
    </w:p>
    <w:p w14:paraId="548D416F">
      <w:r>
        <w:rPr>
          <w:b/>
        </w:rPr>
        <w:t>核心目标</w:t>
      </w:r>
      <w:r>
        <w:t>：构建一个集“智能预警、穿透审计、信创合规、数据决策”于一体的新一代政企招采审计系统，显著提升招采活动的合规性、透明度和经济性。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3C6F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7D21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目标 (Objective)</w:t>
            </w:r>
          </w:p>
        </w:tc>
        <w:tc>
          <w:tcPr>
            <w:tcW w:w="4320" w:type="dxa"/>
          </w:tcPr>
          <w:p w14:paraId="7BE1AC6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关键结果 (Key Results)</w:t>
            </w:r>
          </w:p>
        </w:tc>
      </w:tr>
      <w:tr w14:paraId="398EC7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3782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O1：实现招采风险的全流程、智能化预警</w:t>
            </w:r>
          </w:p>
        </w:tc>
        <w:tc>
          <w:tcPr>
            <w:tcW w:w="4320" w:type="dxa"/>
          </w:tcPr>
          <w:p w14:paraId="712CDFF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KR1：高风险项目（如围串标、量身定制）的系统自动识别率 ≥ 95%，误报率 ≤ 5%。&lt;br&gt;KR2：从项目立项到合同归档的全链路数据贯通率 ≥ 99%。&lt;br&gt;KR3：建立包含不少于10个风险模型（如报价规律、文件同源性、专家打分偏离度）的风险特征库。</w:t>
            </w:r>
          </w:p>
        </w:tc>
      </w:tr>
      <w:tr w14:paraId="5C866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87CDB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O2：提升审计与评审工作的效率与质量</w:t>
            </w:r>
          </w:p>
        </w:tc>
        <w:tc>
          <w:tcPr>
            <w:tcW w:w="4320" w:type="dxa"/>
          </w:tcPr>
          <w:p w14:paraId="108CB809">
            <w:pPr>
              <w:spacing w:after="0" w:line="240" w:lineRule="auto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KR1：单项目平均清标与合规性检查耗时从“人天”级缩短至“小时”级（目标 &lt; 4小时）。</w:t>
            </w:r>
          </w:p>
          <w:p w14:paraId="373D7142">
            <w:pPr>
              <w:spacing w:after="0" w:line="240" w:lineRule="auto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KR2：专家在线评审效率提升50%，支持远程异地“双盲”评标。</w:t>
            </w:r>
          </w:p>
          <w:p w14:paraId="4A94EE8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KR3：系统辅助发现的合规性问题，在最终审计报告中的采纳率 ≥ 90%。</w:t>
            </w:r>
          </w:p>
        </w:tc>
      </w:tr>
      <w:tr w14:paraId="1D2572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21C7E4D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O3：确保系统在信创环境下稳定、安全、高效运行</w:t>
            </w:r>
          </w:p>
        </w:tc>
        <w:tc>
          <w:tcPr>
            <w:tcW w:w="4320" w:type="dxa"/>
          </w:tcPr>
          <w:p w14:paraId="6756DAA0">
            <w:pPr>
              <w:spacing w:after="0" w:line="240" w:lineRule="auto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KR1：完成与主流信创技术栈（鲲鹏/海光CPU + 麒麟/统信OS + 达梦/金仓数据库 + 东方通中间件）的全栈适配与性能调优。KR2：系统在国产化环境下，核心功能页面平均响应时间 ≤ 2秒，支持并发开评标项目数 ≥ 50个。</w:t>
            </w:r>
          </w:p>
          <w:p w14:paraId="18FE84A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KR3：通过等保三级或以上安全测评，支持国密算法及全国互认的移动CA认证。</w:t>
            </w:r>
          </w:p>
        </w:tc>
      </w:tr>
      <w:tr w14:paraId="027E6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D2BF0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O4：构建数据驱动的招采管理决策支持体系</w:t>
            </w:r>
          </w:p>
        </w:tc>
        <w:tc>
          <w:tcPr>
            <w:tcW w:w="4320" w:type="dxa"/>
          </w:tcPr>
          <w:p w14:paraId="03814A21">
            <w:pPr>
              <w:spacing w:after="0" w:line="240" w:lineRule="auto"/>
              <w:rPr>
                <w:rFonts w:ascii="Calibri" w:hAnsi="Calibri" w:eastAsia="微软雅黑"/>
              </w:rPr>
            </w:pPr>
            <w:r>
              <w:rPr>
                <w:rFonts w:ascii="Calibri" w:hAnsi="Calibri" w:eastAsia="微软雅黑"/>
              </w:rPr>
              <w:t>KR1：为管理层提供覆盖“成本、效率、风险、供应商”四大维度的实时数据看板。KR2：基于历史数据，为通用物资采购提供节约成本 ≥ 5%的寻源建议。</w:t>
            </w:r>
          </w:p>
          <w:p w14:paraId="0D79B9D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KR3：建立供应商、评审专家、招标代理的三方信用评价模型，并实现动态管理。</w:t>
            </w:r>
          </w:p>
        </w:tc>
      </w:tr>
    </w:tbl>
    <w:p w14:paraId="601A4D9E">
      <w:pPr>
        <w:pStyle w:val="4"/>
        <w:rPr>
          <w:rFonts w:ascii="Calibri" w:hAnsi="Calibri" w:eastAsia="微软雅黑"/>
        </w:rPr>
      </w:pPr>
    </w:p>
    <w:p w14:paraId="37FB692A">
      <w:pPr>
        <w:pStyle w:val="4"/>
      </w:pPr>
      <w:r>
        <w:rPr>
          <w:rFonts w:ascii="Calibri" w:hAnsi="Calibri" w:eastAsia="微软雅黑"/>
        </w:rPr>
        <w:t>2. 目标用户与使用场景</w:t>
      </w:r>
    </w:p>
    <w:p w14:paraId="041C1331">
      <w:pPr>
        <w:pStyle w:val="5"/>
      </w:pPr>
      <w:r>
        <w:rPr>
          <w:rFonts w:ascii="Calibri" w:hAnsi="Calibri" w:eastAsia="微软雅黑"/>
        </w:rPr>
        <w:t>2.1 用户细分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D52D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AD221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角色</w:t>
            </w:r>
          </w:p>
        </w:tc>
        <w:tc>
          <w:tcPr>
            <w:tcW w:w="2160" w:type="dxa"/>
          </w:tcPr>
          <w:p w14:paraId="0F12904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所属部门</w:t>
            </w:r>
          </w:p>
        </w:tc>
        <w:tc>
          <w:tcPr>
            <w:tcW w:w="2160" w:type="dxa"/>
          </w:tcPr>
          <w:p w14:paraId="78498C0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核心诉求</w:t>
            </w:r>
          </w:p>
        </w:tc>
        <w:tc>
          <w:tcPr>
            <w:tcW w:w="2160" w:type="dxa"/>
          </w:tcPr>
          <w:p w14:paraId="21D95EE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典型使用场景</w:t>
            </w:r>
          </w:p>
        </w:tc>
      </w:tr>
      <w:tr w14:paraId="2B69B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09ED9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审计专员</w:t>
            </w:r>
          </w:p>
        </w:tc>
        <w:tc>
          <w:tcPr>
            <w:tcW w:w="2160" w:type="dxa"/>
          </w:tcPr>
          <w:p w14:paraId="133923D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内审/合规部</w:t>
            </w:r>
          </w:p>
        </w:tc>
        <w:tc>
          <w:tcPr>
            <w:tcW w:w="2160" w:type="dxa"/>
          </w:tcPr>
          <w:p w14:paraId="080B2F9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高效发现违规线索，生成证据链完整、合规的审计报告。</w:t>
            </w:r>
          </w:p>
        </w:tc>
        <w:tc>
          <w:tcPr>
            <w:tcW w:w="2160" w:type="dxa"/>
          </w:tcPr>
          <w:p w14:paraId="5BF8B08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 定时/按需发起对在途或历史项目的自动化审计。2. 查看系统推送的疑似违规预警，并在线进行人工复核、证据标记。3. 一键生成包含数据图表、风险点详情的标准审计报告。</w:t>
            </w:r>
          </w:p>
        </w:tc>
      </w:tr>
      <w:tr w14:paraId="4C18CF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C907F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评审专家</w:t>
            </w:r>
          </w:p>
        </w:tc>
        <w:tc>
          <w:tcPr>
            <w:tcW w:w="2160" w:type="dxa"/>
          </w:tcPr>
          <w:p w14:paraId="1D8FCA8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外部专家库</w:t>
            </w:r>
          </w:p>
        </w:tc>
        <w:tc>
          <w:tcPr>
            <w:tcW w:w="2160" w:type="dxa"/>
          </w:tcPr>
          <w:p w14:paraId="27B7044A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流程便捷、环境独立、评审依据充分，减少非技术性干扰。</w:t>
            </w:r>
          </w:p>
        </w:tc>
        <w:tc>
          <w:tcPr>
            <w:tcW w:w="2160" w:type="dxa"/>
          </w:tcPr>
          <w:p w14:paraId="3D2C7C36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 通过CA证书登录远程评审系统，在“双盲”模式下（隐去投标人信息、专家信息对双方保密）在线审阅投标文件、进行打分与评议。2. 使用系统提供的智能清标对比工具，快速核对工程量清单与参数响应。</w:t>
            </w:r>
          </w:p>
        </w:tc>
      </w:tr>
      <w:tr w14:paraId="54110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556C2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采购经办人</w:t>
            </w:r>
          </w:p>
        </w:tc>
        <w:tc>
          <w:tcPr>
            <w:tcW w:w="2160" w:type="dxa"/>
          </w:tcPr>
          <w:p w14:paraId="1BD335B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采购部</w:t>
            </w:r>
          </w:p>
        </w:tc>
        <w:tc>
          <w:tcPr>
            <w:tcW w:w="2160" w:type="dxa"/>
          </w:tcPr>
          <w:p w14:paraId="471BC8C2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确保采购流程合规、高效，规避个人履职风险。</w:t>
            </w:r>
          </w:p>
        </w:tc>
        <w:tc>
          <w:tcPr>
            <w:tcW w:w="2160" w:type="dxa"/>
          </w:tcPr>
          <w:p w14:paraId="743DC1A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 在编制招标文件后，提交至系统进行“合规性预检”，识别可能存在的倾向性条款。2. 查看项目全流程的合规状态看板，跟踪处理预警信息。</w:t>
            </w:r>
          </w:p>
        </w:tc>
      </w:tr>
      <w:tr w14:paraId="21672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3A24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系统管理员</w:t>
            </w:r>
          </w:p>
        </w:tc>
        <w:tc>
          <w:tcPr>
            <w:tcW w:w="2160" w:type="dxa"/>
          </w:tcPr>
          <w:p w14:paraId="7A83B7B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信息中心</w:t>
            </w:r>
          </w:p>
        </w:tc>
        <w:tc>
          <w:tcPr>
            <w:tcW w:w="2160" w:type="dxa"/>
          </w:tcPr>
          <w:p w14:paraId="4507F97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系统稳定、安全、易于运维，符合信创与安全监管要求。</w:t>
            </w:r>
          </w:p>
        </w:tc>
        <w:tc>
          <w:tcPr>
            <w:tcW w:w="2160" w:type="dxa"/>
          </w:tcPr>
          <w:p w14:paraId="0C1F231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 配置风险模型规则、用户权限、业务流程。2. 监控系统运行状态、审计日志，处理告警。3. 管理CA证书、电子签章，确保法律效力。</w:t>
            </w:r>
          </w:p>
        </w:tc>
      </w:tr>
      <w:tr w14:paraId="4B6F8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9E040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管理层</w:t>
            </w:r>
          </w:p>
        </w:tc>
        <w:tc>
          <w:tcPr>
            <w:tcW w:w="2160" w:type="dxa"/>
          </w:tcPr>
          <w:p w14:paraId="173CC1D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公司领导/纪委</w:t>
            </w:r>
          </w:p>
        </w:tc>
        <w:tc>
          <w:tcPr>
            <w:tcW w:w="2160" w:type="dxa"/>
          </w:tcPr>
          <w:p w14:paraId="79A4129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宏观掌握招采整体态势，识别系统性风险，进行科学决策。</w:t>
            </w:r>
          </w:p>
        </w:tc>
        <w:tc>
          <w:tcPr>
            <w:tcW w:w="2160" w:type="dxa"/>
          </w:tcPr>
          <w:p w14:paraId="42B9D75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1. 通过高管驾驶舱，查看采购节约金额、供应商集中度、高风险项目分布等核心指标。2. 穿透查看任意重点项目的全流程审计轨迹与风险详情。</w:t>
            </w:r>
          </w:p>
        </w:tc>
      </w:tr>
    </w:tbl>
    <w:p w14:paraId="33878B30">
      <w:pPr>
        <w:pStyle w:val="5"/>
      </w:pPr>
      <w:r>
        <w:rPr>
          <w:rFonts w:ascii="Calibri" w:hAnsi="Calibri" w:eastAsia="微软雅黑"/>
        </w:rPr>
        <w:t>2.2 核心业务场景</w:t>
      </w:r>
    </w:p>
    <w:p w14:paraId="28149606">
      <w:r>
        <w:rPr>
          <w:b/>
        </w:rPr>
        <w:t>场景一：智能化围串标风险筛查</w:t>
      </w:r>
    </w:p>
    <w:p w14:paraId="66019B35">
      <w:pPr>
        <w:pStyle w:val="16"/>
      </w:pPr>
      <w:r>
        <w:rPr>
          <w:rFonts w:ascii="Calibri" w:hAnsi="Calibri" w:eastAsia="微软雅黑"/>
          <w:b/>
        </w:rPr>
        <w:t>流程</w:t>
      </w:r>
      <w:r>
        <w:rPr>
          <w:rFonts w:ascii="Calibri" w:hAnsi="Calibri" w:eastAsia="微软雅黑"/>
        </w:rPr>
        <w:t>：投标截止后，系统自动对全部投标文件进行解析。首先通过</w:t>
      </w:r>
      <w:r>
        <w:rPr>
          <w:rFonts w:ascii="Calibri" w:hAnsi="Calibri" w:eastAsia="微软雅黑"/>
          <w:b/>
        </w:rPr>
        <w:t>多模型路由</w:t>
      </w:r>
      <w:r>
        <w:rPr>
          <w:rFonts w:ascii="Calibri" w:hAnsi="Calibri" w:eastAsia="微软雅黑"/>
        </w:rPr>
        <w:t>引擎，判断使用文本相似度模型（BERT类）、文件属性分析模型（基于文件元数据）或报价曲线分析模型。随后，调用对应的AI服务进行分析，将识别出的“疑似关联投标人”集群及其证据（如异常一致的格式化错误、报价呈等差数列）推送至审计专员工作台。</w:t>
      </w:r>
    </w:p>
    <w:p w14:paraId="7E161C72">
      <w:pPr>
        <w:pStyle w:val="16"/>
      </w:pPr>
      <w:r>
        <w:rPr>
          <w:rFonts w:ascii="Calibri" w:hAnsi="Calibri" w:eastAsia="微软雅黑"/>
          <w:b/>
        </w:rPr>
        <w:t>价值</w:t>
      </w:r>
      <w:r>
        <w:rPr>
          <w:rFonts w:ascii="Calibri" w:hAnsi="Calibri" w:eastAsia="微软雅黑"/>
        </w:rPr>
        <w:t>：将过去需要数天的人工比对工作压缩至分钟级，且能发现更隐蔽的关联关系。</w:t>
      </w:r>
    </w:p>
    <w:p w14:paraId="603928B1">
      <w:r>
        <w:rPr>
          <w:b/>
        </w:rPr>
        <w:t>场景二：全信创环境下的远程异地评标</w:t>
      </w:r>
    </w:p>
    <w:p w14:paraId="5840CE9E">
      <w:pPr>
        <w:pStyle w:val="16"/>
      </w:pPr>
      <w:r>
        <w:rPr>
          <w:rFonts w:ascii="Calibri" w:hAnsi="Calibri" w:eastAsia="微软雅黑"/>
          <w:b/>
        </w:rPr>
        <w:t>流程</w:t>
      </w:r>
      <w:r>
        <w:rPr>
          <w:rFonts w:ascii="Calibri" w:hAnsi="Calibri" w:eastAsia="微软雅黑"/>
        </w:rPr>
        <w:t>：专家使用国产化终端和UKey（CA证书）登录系统。系统自动调度资源，确保评标应用运行在信创云环境中。专家界面隐去投标单位信息，仅显示技术方案与报价。系统提供</w:t>
      </w:r>
      <w:r>
        <w:rPr>
          <w:rFonts w:ascii="Calibri" w:hAnsi="Calibri" w:eastAsia="微软雅黑"/>
          <w:b/>
        </w:rPr>
        <w:t>Python脚本校验引擎</w:t>
      </w:r>
      <w:r>
        <w:rPr>
          <w:rFonts w:ascii="Calibri" w:hAnsi="Calibri" w:eastAsia="微软雅黑"/>
        </w:rPr>
        <w:t>，可自动运行预设的脚本，对投标文件中的工程量清单进行算术符合性检查，并将结果高亮展示，辅助专家评审。</w:t>
      </w:r>
    </w:p>
    <w:p w14:paraId="18A11D34">
      <w:pPr>
        <w:pStyle w:val="16"/>
      </w:pPr>
      <w:r>
        <w:rPr>
          <w:rFonts w:ascii="Calibri" w:hAnsi="Calibri" w:eastAsia="微软雅黑"/>
          <w:b/>
        </w:rPr>
        <w:t>价值</w:t>
      </w:r>
      <w:r>
        <w:rPr>
          <w:rFonts w:ascii="Calibri" w:hAnsi="Calibri" w:eastAsia="微软雅黑"/>
        </w:rPr>
        <w:t>：保障评审的独立性与公正性，大幅提升评审效率与准确性，同时满足信创合规要求。</w:t>
      </w:r>
    </w:p>
    <w:p w14:paraId="583373BB">
      <w:r>
        <w:rPr>
          <w:b/>
        </w:rPr>
        <w:t>场景三：基于RAG的招标文件合规性辅助审查</w:t>
      </w:r>
    </w:p>
    <w:p w14:paraId="3CB17203">
      <w:pPr>
        <w:pStyle w:val="16"/>
      </w:pPr>
      <w:r>
        <w:rPr>
          <w:rFonts w:ascii="Calibri" w:hAnsi="Calibri" w:eastAsia="微软雅黑"/>
          <w:b/>
        </w:rPr>
        <w:t>流程</w:t>
      </w:r>
      <w:r>
        <w:rPr>
          <w:rFonts w:ascii="Calibri" w:hAnsi="Calibri" w:eastAsia="微软雅黑"/>
        </w:rPr>
        <w:t>：采购经办人上传招标文件草案。系统通过</w:t>
      </w:r>
      <w:r>
        <w:rPr>
          <w:rFonts w:ascii="Calibri" w:hAnsi="Calibri" w:eastAsia="微软雅黑"/>
          <w:b/>
        </w:rPr>
        <w:t>RAG检索</w:t>
      </w:r>
      <w:r>
        <w:rPr>
          <w:rFonts w:ascii="Calibri" w:hAnsi="Calibri" w:eastAsia="微软雅黑"/>
        </w:rPr>
        <w:t>模块，从内置的法规知识库（实时同步国家、地方最新招投标法规）和本单位历史优质标书库中，检索相关条款。自动对比草案内容，提示可能存在的“排斥潜在投标人”、“技术要求具有明显倾向性”等风险点，并给出修改建议和法规依据原文。</w:t>
      </w:r>
    </w:p>
    <w:p w14:paraId="5434FB03">
      <w:pPr>
        <w:pStyle w:val="16"/>
      </w:pPr>
      <w:r>
        <w:rPr>
          <w:rFonts w:ascii="Calibri" w:hAnsi="Calibri" w:eastAsia="微软雅黑"/>
          <w:b/>
        </w:rPr>
        <w:t>价值</w:t>
      </w:r>
      <w:r>
        <w:rPr>
          <w:rFonts w:ascii="Calibri" w:hAnsi="Calibri" w:eastAsia="微软雅黑"/>
        </w:rPr>
        <w:t>：前置化解合规风险，提升招标文件编制质量，降低标后质疑与投诉概率。</w:t>
      </w:r>
    </w:p>
    <w:p w14:paraId="05DE1637">
      <w:pPr>
        <w:pStyle w:val="4"/>
      </w:pPr>
      <w:r>
        <w:rPr>
          <w:rFonts w:ascii="Calibri" w:hAnsi="Calibri" w:eastAsia="微软雅黑"/>
        </w:rPr>
        <w:t>3. 核心功能需求</w:t>
      </w:r>
    </w:p>
    <w:p w14:paraId="34EC16B4">
      <w:pPr>
        <w:pStyle w:val="5"/>
      </w:pPr>
      <w:r>
        <w:rPr>
          <w:rFonts w:ascii="Calibri" w:hAnsi="Calibri" w:eastAsia="微软雅黑"/>
        </w:rPr>
        <w:t>3.1 功能全景图</w:t>
      </w:r>
    </w:p>
    <w:p w14:paraId="64EEF4FC">
      <w:pPr>
        <w:pStyle w:val="137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2590" cy="2197100"/>
            <wp:effectExtent l="0" t="0" r="381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/>
          <w:color w:val="333333"/>
          <w:sz w:val="18"/>
        </w:rPr>
        <w:br w:type="textWrapping"/>
      </w:r>
    </w:p>
    <w:p w14:paraId="33FB3B87">
      <w:pPr>
        <w:pStyle w:val="5"/>
      </w:pPr>
      <w:r>
        <w:rPr>
          <w:rFonts w:ascii="Calibri" w:hAnsi="Calibri" w:eastAsia="微软雅黑"/>
        </w:rPr>
        <w:t>3.2 功能模块详细说明</w:t>
      </w:r>
    </w:p>
    <w:p w14:paraId="645BA8EB">
      <w:pPr>
        <w:pStyle w:val="6"/>
      </w:pPr>
      <w:r>
        <w:rPr>
          <w:rFonts w:ascii="Calibri" w:hAnsi="Calibri" w:eastAsia="微软雅黑"/>
        </w:rPr>
        <w:t>3.2.1 智能审计引擎</w:t>
      </w:r>
    </w:p>
    <w:p w14:paraId="70701B4D">
      <w:r>
        <w:t>本模块是系统的“大脑”，负责对招采全流程数据进行自动化风险扫描与预警。</w:t>
      </w:r>
    </w:p>
    <w:p w14:paraId="110A7245">
      <w:pPr>
        <w:pStyle w:val="16"/>
      </w:pPr>
      <w:r>
        <w:rPr>
          <w:rFonts w:ascii="Calibri" w:hAnsi="Calibri" w:eastAsia="微软雅黑"/>
          <w:b/>
        </w:rPr>
        <w:t>文件智能解析</w:t>
      </w:r>
      <w:r>
        <w:rPr>
          <w:rFonts w:ascii="Calibri" w:hAnsi="Calibri" w:eastAsia="微软雅黑"/>
        </w:rPr>
        <w:t>：</w:t>
      </w:r>
    </w:p>
    <w:p w14:paraId="32133BED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：支持解析PDF、Word、</w:t>
      </w:r>
      <w:r>
        <w:rPr>
          <w:rFonts w:hint="eastAsia"/>
          <w:lang w:val="en-US" w:eastAsia="zh-CN"/>
        </w:rPr>
        <w:t>图片</w:t>
      </w:r>
      <w:r>
        <w:rPr>
          <w:rFonts w:ascii="Calibri" w:hAnsi="Calibri" w:eastAsia="微软雅黑"/>
        </w:rPr>
        <w:t>等常见格式的投标文件，通过OCR+NLP技术，非结构化地提取关键信息，如投标报价、工程量清单、技术参数、资质证书等，并转化为结构化数据。</w:t>
      </w:r>
    </w:p>
    <w:p w14:paraId="05F73EB3">
      <w:pPr>
        <w:pStyle w:val="16"/>
        <w:ind w:left="720"/>
      </w:pPr>
      <w:r>
        <w:rPr>
          <w:rFonts w:ascii="Calibri" w:hAnsi="Calibri" w:eastAsia="微软雅黑"/>
          <w:b/>
        </w:rPr>
        <w:t>验收标准</w:t>
      </w:r>
      <w:r>
        <w:rPr>
          <w:rFonts w:ascii="Calibri" w:hAnsi="Calibri" w:eastAsia="微软雅黑"/>
        </w:rPr>
        <w:t>：对标准版式文件的字段提取准确率 ≥ 98%；对复杂版式文件，提供人工辅助修正界面。</w:t>
      </w:r>
    </w:p>
    <w:p w14:paraId="3723973F">
      <w:pPr>
        <w:pStyle w:val="16"/>
      </w:pPr>
      <w:r>
        <w:rPr>
          <w:rFonts w:ascii="Calibri" w:hAnsi="Calibri" w:eastAsia="微软雅黑"/>
          <w:b/>
        </w:rPr>
        <w:t>风险模型集市与多模型路由</w:t>
      </w:r>
      <w:r>
        <w:rPr>
          <w:rFonts w:ascii="Calibri" w:hAnsi="Calibri" w:eastAsia="微软雅黑"/>
        </w:rPr>
        <w:t>：</w:t>
      </w:r>
    </w:p>
    <w:p w14:paraId="2B8B00C6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内置一个可扩展的风险模型库。系统需根据输入数据特征（如文件类型、采购方式），智能选择最优分析模型或模型组合（路由）。例如，对于技术标，路由至“文本相似度分析模型”；对于报价清单，路由至“报价规律性分析模型”。</w:t>
      </w:r>
    </w:p>
    <w:p w14:paraId="0EC2DA06">
      <w:pPr>
        <w:pStyle w:val="16"/>
        <w:ind w:left="720"/>
      </w:pPr>
      <w:r>
        <w:rPr>
          <w:rFonts w:ascii="Calibri" w:hAnsi="Calibri" w:eastAsia="微软雅黑"/>
          <w:b/>
        </w:rPr>
        <w:t>功能规格</w:t>
      </w:r>
      <w:r>
        <w:rPr>
          <w:rFonts w:ascii="Calibri" w:hAnsi="Calibri" w:eastAsia="微软雅黑"/>
        </w:rPr>
        <w:t>：</w:t>
      </w:r>
    </w:p>
    <w:p w14:paraId="05C0DA08">
      <w:pPr>
        <w:ind w:left="1440"/>
      </w:pPr>
      <w:r>
        <w:rPr>
          <w:rFonts w:ascii="Calibri" w:hAnsi="Calibri" w:eastAsia="微软雅黑"/>
        </w:rPr>
        <w:t>1. 提供图形化模型配置界面，支持拖拽方式组合特征因子（如IP重合度、文件创建时间接近度、总报价分位数）创建新风险规则。</w:t>
      </w:r>
    </w:p>
    <w:p w14:paraId="12308CE0">
      <w:pPr>
        <w:ind w:left="1440"/>
      </w:pPr>
      <w:r>
        <w:rPr>
          <w:rFonts w:ascii="Calibri" w:hAnsi="Calibri" w:eastAsia="微软雅黑"/>
        </w:rPr>
        <w:t xml:space="preserve">2. </w:t>
      </w:r>
      <w:r>
        <w:rPr>
          <w:rFonts w:ascii="Calibri" w:hAnsi="Calibri" w:eastAsia="微软雅黑"/>
          <w:b w:val="0"/>
          <w:bCs/>
        </w:rPr>
        <w:t>多级兜底策略：</w:t>
      </w:r>
      <w:r>
        <w:rPr>
          <w:rFonts w:ascii="Calibri" w:hAnsi="Calibri" w:eastAsia="微软雅黑"/>
        </w:rPr>
        <w:t>当主AI服务调用失败或超时，自动降级为基于规则引擎的快速分析，并发出告警。最终确保风险扫描服务99.9%可用。</w:t>
      </w:r>
    </w:p>
    <w:p w14:paraId="1423AE47">
      <w:pPr>
        <w:pStyle w:val="16"/>
      </w:pPr>
      <w:r>
        <w:rPr>
          <w:rFonts w:ascii="Calibri" w:hAnsi="Calibri" w:eastAsia="微软雅黑"/>
          <w:b/>
        </w:rPr>
        <w:t>审计报告自动生成</w:t>
      </w:r>
      <w:r>
        <w:rPr>
          <w:rFonts w:ascii="Calibri" w:hAnsi="Calibri" w:eastAsia="微软雅黑"/>
        </w:rPr>
        <w:t>：</w:t>
      </w:r>
    </w:p>
    <w:p w14:paraId="68C75591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：基于风险扫描结果和人工复核标记，一键生成符合内外部审计规范的专业报告（Word/PDF格式），报告需包含执行摘要、问题详情、证据截图、法规引用及整改建议模板。</w:t>
      </w:r>
    </w:p>
    <w:p w14:paraId="31D2D8D6">
      <w:pPr>
        <w:pStyle w:val="6"/>
      </w:pPr>
      <w:r>
        <w:rPr>
          <w:rFonts w:ascii="Calibri" w:hAnsi="Calibri" w:eastAsia="微软雅黑"/>
        </w:rPr>
        <w:t>3.2.2 全流程穿透监管</w:t>
      </w:r>
    </w:p>
    <w:p w14:paraId="64538632">
      <w:r>
        <w:t>本模块旨在打通数据孤岛，实现“一键追溯”。</w:t>
      </w:r>
    </w:p>
    <w:p w14:paraId="4F9ED620">
      <w:pPr>
        <w:pStyle w:val="16"/>
      </w:pPr>
      <w:r>
        <w:rPr>
          <w:rFonts w:ascii="Calibri" w:hAnsi="Calibri" w:eastAsia="微软雅黑"/>
          <w:b/>
        </w:rPr>
        <w:t>API穿透对接网关</w:t>
      </w:r>
      <w:r>
        <w:rPr>
          <w:rFonts w:ascii="Calibri" w:hAnsi="Calibri" w:eastAsia="微软雅黑"/>
        </w:rPr>
        <w:t>：</w:t>
      </w:r>
    </w:p>
    <w:p w14:paraId="51CF4D7D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：提供一套标准化的API接口规范与适配器，用于对接企业内部已有的ERP、采购系统、财务系统、OA系统。实现项目从“立项审批 -&gt; 采购计划 -&gt; 招标 -&gt; 合同 -&gt; 付款 -&gt; 履约评价”的数据自动拉取与关联。</w:t>
      </w:r>
    </w:p>
    <w:p w14:paraId="202A18FC">
      <w:pPr>
        <w:pStyle w:val="16"/>
        <w:ind w:left="720"/>
      </w:pPr>
      <w:r>
        <w:rPr>
          <w:rFonts w:ascii="Calibri" w:hAnsi="Calibri" w:eastAsia="微软雅黑"/>
          <w:b/>
        </w:rPr>
        <w:t>技术要求</w:t>
      </w:r>
      <w:r>
        <w:rPr>
          <w:rFonts w:ascii="Calibri" w:hAnsi="Calibri" w:eastAsia="微软雅黑"/>
        </w:rPr>
        <w:t>：支持HTTP/HTTPS、WebService、数据库直连等多种对接方式；具备数据清洗、转换和异步处理能力。</w:t>
      </w:r>
    </w:p>
    <w:p w14:paraId="1E4D91E3">
      <w:pPr>
        <w:pStyle w:val="16"/>
      </w:pPr>
      <w:r>
        <w:rPr>
          <w:rFonts w:ascii="Calibri" w:hAnsi="Calibri" w:eastAsia="微软雅黑"/>
          <w:b/>
        </w:rPr>
        <w:t>项目全链路视图</w:t>
      </w:r>
      <w:r>
        <w:rPr>
          <w:rFonts w:ascii="Calibri" w:hAnsi="Calibri" w:eastAsia="微软雅黑"/>
        </w:rPr>
        <w:t>：</w:t>
      </w:r>
    </w:p>
    <w:p w14:paraId="23CE7276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：以时间轴或流程图形式，可视化展示单个项目的完整生命周期，任何一个环节均可点击下钻，查看原始单据、审批记录、操作日志及系统当时识别出的风险点。</w:t>
      </w:r>
    </w:p>
    <w:p w14:paraId="7EBE6F1D">
      <w:pPr>
        <w:pStyle w:val="6"/>
      </w:pPr>
      <w:r>
        <w:rPr>
          <w:rFonts w:ascii="Calibri" w:hAnsi="Calibri" w:eastAsia="微软雅黑"/>
        </w:rPr>
        <w:t>3.2.3 信创化评审工作台</w:t>
      </w:r>
    </w:p>
    <w:p w14:paraId="02E343C1">
      <w:r>
        <w:t>为评审专家提供的安全、高效、独立的在线工作环境。</w:t>
      </w:r>
    </w:p>
    <w:p w14:paraId="7F205B10">
      <w:pPr>
        <w:pStyle w:val="16"/>
      </w:pPr>
      <w:r>
        <w:rPr>
          <w:rFonts w:ascii="Calibri" w:hAnsi="Calibri" w:eastAsia="微软雅黑"/>
          <w:b/>
        </w:rPr>
        <w:t>Python脚本校验引擎</w:t>
      </w:r>
      <w:r>
        <w:rPr>
          <w:rFonts w:ascii="Calibri" w:hAnsi="Calibri" w:eastAsia="微软雅黑"/>
        </w:rPr>
        <w:t>：</w:t>
      </w:r>
    </w:p>
    <w:p w14:paraId="7B353653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：允许管理员预置或专家临时编写简单的Python脚本，用于对投标文件中的数据进行自动化校验。例如，编写脚本自动核对工程量清单中“单价x数量”是否等于“合价”，检查报价是否超过预算控制价等。</w:t>
      </w:r>
    </w:p>
    <w:p w14:paraId="02336A41">
      <w:pPr>
        <w:pStyle w:val="16"/>
        <w:ind w:left="720"/>
      </w:pPr>
      <w:r>
        <w:rPr>
          <w:rFonts w:ascii="Calibri" w:hAnsi="Calibri" w:eastAsia="微软雅黑"/>
          <w:b/>
        </w:rPr>
        <w:t>安全机制</w:t>
      </w:r>
      <w:r>
        <w:rPr>
          <w:rFonts w:ascii="Calibri" w:hAnsi="Calibri" w:eastAsia="微软雅黑"/>
        </w:rPr>
        <w:t>：脚本必须在严格的沙箱环境中运行，禁止访问网络、文件系统等敏感资源，确保系统安全。</w:t>
      </w:r>
    </w:p>
    <w:p w14:paraId="6EB6629D">
      <w:pPr>
        <w:pStyle w:val="16"/>
      </w:pPr>
      <w:r>
        <w:rPr>
          <w:rFonts w:ascii="Calibri" w:hAnsi="Calibri" w:eastAsia="微软雅黑"/>
          <w:b/>
        </w:rPr>
        <w:t>远程异地“双盲”评标</w:t>
      </w:r>
      <w:r>
        <w:rPr>
          <w:rFonts w:ascii="Calibri" w:hAnsi="Calibri" w:eastAsia="微软雅黑"/>
        </w:rPr>
        <w:t>：</w:t>
      </w:r>
    </w:p>
    <w:p w14:paraId="52B06CE2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：支持专家在不同地点通过互联网安全接入。评审过程中，系统对专家隐藏投标人信息，对投标人（如有述标环节）隐藏专家信息。所有评审操作、打分、评议内容全程录音录像并区块链存证。</w:t>
      </w:r>
    </w:p>
    <w:p w14:paraId="0B228489">
      <w:pPr>
        <w:pStyle w:val="6"/>
      </w:pPr>
      <w:r>
        <w:rPr>
          <w:rFonts w:ascii="Calibri" w:hAnsi="Calibri" w:eastAsia="微软雅黑"/>
        </w:rPr>
        <w:t>3.2.4 合规与知识中枢</w:t>
      </w:r>
    </w:p>
    <w:p w14:paraId="0F775D64">
      <w:pPr>
        <w:pStyle w:val="16"/>
      </w:pPr>
      <w:r>
        <w:rPr>
          <w:rFonts w:ascii="Calibri" w:hAnsi="Calibri" w:eastAsia="微软雅黑"/>
          <w:b/>
        </w:rPr>
        <w:t>法规RAG智能检索</w:t>
      </w:r>
      <w:r>
        <w:rPr>
          <w:rFonts w:ascii="Calibri" w:hAnsi="Calibri" w:eastAsia="微软雅黑"/>
        </w:rPr>
        <w:t>：</w:t>
      </w:r>
    </w:p>
    <w:p w14:paraId="1CC97E5A">
      <w:pPr>
        <w:pStyle w:val="16"/>
        <w:ind w:left="720"/>
      </w:pPr>
      <w:r>
        <w:rPr>
          <w:rFonts w:ascii="Calibri" w:hAnsi="Calibri" w:eastAsia="微软雅黑"/>
          <w:b/>
        </w:rPr>
        <w:t>需求</w:t>
      </w:r>
      <w:r>
        <w:rPr>
          <w:rFonts w:ascii="Calibri" w:hAnsi="Calibri" w:eastAsia="微软雅黑"/>
        </w:rPr>
        <w:t>：构建一个包含国标、地方法规、行业规范、企业内部制度的多维知识库。当用户对某个条款有疑问时，可通过自然语言提问（如“关于最低价中标的规定有哪些？”），系统通过RAG技术检索出最相关的法规片段，并生成简洁、准确的解读。</w:t>
      </w:r>
    </w:p>
    <w:p w14:paraId="689D4443">
      <w:pPr>
        <w:pStyle w:val="16"/>
        <w:ind w:left="720"/>
      </w:pPr>
      <w:r>
        <w:rPr>
          <w:rFonts w:ascii="Calibri" w:hAnsi="Calibri" w:eastAsia="微软雅黑"/>
          <w:b/>
        </w:rPr>
        <w:t>数据源</w:t>
      </w:r>
      <w:r>
        <w:rPr>
          <w:rFonts w:ascii="Calibri" w:hAnsi="Calibri" w:eastAsia="微软雅黑"/>
        </w:rPr>
        <w:t>：需与权威法规数据库（如北大法宝）建立同步机制，确保知识库的时效性。</w:t>
      </w:r>
    </w:p>
    <w:p w14:paraId="19F9D9AF">
      <w:pPr>
        <w:pStyle w:val="4"/>
      </w:pPr>
      <w:r>
        <w:rPr>
          <w:rFonts w:ascii="Calibri" w:hAnsi="Calibri" w:eastAsia="微软雅黑"/>
        </w:rPr>
        <w:t>4. 非功能需求</w:t>
      </w:r>
    </w:p>
    <w:p w14:paraId="119FE09F">
      <w:pPr>
        <w:pStyle w:val="5"/>
      </w:pPr>
      <w:r>
        <w:rPr>
          <w:rFonts w:ascii="Calibri" w:hAnsi="Calibri" w:eastAsia="微软雅黑"/>
        </w:rPr>
        <w:t>4.1 性能需求</w:t>
      </w:r>
    </w:p>
    <w:p w14:paraId="74485FFC">
      <w:pPr>
        <w:pStyle w:val="16"/>
      </w:pPr>
      <w:r>
        <w:rPr>
          <w:rFonts w:ascii="Calibri" w:hAnsi="Calibri" w:eastAsia="微软雅黑"/>
          <w:b/>
        </w:rPr>
        <w:t>响应时间</w:t>
      </w:r>
      <w:r>
        <w:rPr>
          <w:rFonts w:ascii="Calibri" w:hAnsi="Calibri" w:eastAsia="微软雅黑"/>
        </w:rPr>
        <w:t>：常用查询操作响应时间 &lt; 2秒；复杂风险分析任务应在后台异步执行，并提供进度提示。</w:t>
      </w:r>
    </w:p>
    <w:p w14:paraId="019A75EE">
      <w:pPr>
        <w:pStyle w:val="16"/>
      </w:pPr>
      <w:r>
        <w:rPr>
          <w:rFonts w:ascii="Calibri" w:hAnsi="Calibri" w:eastAsia="微软雅黑"/>
          <w:b/>
        </w:rPr>
        <w:t>并发能力</w:t>
      </w:r>
      <w:r>
        <w:rPr>
          <w:rFonts w:ascii="Calibri" w:hAnsi="Calibri" w:eastAsia="微软雅黑"/>
        </w:rPr>
        <w:t>：支持至少500个用户同时在线操作，支持50个项目同时进行开标、评标活动。</w:t>
      </w:r>
    </w:p>
    <w:p w14:paraId="3F39F22D">
      <w:pPr>
        <w:pStyle w:val="16"/>
      </w:pPr>
      <w:r>
        <w:rPr>
          <w:rFonts w:ascii="Calibri" w:hAnsi="Calibri" w:eastAsia="微软雅黑"/>
          <w:b/>
        </w:rPr>
        <w:t>数据处理能力</w:t>
      </w:r>
      <w:r>
        <w:rPr>
          <w:rFonts w:ascii="Calibri" w:hAnsi="Calibri" w:eastAsia="微软雅黑"/>
        </w:rPr>
        <w:t>：单次可解析处理超过1000页的投标文件包，解析服务TP99 ≤ 30秒。</w:t>
      </w:r>
    </w:p>
    <w:p w14:paraId="2AB196F7">
      <w:pPr>
        <w:pStyle w:val="5"/>
      </w:pPr>
      <w:r>
        <w:rPr>
          <w:rFonts w:ascii="Calibri" w:hAnsi="Calibri" w:eastAsia="微软雅黑"/>
        </w:rPr>
        <w:t>4.2 安全需求</w:t>
      </w:r>
    </w:p>
    <w:p w14:paraId="37889717">
      <w:pPr>
        <w:pStyle w:val="16"/>
      </w:pPr>
      <w:r>
        <w:rPr>
          <w:rFonts w:ascii="Calibri" w:hAnsi="Calibri" w:eastAsia="微软雅黑"/>
          <w:b/>
        </w:rPr>
        <w:t>等保合规</w:t>
      </w:r>
      <w:r>
        <w:rPr>
          <w:rFonts w:ascii="Calibri" w:hAnsi="Calibri" w:eastAsia="微软雅黑"/>
        </w:rPr>
        <w:t>：系统设计需满足网络安全等级保护三级（或根据用户要求更高级别）要求。</w:t>
      </w:r>
    </w:p>
    <w:p w14:paraId="1336FBE5">
      <w:pPr>
        <w:pStyle w:val="16"/>
      </w:pPr>
      <w:r>
        <w:rPr>
          <w:rFonts w:ascii="Calibri" w:hAnsi="Calibri" w:eastAsia="微软雅黑"/>
          <w:b/>
        </w:rPr>
        <w:t>身份认证</w:t>
      </w:r>
      <w:r>
        <w:rPr>
          <w:rFonts w:ascii="Calibri" w:hAnsi="Calibri" w:eastAsia="微软雅黑"/>
        </w:rPr>
        <w:t>：强制使用基于国产密码算法的移动数字证书（CA）进行登录和签章操作。</w:t>
      </w:r>
    </w:p>
    <w:p w14:paraId="5E8ECD3A">
      <w:pPr>
        <w:pStyle w:val="16"/>
      </w:pPr>
      <w:r>
        <w:rPr>
          <w:rFonts w:ascii="Calibri" w:hAnsi="Calibri" w:eastAsia="微软雅黑"/>
          <w:b/>
        </w:rPr>
        <w:t>数据安全</w:t>
      </w:r>
      <w:r>
        <w:rPr>
          <w:rFonts w:ascii="Calibri" w:hAnsi="Calibri" w:eastAsia="微软雅黑"/>
        </w:rPr>
        <w:t>：所有敏感数据（如投标报价、专家信息）在传输和存储时必须加密。提供完整的数据操作审计日志，满足追溯要求。</w:t>
      </w:r>
    </w:p>
    <w:p w14:paraId="0B20E6CB">
      <w:pPr>
        <w:pStyle w:val="16"/>
      </w:pPr>
      <w:r>
        <w:rPr>
          <w:rFonts w:ascii="Calibri" w:hAnsi="Calibri" w:eastAsia="微软雅黑"/>
          <w:b/>
        </w:rPr>
        <w:t>信创安全</w:t>
      </w:r>
      <w:r>
        <w:rPr>
          <w:rFonts w:ascii="Calibri" w:hAnsi="Calibri" w:eastAsia="微软雅黑"/>
        </w:rPr>
        <w:t>：系统自身不得包含已知的国外技术栈高危漏洞组件，需定期进行信创环境下的渗透测试与漏洞扫描。</w:t>
      </w:r>
    </w:p>
    <w:p w14:paraId="3176E775">
      <w:pPr>
        <w:pStyle w:val="5"/>
      </w:pPr>
      <w:r>
        <w:rPr>
          <w:rFonts w:ascii="Calibri" w:hAnsi="Calibri" w:eastAsia="微软雅黑"/>
        </w:rPr>
        <w:t>4.3 可靠性、可用性与可维护性</w:t>
      </w:r>
    </w:p>
    <w:p w14:paraId="76414BED">
      <w:pPr>
        <w:pStyle w:val="16"/>
      </w:pPr>
      <w:r>
        <w:rPr>
          <w:rFonts w:ascii="Calibri" w:hAnsi="Calibri" w:eastAsia="微软雅黑"/>
          <w:b/>
        </w:rPr>
        <w:t>可靠性</w:t>
      </w:r>
      <w:r>
        <w:rPr>
          <w:rFonts w:ascii="Calibri" w:hAnsi="Calibri" w:eastAsia="微软雅黑"/>
        </w:rPr>
        <w:t>：核心服务（如文件解析、风险计算）设计成无状态集群，支持高可用部署，系统整体可用性目标 ≥ 99.95%。</w:t>
      </w:r>
    </w:p>
    <w:p w14:paraId="348EBCF3">
      <w:pPr>
        <w:pStyle w:val="16"/>
      </w:pPr>
      <w:r>
        <w:rPr>
          <w:rFonts w:ascii="Calibri" w:hAnsi="Calibri" w:eastAsia="微软雅黑"/>
          <w:b/>
        </w:rPr>
        <w:t>可维护性</w:t>
      </w:r>
      <w:r>
        <w:rPr>
          <w:rFonts w:ascii="Calibri" w:hAnsi="Calibri" w:eastAsia="微软雅黑"/>
        </w:rPr>
        <w:t>：提供完善的系统监控、日志管理和告警功能。所有AI模型、业务规则应支持界面化配置与热更新，无需重启服务。</w:t>
      </w:r>
    </w:p>
    <w:p w14:paraId="58B679F8">
      <w:pPr>
        <w:pStyle w:val="16"/>
      </w:pPr>
      <w:r>
        <w:rPr>
          <w:rFonts w:ascii="Calibri" w:hAnsi="Calibri" w:eastAsia="微软雅黑"/>
          <w:b/>
        </w:rPr>
        <w:t>兼容性</w:t>
      </w:r>
      <w:r>
        <w:rPr>
          <w:rFonts w:ascii="Calibri" w:hAnsi="Calibri" w:eastAsia="微软雅黑"/>
        </w:rPr>
        <w:t>：客户端需兼容主流国产浏览器（如奇安信浏览器、360企业安全浏览器），并适配信创桌面环境。</w:t>
      </w:r>
    </w:p>
    <w:p w14:paraId="6530042D">
      <w:pPr>
        <w:pStyle w:val="4"/>
      </w:pPr>
      <w:r>
        <w:rPr>
          <w:rFonts w:ascii="Calibri" w:hAnsi="Calibri" w:eastAsia="微软雅黑"/>
        </w:rPr>
        <w:t>5. 成功指标与评估体系</w:t>
      </w:r>
    </w:p>
    <w:p w14:paraId="057F7A9C">
      <w:r>
        <w:t>为确保项目价值可衡量，定义以下量化与质性指标：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363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2AE50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指标类别</w:t>
            </w:r>
          </w:p>
        </w:tc>
        <w:tc>
          <w:tcPr>
            <w:tcW w:w="2160" w:type="dxa"/>
          </w:tcPr>
          <w:p w14:paraId="06449BC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具体指标</w:t>
            </w:r>
          </w:p>
        </w:tc>
        <w:tc>
          <w:tcPr>
            <w:tcW w:w="2160" w:type="dxa"/>
          </w:tcPr>
          <w:p w14:paraId="20D67D4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衡量方式</w:t>
            </w:r>
          </w:p>
        </w:tc>
        <w:tc>
          <w:tcPr>
            <w:tcW w:w="2160" w:type="dxa"/>
          </w:tcPr>
          <w:p w14:paraId="4DDEE87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目标值</w:t>
            </w:r>
          </w:p>
        </w:tc>
      </w:tr>
      <w:tr w14:paraId="15646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D3C0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业务效能</w:t>
            </w:r>
          </w:p>
        </w:tc>
        <w:tc>
          <w:tcPr>
            <w:tcW w:w="2160" w:type="dxa"/>
          </w:tcPr>
          <w:p w14:paraId="7240BFA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单项目平均审计耗时</w:t>
            </w:r>
          </w:p>
        </w:tc>
        <w:tc>
          <w:tcPr>
            <w:tcW w:w="2160" w:type="dxa"/>
          </w:tcPr>
          <w:p w14:paraId="19981968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系统统计从任务下发到报告生成的时间</w:t>
            </w:r>
          </w:p>
        </w:tc>
        <w:tc>
          <w:tcPr>
            <w:tcW w:w="2160" w:type="dxa"/>
          </w:tcPr>
          <w:p w14:paraId="7E0C309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缩短70%以上</w:t>
            </w:r>
          </w:p>
        </w:tc>
      </w:tr>
      <w:tr w14:paraId="21D9FB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34587E">
            <w:pPr>
              <w:spacing w:after="0" w:line="240" w:lineRule="auto"/>
            </w:pPr>
          </w:p>
        </w:tc>
        <w:tc>
          <w:tcPr>
            <w:tcW w:w="2160" w:type="dxa"/>
          </w:tcPr>
          <w:p w14:paraId="38077557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高风险项目自动识别率</w:t>
            </w:r>
          </w:p>
        </w:tc>
        <w:tc>
          <w:tcPr>
            <w:tcW w:w="2160" w:type="dxa"/>
          </w:tcPr>
          <w:p w14:paraId="33F8557C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(系统预警且经人工确认的问题数) / (人工审计最终发现的全部问题数)</w:t>
            </w:r>
          </w:p>
        </w:tc>
        <w:tc>
          <w:tcPr>
            <w:tcW w:w="2160" w:type="dxa"/>
          </w:tcPr>
          <w:p w14:paraId="5A5E1D0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≥ 95%</w:t>
            </w:r>
          </w:p>
        </w:tc>
      </w:tr>
      <w:tr w14:paraId="0BB401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A9071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质量与合规</w:t>
            </w:r>
          </w:p>
        </w:tc>
        <w:tc>
          <w:tcPr>
            <w:tcW w:w="2160" w:type="dxa"/>
          </w:tcPr>
          <w:p w14:paraId="100F0F8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招标文件合规预检问题发现率</w:t>
            </w:r>
          </w:p>
        </w:tc>
        <w:tc>
          <w:tcPr>
            <w:tcW w:w="2160" w:type="dxa"/>
          </w:tcPr>
          <w:p w14:paraId="11D4CE5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预检提示的问题在后续外部审计中被认定的比例</w:t>
            </w:r>
          </w:p>
        </w:tc>
        <w:tc>
          <w:tcPr>
            <w:tcW w:w="2160" w:type="dxa"/>
          </w:tcPr>
          <w:p w14:paraId="1242F20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≥ 90%</w:t>
            </w:r>
          </w:p>
        </w:tc>
      </w:tr>
      <w:tr w14:paraId="0919D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10E0BB">
            <w:pPr>
              <w:spacing w:after="0" w:line="240" w:lineRule="auto"/>
            </w:pPr>
          </w:p>
        </w:tc>
        <w:tc>
          <w:tcPr>
            <w:tcW w:w="2160" w:type="dxa"/>
          </w:tcPr>
          <w:p w14:paraId="3D60B00E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评审复议/投诉率</w:t>
            </w:r>
          </w:p>
        </w:tc>
        <w:tc>
          <w:tcPr>
            <w:tcW w:w="2160" w:type="dxa"/>
          </w:tcPr>
          <w:p w14:paraId="0EAE4CA9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因评审过程不透明、不公正引发的投诉项目占比</w:t>
            </w:r>
          </w:p>
        </w:tc>
        <w:tc>
          <w:tcPr>
            <w:tcW w:w="2160" w:type="dxa"/>
          </w:tcPr>
          <w:p w14:paraId="4747CD50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降低50%</w:t>
            </w:r>
          </w:p>
        </w:tc>
      </w:tr>
      <w:tr w14:paraId="1D376D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19082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技术性能</w:t>
            </w:r>
          </w:p>
        </w:tc>
        <w:tc>
          <w:tcPr>
            <w:tcW w:w="2160" w:type="dxa"/>
          </w:tcPr>
          <w:p w14:paraId="065AB5A3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信创环境系统可用性</w:t>
            </w:r>
          </w:p>
        </w:tc>
        <w:tc>
          <w:tcPr>
            <w:tcW w:w="2160" w:type="dxa"/>
          </w:tcPr>
          <w:p w14:paraId="316A82B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监控平台记录的SLA</w:t>
            </w:r>
          </w:p>
        </w:tc>
        <w:tc>
          <w:tcPr>
            <w:tcW w:w="2160" w:type="dxa"/>
          </w:tcPr>
          <w:p w14:paraId="25AEF1B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≥ 99.95%</w:t>
            </w:r>
          </w:p>
        </w:tc>
      </w:tr>
      <w:tr w14:paraId="5603E1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197A39">
            <w:pPr>
              <w:spacing w:after="0" w:line="240" w:lineRule="auto"/>
            </w:pPr>
          </w:p>
        </w:tc>
        <w:tc>
          <w:tcPr>
            <w:tcW w:w="2160" w:type="dxa"/>
          </w:tcPr>
          <w:p w14:paraId="24244E3B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风险扫描服务响应时间(P99)</w:t>
            </w:r>
          </w:p>
        </w:tc>
        <w:tc>
          <w:tcPr>
            <w:tcW w:w="2160" w:type="dxa"/>
          </w:tcPr>
          <w:p w14:paraId="5DF39B0F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应用性能监控(APM)工具数据</w:t>
            </w:r>
          </w:p>
        </w:tc>
        <w:tc>
          <w:tcPr>
            <w:tcW w:w="2160" w:type="dxa"/>
          </w:tcPr>
          <w:p w14:paraId="3B0E6F41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≤ 5秒</w:t>
            </w:r>
          </w:p>
        </w:tc>
      </w:tr>
      <w:tr w14:paraId="00778D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4A64B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</w:rPr>
              <w:t>用户满意度</w:t>
            </w:r>
          </w:p>
        </w:tc>
        <w:tc>
          <w:tcPr>
            <w:tcW w:w="2160" w:type="dxa"/>
          </w:tcPr>
          <w:p w14:paraId="11422A64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审计专员/评审专家用户满意度(NPS)</w:t>
            </w:r>
          </w:p>
        </w:tc>
        <w:tc>
          <w:tcPr>
            <w:tcW w:w="2160" w:type="dxa"/>
          </w:tcPr>
          <w:p w14:paraId="0E9D8F75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定期问卷调查</w:t>
            </w:r>
          </w:p>
        </w:tc>
        <w:tc>
          <w:tcPr>
            <w:tcW w:w="2160" w:type="dxa"/>
          </w:tcPr>
          <w:p w14:paraId="0236165D">
            <w:pPr>
              <w:spacing w:after="0" w:line="240" w:lineRule="auto"/>
            </w:pPr>
            <w:r>
              <w:rPr>
                <w:rFonts w:ascii="Calibri" w:hAnsi="Calibri" w:eastAsia="微软雅黑"/>
              </w:rPr>
              <w:t>NPS ≥ 50</w:t>
            </w:r>
          </w:p>
        </w:tc>
      </w:tr>
    </w:tbl>
    <w:p w14:paraId="1D4707E5">
      <w:pPr>
        <w:pStyle w:val="4"/>
      </w:pPr>
      <w:r>
        <w:rPr>
          <w:rFonts w:ascii="Calibri" w:hAnsi="Calibri" w:eastAsia="微软雅黑"/>
        </w:rPr>
        <w:t>6. 项目初步规划</w:t>
      </w:r>
      <w:bookmarkStart w:id="0" w:name="_GoBack"/>
      <w:bookmarkEnd w:id="0"/>
    </w:p>
    <w:p w14:paraId="10B5E0D5">
      <w:pPr>
        <w:pStyle w:val="13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1940" cy="3031490"/>
            <wp:effectExtent l="0" t="0" r="10160" b="38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9068" r="2499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A5506">
      <w:pPr>
        <w:pStyle w:val="137"/>
        <w:rPr>
          <w:rFonts w:ascii="宋体" w:hAnsi="宋体" w:eastAsia="宋体" w:cs="宋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A7BC2"/>
    <w:rsid w:val="17A821AF"/>
    <w:rsid w:val="1CE149AE"/>
    <w:rsid w:val="20722E3E"/>
    <w:rsid w:val="233C0087"/>
    <w:rsid w:val="329C72D0"/>
    <w:rsid w:val="3F2C521C"/>
    <w:rsid w:val="5CD34A4F"/>
    <w:rsid w:val="6C7A62CC"/>
    <w:rsid w:val="6EDD6EEB"/>
    <w:rsid w:val="7C535A01"/>
    <w:rsid w:val="7D2C5E02"/>
    <w:rsid w:val="7E4D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2524</Words>
  <Characters>2732</Characters>
  <Lines>0</Lines>
  <Paragraphs>0</Paragraphs>
  <TotalTime>17</TotalTime>
  <ScaleCrop>false</ScaleCrop>
  <LinksUpToDate>false</LinksUpToDate>
  <CharactersWithSpaces>2918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赵朗序</cp:lastModifiedBy>
  <dcterms:modified xsi:type="dcterms:W3CDTF">2026-03-03T12:58:15Z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eyJoZGlkIjoiZDQwNzBiYzliMTlmMjhkYmI4YWM3YjhiYTYwNTczMzEiLCJ1c2VySWQiOiI4NTk3NTE1NjAifQ==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3D99A3A265C74E349798DE736635AD6E_12</vt:lpwstr>
  </property>
</Properties>
</file>