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○○工程 整體品質計畫（範例）</w:t>
      </w:r>
    </w:p>
    <w:p>
      <w:pPr>
        <w:pStyle w:val="Heading1"/>
      </w:pPr>
      <w:r>
        <w:t>一、計畫依據</w:t>
      </w:r>
    </w:p>
    <w:p>
      <w:r>
        <w:t>本計畫依政府採購法第70條及政府採購法施行細則相關規定辦理，並參照公共工程施工品質管理作業要點訂定。</w:t>
      </w:r>
    </w:p>
    <w:p>
      <w:r>
        <w:t>施工安全管理依職業安全衛生法及職業安全衛生設施規則辦理；本工程並援引勞工安全衛生法之相關規定作為歷史沿革參考。</w:t>
      </w:r>
    </w:p>
    <w:p>
      <w:r>
        <w:t>營建剩餘土石方之處理，依營建剩餘土石方處理辦法辦理。</w:t>
      </w:r>
    </w:p>
    <w:p>
      <w:pPr>
        <w:pStyle w:val="Heading1"/>
      </w:pPr>
      <w:r>
        <w:t>二、設計與施工規範</w:t>
      </w:r>
    </w:p>
    <w:p>
      <w:r>
        <w:t>結構設計依建築技術規則建築構造編與建築物耐震設計規範及解說辦理。</w:t>
      </w:r>
    </w:p>
    <w:p>
      <w:r>
        <w:t>混凝土施工依混凝土結構施工規範辦理，並符合公共工程施工綱要規範第03050章之要求。</w:t>
      </w:r>
    </w:p>
    <w:p>
      <w:r>
        <w:t>水土保持相關工項依水土保持技術規範辦理。</w:t>
      </w:r>
    </w:p>
    <w:p>
      <w:pPr>
        <w:pStyle w:val="Heading1"/>
      </w:pPr>
      <w:r>
        <w:t>三、材料檢驗標準</w:t>
      </w:r>
    </w:p>
    <w:p>
      <w:r>
        <w:t>預拌混凝土應符合 CNS 3090 之規定，抗壓強度試驗依 ASTM C39 辦理。</w:t>
      </w:r>
    </w:p>
    <w:p>
      <w:r>
        <w:t>鋼筋材質應符合 CNS 560 規定，粒料應符合 CNS 1240 規定。</w:t>
      </w:r>
    </w:p>
    <w:p>
      <w:r>
        <w:t>水泥材料應符合 CNS 61 之規定。</w:t>
      </w:r>
    </w:p>
    <w:p>
      <w:pPr>
        <w:pStyle w:val="Heading1"/>
      </w:pPr>
      <w:r>
        <w:t>四、品質管理系統</w:t>
      </w:r>
    </w:p>
    <w:p>
      <w:r>
        <w:t>承包商應建立符合 ISO 9001 之品質管理系統，並依 ISO 45001 建立職業安全衛生管理系統。</w:t>
      </w:r>
    </w:p>
    <w:p>
      <w:r>
        <w:t>環境管理依 ISO 14001 辦理，環境影響評估依環境影響評估法規定辦理。</w:t>
      </w:r>
    </w:p>
    <w:p>
      <w:pPr>
        <w:pStyle w:val="Heading1"/>
      </w:pPr>
      <w:r>
        <w:t>五、檢驗項目對照表</w:t>
      </w:r>
    </w:p>
    <w:tbl>
      <w:tblPr>
        <w:tblStyle w:val="TableGrid"/>
        <w:tblW w:type="auto" w:w="0"/>
        <w:tblLook w:firstColumn="1" w:firstRow="1" w:lastColumn="0" w:lastRow="0" w:noHBand="0" w:noVBand="1" w:val="04A0"/>
      </w:tblPr>
      <w:tblGrid>
        <w:gridCol w:w="2880"/>
        <w:gridCol w:w="2880"/>
        <w:gridCol w:w="2880"/>
      </w:tblGrid>
      <w:tr>
        <w:tc>
          <w:tcPr>
            <w:tcW w:type="dxa" w:w="2880"/>
          </w:tcPr>
          <w:p>
            <w:r>
              <w:t>項次</w:t>
            </w:r>
          </w:p>
        </w:tc>
        <w:tc>
          <w:tcPr>
            <w:tcW w:type="dxa" w:w="2880"/>
          </w:tcPr>
          <w:p>
            <w:r>
              <w:t>檢驗項目</w:t>
            </w:r>
          </w:p>
        </w:tc>
        <w:tc>
          <w:tcPr>
            <w:tcW w:type="dxa" w:w="2880"/>
          </w:tcPr>
          <w:p>
            <w:r>
              <w:t>依據規範</w:t>
            </w:r>
          </w:p>
        </w:tc>
      </w:tr>
      <w:tr>
        <w:tc>
          <w:tcPr>
            <w:tcW w:type="dxa" w:w="2880"/>
          </w:tcPr>
          <w:p>
            <w:r>
              <w:t>1</w:t>
            </w:r>
          </w:p>
        </w:tc>
        <w:tc>
          <w:tcPr>
            <w:tcW w:type="dxa" w:w="2880"/>
          </w:tcPr>
          <w:p>
            <w:r>
              <w:t>混凝土抗壓強度</w:t>
            </w:r>
          </w:p>
        </w:tc>
        <w:tc>
          <w:tcPr>
            <w:tcW w:type="dxa" w:w="2880"/>
          </w:tcPr>
          <w:p>
            <w:r>
              <w:t>CNS 3090、ASTM C39</w:t>
            </w:r>
          </w:p>
        </w:tc>
      </w:tr>
      <w:tr>
        <w:tc>
          <w:tcPr>
            <w:tcW w:type="dxa" w:w="2880"/>
          </w:tcPr>
          <w:p>
            <w:r>
              <w:t>2</w:t>
            </w:r>
          </w:p>
        </w:tc>
        <w:tc>
          <w:tcPr>
            <w:tcW w:type="dxa" w:w="2880"/>
          </w:tcPr>
          <w:p>
            <w:r>
              <w:t>鋼筋拉伸試驗</w:t>
            </w:r>
          </w:p>
        </w:tc>
        <w:tc>
          <w:tcPr>
            <w:tcW w:type="dxa" w:w="2880"/>
          </w:tcPr>
          <w:p>
            <w:r>
              <w:t>CNS 560</w:t>
            </w:r>
          </w:p>
        </w:tc>
      </w:tr>
      <w:tr>
        <w:tc>
          <w:tcPr>
            <w:tcW w:type="dxa" w:w="2880"/>
          </w:tcPr>
          <w:p>
            <w:r>
              <w:t>3</w:t>
            </w:r>
          </w:p>
        </w:tc>
        <w:tc>
          <w:tcPr>
            <w:tcW w:type="dxa" w:w="2880"/>
          </w:tcPr>
          <w:p>
            <w:r>
              <w:t>施工安全查核</w:t>
            </w:r>
          </w:p>
        </w:tc>
        <w:tc>
          <w:tcPr>
            <w:tcW w:type="dxa" w:w="2880"/>
          </w:tcPr>
          <w:p>
            <w:r>
              <w:t>營造安全衛生設施標準</w:t>
            </w:r>
          </w:p>
        </w:tc>
      </w:tr>
      <w:tr>
        <w:tc>
          <w:tcPr>
            <w:tcW w:type="dxa" w:w="2880"/>
          </w:tcPr>
          <w:p>
            <w:r>
              <w:t>4</w:t>
            </w:r>
          </w:p>
        </w:tc>
        <w:tc>
          <w:tcPr>
            <w:tcW w:type="dxa" w:w="2880"/>
          </w:tcPr>
          <w:p>
            <w:r>
              <w:t>採購作業查核</w:t>
            </w:r>
          </w:p>
        </w:tc>
        <w:tc>
          <w:tcPr>
            <w:tcW w:type="dxa" w:w="2880"/>
          </w:tcPr>
          <w:p>
            <w:r>
              <w:t>採購法</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