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Predicting 30-Day Hospital Readmission in Patients with Diabetes: A Patient-Level, Leakage-Aware Comparison of Machine-Learning Models</w:t>
      </w:r>
    </w:p>
    <w:p>
      <w:pPr>
        <w:spacing w:after="40"/>
        <w:jc w:val="center"/>
      </w:pPr>
      <w:r>
        <w:rPr>
          <w:rFonts w:ascii="Times New Roman" w:hAnsi="Times New Roman"/>
          <w:b w:val="0"/>
          <w:i w:val="0"/>
          <w:sz w:val="22"/>
        </w:rPr>
        <w:t>Siham Khaldoun, Kayla Arab, Magalie Achim, Larissa Chiu</w:t>
      </w:r>
    </w:p>
    <w:p>
      <w:pPr>
        <w:spacing w:after="280"/>
        <w:jc w:val="center"/>
      </w:pPr>
      <w:r>
        <w:rPr>
          <w:rFonts w:ascii="Times New Roman" w:hAnsi="Times New Roman"/>
          <w:b w:val="0"/>
          <w:i/>
          <w:sz w:val="20"/>
        </w:rPr>
        <w:t>Department of Surgery, McGill University — EXSU 500: Fundamentals of Artificial Intelligence in Medicine</w:t>
      </w:r>
    </w:p>
    <w:p>
      <w:pPr>
        <w:spacing w:after="280"/>
      </w:pPr>
      <w:r>
        <w:rPr>
          <w:rFonts w:ascii="Times New Roman" w:hAnsi="Times New Roman"/>
          <w:b/>
          <w:i/>
          <w:sz w:val="20"/>
        </w:rPr>
        <w:t>Abstract—</w:t>
      </w:r>
      <w:r>
        <w:rPr>
          <w:rFonts w:ascii="Times New Roman" w:hAnsi="Times New Roman"/>
          <w:b w:val="0"/>
          <w:i w:val="0"/>
          <w:sz w:val="20"/>
        </w:rPr>
        <w:t>Hospital readmission within 30 days of discharge is a standard quality measure and a major cost, and patients with diabetes are at elevated risk [1], [2]. We predict 30-day readmission for diabetic inpatients from information available at discharge, using the public Diabetes 130-US Hospitals dataset (99,343 stays, 11.4% readmitted). We split by patient to prevent leakage, compare a baseline, logistic regression, gradient boosting (XGBoost, CatBoost), a multilayer perceptron, and a weighted ensemble, and report AUROC and AUPRC together with accuracy, sensitivity and specificity at a stated threshold. All models reach AUROC 0.66–0.68, consistent with published work on this dataset, and a standard clinical score (LACE) alone reaches only 0.58. We show that a previously reported 0.974 AUROC on this dataset arises from an evaluation-order leak (synthetic oversampling applied before cross-validation), not from model skill. We describe the plan to complete calibration, subgroup auditing and final reporting for the manuscript.</w:t>
      </w:r>
    </w:p>
    <w:p>
      <w:pPr>
        <w:sectPr>
          <w:pgSz w:w="12240" w:h="15840"/>
          <w:pgMar w:top="1080" w:right="1080" w:bottom="1080" w:left="1080" w:header="720" w:footer="720" w:gutter="0"/>
          <w:cols w:space="720"/>
          <w:docGrid w:linePitch="360"/>
        </w:sectPr>
      </w:pPr>
    </w:p>
    <w:p>
      <w:pPr>
        <w:spacing w:after="80" w:before="160"/>
      </w:pPr>
      <w:r>
        <w:rPr>
          <w:rFonts w:ascii="Times New Roman" w:hAnsi="Times New Roman"/>
          <w:b/>
          <w:i w:val="0"/>
          <w:sz w:val="22"/>
        </w:rPr>
        <w:t>I. Introduction and Clinical Significance</w:t>
      </w:r>
    </w:p>
    <w:p>
      <w:pPr>
        <w:spacing w:after="160"/>
      </w:pPr>
      <w:r>
        <w:rPr>
          <w:rFonts w:ascii="Times New Roman" w:hAnsi="Times New Roman"/>
          <w:b w:val="0"/>
          <w:i w:val="0"/>
          <w:sz w:val="20"/>
        </w:rPr>
        <w:t>Readmission within 30 days of discharge signals possible gaps in discharge planning, follow-up and medication management, and it is costly [1], [2]. In the United States it underlies a Medicare payment program, although the program's penalised conditions do not currently include diabetes itself [3]. Patients with diabetes are particularly vulnerable: reported readmission rates are substantially higher than for patients without diabetes, driven by comorbidity burden, prior hospitalisations, and the complexity of transitions from inpatient to outpatient care [1], [2], [4]. A tool that ranks patients by readmission risk at discharge could help target scarce follow-up resources — but only if it is evaluated honestly. Our contribution is a careful comparison on a public dataset, with explicit attention to the evaluation pitfalls that most often invalidate medical machine-learning results.</w:t>
      </w:r>
    </w:p>
    <w:p>
      <w:pPr>
        <w:spacing w:after="160"/>
      </w:pPr>
      <w:r>
        <w:rPr>
          <w:rFonts w:ascii="Times New Roman" w:hAnsi="Times New Roman"/>
          <w:b/>
          <w:i w:val="0"/>
          <w:sz w:val="20"/>
        </w:rPr>
        <w:t xml:space="preserve">Task. </w:t>
      </w:r>
      <w:r>
        <w:rPr>
          <w:rFonts w:ascii="Times New Roman" w:hAnsi="Times New Roman"/>
          <w:b w:val="0"/>
          <w:i w:val="0"/>
          <w:sz w:val="20"/>
        </w:rPr>
        <w:t>Binary classification: will a diabetic inpatient be readmitted within 30 days of discharge (1) or not (0), using only information known at the time of discharge. The 30-day window is the standard quality measure and the one used by the dataset's source study [5].</w:t>
      </w:r>
    </w:p>
    <w:p>
      <w:pPr>
        <w:spacing w:after="80" w:before="160"/>
      </w:pPr>
      <w:r>
        <w:rPr>
          <w:rFonts w:ascii="Times New Roman" w:hAnsi="Times New Roman"/>
          <w:b/>
          <w:i w:val="0"/>
          <w:sz w:val="22"/>
        </w:rPr>
        <w:t>II. Related Work</w:t>
      </w:r>
    </w:p>
    <w:p>
      <w:pPr>
        <w:spacing w:after="160"/>
      </w:pPr>
      <w:r>
        <w:rPr>
          <w:rFonts w:ascii="Times New Roman" w:hAnsi="Times New Roman"/>
          <w:b w:val="0"/>
          <w:i w:val="0"/>
          <w:sz w:val="20"/>
        </w:rPr>
        <w:t>On this dataset, credible studies converge on modest discrimination. The source study used one encounter per patient and found readmission associated with HbA1c measurement and care changes [5]. A 2025 comparison of logistic regression, random forest, XGBoost and a neural network reported AUROC 0.64, 0.63, 0.67 and 0.58 respectively [6]; a 2026 stacking ensemble with nested cross-validation and calibration reported 0.66–0.69 [7]; a benchmark of eight classifiers with SMOTE applied to training data only reported a best ROC-AUC of 0.61 [8]. An independent 2026 audit on the same cohort found gradient boosting at 0.669 and argued the ceiling is set by the recorded variables, not the learner [9]. In other cohorts, diabetes-specific models reach 0.64–0.68 [10], and deep sequence models reach 0.79 when millions of encounters with longitudinal laboratory data are available [11].</w:t>
      </w:r>
    </w:p>
    <w:p>
      <w:pPr>
        <w:spacing w:after="160"/>
      </w:pPr>
      <w:r>
        <w:rPr>
          <w:rFonts w:ascii="Times New Roman" w:hAnsi="Times New Roman"/>
          <w:b w:val="0"/>
          <w:i w:val="0"/>
          <w:sz w:val="20"/>
        </w:rPr>
        <w:t>The LACE index (length of stay, acuity, comorbidity, emergency visits) and the HOSPITAL score are widely validated clinical tools, with AUROC of 0.73 and 0.69 respectively in one comparison of 291,886 encounters [13]; machine-learning models can improve on them [12]. We therefore include LACE as a clinical benchmark.</w:t>
      </w:r>
    </w:p>
    <w:p>
      <w:pPr>
        <w:spacing w:after="160"/>
      </w:pPr>
      <w:r>
        <w:rPr>
          <w:rFonts w:ascii="Times New Roman" w:hAnsi="Times New Roman"/>
          <w:b w:val="0"/>
          <w:i w:val="0"/>
          <w:sz w:val="20"/>
        </w:rPr>
        <w:t>One preprint reports 0.974 AUROC and 95.2% accuracy on this dataset [14]. Its pre-processing keeps one encounter per patient, so repeated-patient leakage does not explain it; instead it applies SMOTE to a 1:1 ratio before six-fold cross-validation without confirming oversampling was confined to training folds. We reproduce this: when SMOTE is applied before splitting, a standard gradient-boosting model reaches 0.96 AUROC when scored including synthetic rows, but only 0.64 on real held-out patients — and even leakage-free SMOTE underperforms simple class weighting (0.61 vs. 0.65 AUROC, with near-zero sensitivity). This is a cautionary, quantified example of the pitfall our evaluation protocol is designed to avoid.</w:t>
      </w:r>
    </w:p>
    <w:p>
      <w:pPr>
        <w:spacing w:after="160"/>
      </w:pPr>
      <w:r>
        <w:rPr>
          <w:rFonts w:ascii="Times New Roman" w:hAnsi="Times New Roman"/>
          <w:b w:val="0"/>
          <w:i w:val="0"/>
          <w:sz w:val="20"/>
        </w:rPr>
        <w:t>Readmission models can also perform differently across groups: evaluations of LACE, HOSPITAL and CMS measures across over ten million discharges show that fairness metrics can reveal disparities in false-negative and false-positive rates but cannot by themselves explain their causes [16], and multistage bias audits show a fairness-calibration-discrimination trade-off rather than a uniform improvement [17]. We therefore include a subgroup audit by sex and age.</w:t>
      </w:r>
    </w:p>
    <w:p>
      <w:pPr>
        <w:spacing w:after="160"/>
      </w:pPr>
      <w:r>
        <w:rPr>
          <w:rFonts w:ascii="Times New Roman" w:hAnsi="Times New Roman"/>
          <w:b w:val="0"/>
          <w:i w:val="0"/>
          <w:sz w:val="20"/>
        </w:rPr>
        <w:t>Few studies on this dataset combine a patient-level split, calibration, uncertainty quantification, subgroup performance, and a clinical benchmark in one evaluation. This project does.</w:t>
      </w:r>
    </w:p>
    <w:p>
      <w:pPr>
        <w:spacing w:after="80" w:before="160"/>
      </w:pPr>
      <w:r>
        <w:rPr>
          <w:rFonts w:ascii="Times New Roman" w:hAnsi="Times New Roman"/>
          <w:b/>
          <w:i w:val="0"/>
          <w:sz w:val="22"/>
        </w:rPr>
        <w:t>III. Data and Feasibility</w:t>
      </w:r>
    </w:p>
    <w:p>
      <w:pPr>
        <w:spacing w:after="160"/>
      </w:pPr>
      <w:r>
        <w:rPr>
          <w:rFonts w:ascii="Times New Roman" w:hAnsi="Times New Roman"/>
          <w:b/>
          <w:i w:val="0"/>
          <w:sz w:val="20"/>
        </w:rPr>
        <w:t xml:space="preserve">Dataset. </w:t>
      </w:r>
      <w:r>
        <w:rPr>
          <w:rFonts w:ascii="Times New Roman" w:hAnsi="Times New Roman"/>
          <w:b w:val="0"/>
          <w:i w:val="0"/>
          <w:sz w:val="20"/>
        </w:rPr>
        <w:t xml:space="preserve">UCI Diabetes 130-US Hospitals for Years 1999–2008 [5]: 101,766 inpatient encounters, 50 columns, 71,518 patients, 130 hospitals, CC BY 4.0 licence, freely downloadable with no registration. Patients who died or were discharged to hospice (2,423 stays, 2.4%) cannot be readmitted and were excluded, leaving </w:t>
      </w:r>
      <w:r>
        <w:rPr>
          <w:rFonts w:ascii="Times New Roman" w:hAnsi="Times New Roman"/>
          <w:b w:val="0"/>
          <w:i w:val="0"/>
          <w:sz w:val="20"/>
          <w:highlight w:val="yellow"/>
        </w:rPr>
        <w:t>99,343 stays from 69,990 patients, of which 11.4% were readmitted within 30 days</w:t>
      </w:r>
      <w:r>
        <w:rPr>
          <w:rFonts w:ascii="Times New Roman" w:hAnsi="Times New Roman"/>
          <w:b w:val="0"/>
          <w:i w:val="0"/>
          <w:sz w:val="20"/>
        </w:rPr>
        <w:t xml:space="preserve"> (so a model that always predicts “not readmitted” would score 88.9% accuracy with 0% sensitivity — accuracy alone is misleading here).</w:t>
      </w:r>
    </w:p>
    <w:p>
      <w:pPr>
        <w:spacing w:after="160"/>
      </w:pPr>
      <w:r>
        <w:rPr>
          <w:rFonts w:ascii="Times New Roman" w:hAnsi="Times New Roman"/>
          <w:b/>
          <w:i w:val="0"/>
          <w:sz w:val="20"/>
        </w:rPr>
        <w:t xml:space="preserve">Quality and limits. </w:t>
      </w:r>
      <w:r>
        <w:rPr>
          <w:rFonts w:ascii="Times New Roman" w:hAnsi="Times New Roman"/>
          <w:b w:val="0"/>
          <w:i w:val="0"/>
          <w:sz w:val="20"/>
        </w:rPr>
        <w:t>Almost all core fields are complete. Mostly-missing columns: weight (96.9%), glucose-test result (94.8%) and HbA1c (83.3%, mostly “not measured”), medical specialty (49.1%), payer code (39.6%), race (2.2%). 23.5% of patients have more than one stay and account for 46% of rows (up to 40 stays per patient), so rows are not independent — this motivates our patient-level split (Sec. IV). The population is 76.5% White, 19.3% Black, 2.0% Hispanic, 1.5% other, 0.6% Asian; 45% are aged 70 or over. Data are from 1999–2008 and ICD-9 coded, and contain no dates, hospital identifiers, vital signs, laboratory values, social factors, or clinical notes. The positive rate differs little by sex or race (9.6–11.3%).</w:t>
      </w:r>
    </w:p>
    <w:p>
      <w:pPr>
        <w:spacing w:after="160"/>
      </w:pPr>
      <w:r>
        <w:rPr>
          <w:rFonts w:ascii="Times New Roman" w:hAnsi="Times New Roman"/>
          <w:b/>
          <w:i w:val="0"/>
          <w:sz w:val="20"/>
        </w:rPr>
        <w:t xml:space="preserve">Features. </w:t>
      </w:r>
      <w:r>
        <w:rPr>
          <w:rFonts w:ascii="Times New Roman" w:hAnsi="Times New Roman"/>
          <w:b w:val="0"/>
          <w:i w:val="0"/>
          <w:sz w:val="20"/>
        </w:rPr>
        <w:t>Demographics; admission and discharge details; length of stay; counts of laboratory tests, procedures, medications and diagnoses; prior-year outpatient/emergency/inpatient visit counts; HbA1c and glucose-test results; 23 drug fields; three ICD-9 diagnosis fields grouped into nine clinical categories; and three derived features (total prior-year visits, number of medication changes, and an HbA1c-measured-and-treatment-changed interaction flag).</w:t>
      </w:r>
    </w:p>
    <w:p>
      <w:pPr>
        <w:spacing w:after="160"/>
      </w:pPr>
      <w:r>
        <w:rPr>
          <w:rFonts w:ascii="Times New Roman" w:hAnsi="Times New Roman"/>
          <w:b/>
          <w:i w:val="0"/>
          <w:sz w:val="20"/>
        </w:rPr>
        <w:t xml:space="preserve">Compute. </w:t>
      </w:r>
      <w:r>
        <w:rPr>
          <w:rFonts w:ascii="Times New Roman" w:hAnsi="Times New Roman"/>
          <w:b w:val="0"/>
          <w:i w:val="0"/>
          <w:sz w:val="20"/>
        </w:rPr>
        <w:t>Every experiment runs on CPU in minutes to under an hour; no specialised hardware is required, consistent with the course's compute guidance.</w:t>
      </w:r>
    </w:p>
    <w:p>
      <w:pPr>
        <w:spacing w:after="80" w:before="160"/>
      </w:pPr>
      <w:r>
        <w:rPr>
          <w:rFonts w:ascii="Times New Roman" w:hAnsi="Times New Roman"/>
          <w:b/>
          <w:i w:val="0"/>
          <w:sz w:val="22"/>
        </w:rPr>
        <w:t>IV. Evaluation Protocol</w:t>
      </w:r>
    </w:p>
    <w:p>
      <w:pPr>
        <w:spacing w:after="120"/>
      </w:pPr>
      <w:r>
        <w:rPr>
          <w:rFonts w:ascii="Times New Roman" w:hAnsi="Times New Roman"/>
          <w:b/>
          <w:i w:val="0"/>
          <w:sz w:val="20"/>
        </w:rPr>
        <w:t xml:space="preserve">• Splits: </w:t>
      </w:r>
      <w:r>
        <w:rPr>
          <w:rFonts w:ascii="Times New Roman" w:hAnsi="Times New Roman"/>
          <w:b w:val="0"/>
          <w:i w:val="0"/>
          <w:sz w:val="20"/>
        </w:rPr>
        <w:t>Fixed before modelling and made at the patient level: train 70% (69,519 stays, 48,993 patients), validation 15% (14,911; 10,498), test 15% (14,913; 10,499). No patient appears in more than one split (verified programmatically).</w:t>
      </w:r>
    </w:p>
    <w:p>
      <w:pPr>
        <w:spacing w:after="120"/>
      </w:pPr>
      <w:r>
        <w:rPr>
          <w:rFonts w:ascii="Times New Roman" w:hAnsi="Times New Roman"/>
          <w:b/>
          <w:i w:val="0"/>
          <w:sz w:val="20"/>
        </w:rPr>
        <w:t xml:space="preserve">• Tuning discipline: </w:t>
      </w:r>
      <w:r>
        <w:rPr>
          <w:rFonts w:ascii="Times New Roman" w:hAnsi="Times New Roman"/>
          <w:b w:val="0"/>
          <w:i w:val="0"/>
          <w:sz w:val="20"/>
        </w:rPr>
        <w:t>Hyperparameters, thresholds and calibration are chosen on the validation set only; the test set is scored exactly once.</w:t>
      </w:r>
    </w:p>
    <w:p>
      <w:pPr>
        <w:spacing w:after="120"/>
      </w:pPr>
      <w:r>
        <w:rPr>
          <w:rFonts w:ascii="Times New Roman" w:hAnsi="Times New Roman"/>
          <w:b/>
          <w:i w:val="0"/>
          <w:sz w:val="20"/>
        </w:rPr>
        <w:t xml:space="preserve">• Metrics: </w:t>
      </w:r>
      <w:r>
        <w:rPr>
          <w:rFonts w:ascii="Times New Roman" w:hAnsi="Times New Roman"/>
          <w:b w:val="0"/>
          <w:i w:val="0"/>
          <w:sz w:val="20"/>
        </w:rPr>
        <w:t>Primary: AUROC and AUPRC (baseline AUPRC = 0.111, the positive rate). At a stated threshold: accuracy, sensitivity and specificity, always reported together, since the always-“not readmitted” baseline scores 88.9% accuracy at 0% sensitivity.</w:t>
      </w:r>
    </w:p>
    <w:p>
      <w:pPr>
        <w:spacing w:after="120"/>
      </w:pPr>
      <w:r>
        <w:rPr>
          <w:rFonts w:ascii="Times New Roman" w:hAnsi="Times New Roman"/>
          <w:b/>
          <w:i w:val="0"/>
          <w:sz w:val="20"/>
        </w:rPr>
        <w:t xml:space="preserve">• Uncertainty: </w:t>
      </w:r>
      <w:r>
        <w:rPr>
          <w:rFonts w:ascii="Times New Roman" w:hAnsi="Times New Roman"/>
          <w:b w:val="0"/>
          <w:i w:val="0"/>
          <w:sz w:val="20"/>
        </w:rPr>
        <w:t>95% bootstrap confidence intervals computed by resampling patients, and paired intervals for model-to-model differences.</w:t>
      </w:r>
    </w:p>
    <w:p>
      <w:pPr>
        <w:spacing w:after="120"/>
      </w:pPr>
      <w:r>
        <w:rPr>
          <w:rFonts w:ascii="Times New Roman" w:hAnsi="Times New Roman"/>
          <w:b/>
          <w:i w:val="0"/>
          <w:sz w:val="20"/>
        </w:rPr>
        <w:t xml:space="preserve">• Calibration / interpretability: </w:t>
      </w:r>
      <w:r>
        <w:rPr>
          <w:rFonts w:ascii="Times New Roman" w:hAnsi="Times New Roman"/>
          <w:b w:val="0"/>
          <w:i w:val="0"/>
          <w:sz w:val="20"/>
        </w:rPr>
        <w:t>Reliability curve and Brier score; SHAP feature attributions; decision-curve analysis.</w:t>
      </w:r>
    </w:p>
    <w:p>
      <w:pPr>
        <w:spacing w:after="120"/>
      </w:pPr>
      <w:r>
        <w:rPr>
          <w:rFonts w:ascii="Times New Roman" w:hAnsi="Times New Roman"/>
          <w:b/>
          <w:i w:val="0"/>
          <w:sz w:val="20"/>
        </w:rPr>
        <w:t xml:space="preserve">• Class imbalance: </w:t>
      </w:r>
      <w:r>
        <w:rPr>
          <w:rFonts w:ascii="Times New Roman" w:hAnsi="Times New Roman"/>
          <w:b w:val="0"/>
          <w:i w:val="0"/>
          <w:sz w:val="20"/>
        </w:rPr>
        <w:t>Class weighting. Synthetic oversampling (SMOTE-NC) was tested and performed clearly worse on real held-out patients (Sec. II).</w:t>
      </w:r>
    </w:p>
    <w:p>
      <w:pPr>
        <w:spacing w:after="120"/>
      </w:pPr>
      <w:r>
        <w:rPr>
          <w:rFonts w:ascii="Times New Roman" w:hAnsi="Times New Roman"/>
          <w:b/>
          <w:i w:val="0"/>
          <w:sz w:val="20"/>
        </w:rPr>
        <w:t xml:space="preserve">• Subgroups: </w:t>
      </w:r>
      <w:r>
        <w:rPr>
          <w:rFonts w:ascii="Times New Roman" w:hAnsi="Times New Roman"/>
          <w:b w:val="0"/>
          <w:i w:val="0"/>
          <w:sz w:val="20"/>
        </w:rPr>
        <w:t>Performance stratified by sex and age, with confidence intervals.</w:t>
      </w:r>
    </w:p>
    <w:p>
      <w:pPr>
        <w:spacing w:after="80" w:before="160"/>
      </w:pPr>
      <w:r>
        <w:rPr>
          <w:rFonts w:ascii="Times New Roman" w:hAnsi="Times New Roman"/>
          <w:b/>
          <w:i w:val="0"/>
          <w:sz w:val="22"/>
        </w:rPr>
        <w:t>V. Candidate Models</w:t>
      </w:r>
    </w:p>
    <w:p>
      <w:pPr>
        <w:spacing w:after="160"/>
      </w:pPr>
      <w:r>
        <w:rPr>
          <w:rFonts w:ascii="Times New Roman" w:hAnsi="Times New Roman"/>
          <w:b w:val="0"/>
          <w:i w:val="0"/>
          <w:sz w:val="20"/>
        </w:rPr>
        <w:t>Candidates: a trivial baseline (majority class); regularised logistic regression; two gradient-boosting implementations (XGBoost, CatBoost — CatBoost handles our categorical features natively rather than via one-hot encoding); a multilayer perceptron; a validation-weighted ensemble of the above; and the LACE score as a clinical benchmark. The choice of families follows evidence that boosted trees remain strong on medium-sized tabular data, with a deep model included to test that claim directly on our data [18]. Training, evaluation, calibration and subgroup-fairness code for all candidates is implemented and runs end-to-end on the patient-level splits described in Sec. IV; full results will be reported in the final manuscript once the evaluation protocol is finalised.</w:t>
      </w:r>
    </w:p>
    <w:p>
      <w:pPr>
        <w:spacing w:after="80" w:before="160"/>
      </w:pPr>
      <w:r>
        <w:rPr>
          <w:rFonts w:ascii="Times New Roman" w:hAnsi="Times New Roman"/>
          <w:b/>
          <w:i w:val="0"/>
          <w:sz w:val="22"/>
        </w:rPr>
        <w:t>VI. Work Plan, Roles, and Risks</w:t>
      </w:r>
    </w:p>
    <w:tbl>
      <w:tblPr>
        <w:tblStyle w:val="LightGrid-Accent1"/>
        <w:tblW w:type="auto" w:w="0"/>
        <w:tblLook w:firstColumn="1" w:firstRow="1" w:lastColumn="0" w:lastRow="0" w:noHBand="0" w:noVBand="1" w:val="04A0"/>
      </w:tblPr>
      <w:tblGrid>
        <w:gridCol w:w="3360"/>
        <w:gridCol w:w="3360"/>
        <w:gridCol w:w="3360"/>
      </w:tblGrid>
      <w:tr>
        <w:tc>
          <w:tcPr>
            <w:tcW w:type="dxa" w:w="3360"/>
          </w:tcPr>
          <w:p>
            <w:pPr>
              <w:jc w:val="center"/>
            </w:pPr>
            <w:r>
              <w:rPr>
                <w:rFonts w:ascii="Times New Roman" w:hAnsi="Times New Roman"/>
                <w:b/>
                <w:sz w:val="16"/>
              </w:rPr>
              <w:t>Period</w:t>
            </w:r>
          </w:p>
        </w:tc>
        <w:tc>
          <w:tcPr>
            <w:tcW w:type="dxa" w:w="3360"/>
          </w:tcPr>
          <w:p>
            <w:pPr>
              <w:jc w:val="center"/>
            </w:pPr>
            <w:r>
              <w:rPr>
                <w:rFonts w:ascii="Times New Roman" w:hAnsi="Times New Roman"/>
                <w:b/>
                <w:sz w:val="16"/>
              </w:rPr>
              <w:t>Work</w:t>
            </w:r>
          </w:p>
        </w:tc>
        <w:tc>
          <w:tcPr>
            <w:tcW w:type="dxa" w:w="3360"/>
          </w:tcPr>
          <w:p>
            <w:pPr>
              <w:jc w:val="center"/>
            </w:pPr>
            <w:r>
              <w:rPr>
                <w:rFonts w:ascii="Times New Roman" w:hAnsi="Times New Roman"/>
                <w:b/>
                <w:sz w:val="16"/>
              </w:rPr>
              <w:t>Lead</w:t>
            </w:r>
          </w:p>
        </w:tc>
      </w:tr>
      <w:tr>
        <w:tc>
          <w:tcPr>
            <w:tcW w:type="dxa" w:w="3360"/>
          </w:tcPr>
          <w:p>
            <w:r>
              <w:rPr>
                <w:rFonts w:ascii="Times New Roman" w:hAnsi="Times New Roman"/>
                <w:sz w:val="16"/>
              </w:rPr>
              <w:t>to 9 Nov</w:t>
            </w:r>
          </w:p>
        </w:tc>
        <w:tc>
          <w:tcPr>
            <w:tcW w:type="dxa" w:w="3360"/>
          </w:tcPr>
          <w:p>
            <w:r>
              <w:rPr>
                <w:rFonts w:ascii="Times New Roman" w:hAnsi="Times New Roman"/>
                <w:sz w:val="16"/>
              </w:rPr>
              <w:t>Midterm report; 15+ references read by a team member</w:t>
            </w:r>
          </w:p>
        </w:tc>
        <w:tc>
          <w:tcPr>
            <w:tcW w:type="dxa" w:w="3360"/>
          </w:tcPr>
          <w:p>
            <w:r>
              <w:rPr>
                <w:rFonts w:ascii="Times New Roman" w:hAnsi="Times New Roman"/>
                <w:sz w:val="16"/>
              </w:rPr>
              <w:t>Writing lead; all</w:t>
            </w:r>
          </w:p>
        </w:tc>
      </w:tr>
      <w:tr>
        <w:tc>
          <w:tcPr>
            <w:tcW w:type="dxa" w:w="3360"/>
          </w:tcPr>
          <w:p>
            <w:r>
              <w:rPr>
                <w:rFonts w:ascii="Times New Roman" w:hAnsi="Times New Roman"/>
                <w:sz w:val="16"/>
              </w:rPr>
              <w:t>10–24 Nov</w:t>
            </w:r>
          </w:p>
        </w:tc>
        <w:tc>
          <w:tcPr>
            <w:tcW w:type="dxa" w:w="3360"/>
          </w:tcPr>
          <w:p>
            <w:r>
              <w:rPr>
                <w:rFonts w:ascii="Times New Roman" w:hAnsi="Times New Roman"/>
                <w:sz w:val="16"/>
              </w:rPr>
              <w:t>Finish model comparison; sex-gap investigation; learning curve</w:t>
            </w:r>
          </w:p>
        </w:tc>
        <w:tc>
          <w:tcPr>
            <w:tcW w:type="dxa" w:w="3360"/>
          </w:tcPr>
          <w:p>
            <w:r>
              <w:rPr>
                <w:rFonts w:ascii="Times New Roman" w:hAnsi="Times New Roman"/>
                <w:sz w:val="16"/>
              </w:rPr>
              <w:t>Modelling lead</w:t>
            </w:r>
          </w:p>
        </w:tc>
      </w:tr>
      <w:tr>
        <w:tc>
          <w:tcPr>
            <w:tcW w:type="dxa" w:w="3360"/>
          </w:tcPr>
          <w:p>
            <w:r>
              <w:rPr>
                <w:rFonts w:ascii="Times New Roman" w:hAnsi="Times New Roman"/>
                <w:sz w:val="16"/>
              </w:rPr>
              <w:t>25 Nov–3 Dec</w:t>
            </w:r>
          </w:p>
        </w:tc>
        <w:tc>
          <w:tcPr>
            <w:tcW w:type="dxa" w:w="3360"/>
          </w:tcPr>
          <w:p>
            <w:r>
              <w:rPr>
                <w:rFonts w:ascii="Times New Roman" w:hAnsi="Times New Roman"/>
                <w:sz w:val="16"/>
              </w:rPr>
              <w:t>External-style checks, interface polish, model card, statements</w:t>
            </w:r>
          </w:p>
        </w:tc>
        <w:tc>
          <w:tcPr>
            <w:tcW w:type="dxa" w:w="3360"/>
          </w:tcPr>
          <w:p>
            <w:r>
              <w:rPr>
                <w:rFonts w:ascii="Times New Roman" w:hAnsi="Times New Roman"/>
                <w:sz w:val="16"/>
              </w:rPr>
              <w:t>Interface / data lead</w:t>
            </w:r>
          </w:p>
        </w:tc>
      </w:tr>
      <w:tr>
        <w:tc>
          <w:tcPr>
            <w:tcW w:type="dxa" w:w="3360"/>
          </w:tcPr>
          <w:p>
            <w:r>
              <w:rPr>
                <w:rFonts w:ascii="Times New Roman" w:hAnsi="Times New Roman"/>
                <w:sz w:val="16"/>
              </w:rPr>
              <w:t>4–10 Dec</w:t>
            </w:r>
          </w:p>
        </w:tc>
        <w:tc>
          <w:tcPr>
            <w:tcW w:type="dxa" w:w="3360"/>
          </w:tcPr>
          <w:p>
            <w:r>
              <w:rPr>
                <w:rFonts w:ascii="Times New Roman" w:hAnsi="Times New Roman"/>
                <w:sz w:val="16"/>
              </w:rPr>
              <w:t>Manuscript (6–8 pages), 7-min video, peer evaluation</w:t>
            </w:r>
          </w:p>
        </w:tc>
        <w:tc>
          <w:tcPr>
            <w:tcW w:type="dxa" w:w="3360"/>
          </w:tcPr>
          <w:p>
            <w:r>
              <w:rPr>
                <w:rFonts w:ascii="Times New Roman" w:hAnsi="Times New Roman"/>
                <w:sz w:val="16"/>
              </w:rPr>
              <w:t>All</w:t>
            </w:r>
          </w:p>
        </w:tc>
      </w:tr>
      <w:tr>
        <w:tc>
          <w:tcPr>
            <w:tcW w:type="dxa" w:w="3360"/>
          </w:tcPr>
          <w:p>
            <w:r>
              <w:rPr>
                <w:rFonts w:ascii="Times New Roman" w:hAnsi="Times New Roman"/>
                <w:sz w:val="16"/>
              </w:rPr>
              <w:t>11 Dec</w:t>
            </w:r>
          </w:p>
        </w:tc>
        <w:tc>
          <w:tcPr>
            <w:tcW w:type="dxa" w:w="3360"/>
          </w:tcPr>
          <w:p>
            <w:r>
              <w:rPr>
                <w:rFonts w:ascii="Times New Roman" w:hAnsi="Times New Roman"/>
                <w:sz w:val="16"/>
              </w:rPr>
              <w:t>Submit; repository tidy</w:t>
            </w:r>
          </w:p>
        </w:tc>
        <w:tc>
          <w:tcPr>
            <w:tcW w:type="dxa" w:w="3360"/>
          </w:tcPr>
          <w:p>
            <w:r>
              <w:rPr>
                <w:rFonts w:ascii="Times New Roman" w:hAnsi="Times New Roman"/>
                <w:sz w:val="16"/>
              </w:rPr>
              <w:t>All</w:t>
            </w:r>
          </w:p>
        </w:tc>
      </w:tr>
    </w:tbl>
    <w:p>
      <w:pPr>
        <w:spacing w:after="120"/>
      </w:pPr>
    </w:p>
    <w:p>
      <w:pPr>
        <w:spacing w:after="160"/>
      </w:pPr>
      <w:r>
        <w:rPr>
          <w:rFonts w:ascii="Times New Roman" w:hAnsi="Times New Roman"/>
          <w:b w:val="0"/>
          <w:i w:val="0"/>
          <w:sz w:val="20"/>
          <w:highlight w:val="yellow"/>
        </w:rPr>
        <w:t>Roles required by the specification (data lead, modelling lead, interface lead, writing lead) are not yet assigned by the team — this must be decided and recorded before submission.</w:t>
      </w:r>
    </w:p>
    <w:p>
      <w:pPr>
        <w:spacing w:after="160"/>
      </w:pPr>
      <w:r>
        <w:rPr>
          <w:rFonts w:ascii="Times New Roman" w:hAnsi="Times New Roman"/>
          <w:b/>
          <w:i w:val="0"/>
          <w:sz w:val="20"/>
        </w:rPr>
        <w:t xml:space="preserve">Risks. </w:t>
      </w:r>
      <w:r>
        <w:rPr>
          <w:rFonts w:ascii="Times New Roman" w:hAnsi="Times New Roman"/>
          <w:b w:val="0"/>
          <w:i w:val="0"/>
          <w:sz w:val="20"/>
        </w:rPr>
        <w:t>(a) Limited information: performance is expected to be bounded by the recorded variables, so the project's contribution is methodological rigour, not raw accuracy. (b) Data age and single-country origin limit generalisability; no external validation set is available. (c) Time: verified contributions and read references from every member are needed before the deadlines. (d) Metric misreading: mitigated by always reporting sensitivity and specificity alongside accuracy.</w:t>
      </w:r>
    </w:p>
    <w:p>
      <w:pPr>
        <w:spacing w:after="80" w:before="160"/>
      </w:pPr>
      <w:r>
        <w:rPr>
          <w:rFonts w:ascii="Times New Roman" w:hAnsi="Times New Roman"/>
          <w:b/>
          <w:i w:val="0"/>
          <w:sz w:val="22"/>
        </w:rPr>
        <w:t>References</w:t>
      </w:r>
    </w:p>
    <w:p>
      <w:pPr>
        <w:spacing w:after="80"/>
      </w:pPr>
      <w:r>
        <w:rPr>
          <w:rFonts w:ascii="Times New Roman" w:hAnsi="Times New Roman"/>
          <w:b w:val="0"/>
          <w:i w:val="0"/>
          <w:sz w:val="16"/>
        </w:rPr>
        <w:t xml:space="preserve">[1] </w:t>
      </w:r>
      <w:r>
        <w:rPr>
          <w:rFonts w:ascii="Times New Roman" w:hAnsi="Times New Roman"/>
          <w:b w:val="0"/>
          <w:i w:val="0"/>
          <w:sz w:val="16"/>
          <w:highlight w:val="yellow"/>
        </w:rPr>
        <w:t>American Diabetes Association, “16. Diabetes Care in the Hospital: Standards of Care in Diabetes–2026,” Diabetes Care, vol. 49, suppl. 1, pp. S339–S355,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[2] </w:t>
      </w:r>
      <w:r>
        <w:rPr>
          <w:rFonts w:ascii="Times New Roman" w:hAnsi="Times New Roman"/>
          <w:b w:val="0"/>
          <w:i w:val="0"/>
          <w:sz w:val="16"/>
          <w:highlight w:val="yellow"/>
        </w:rPr>
        <w:t>D. J. Rubin et al., “The DiaTOHC pilot study…,” J. Clin. Med., vol. 11, no. 6, 1471,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[3] </w:t>
      </w:r>
      <w:r>
        <w:rPr>
          <w:rFonts w:ascii="Times New Roman" w:hAnsi="Times New Roman"/>
          <w:b w:val="0"/>
          <w:i w:val="0"/>
          <w:sz w:val="16"/>
          <w:highlight w:val="yellow"/>
        </w:rPr>
        <w:t>Centers for Medicare &amp; Medicaid Services, “Hospital Readmissions Reduction Program.” [Online].</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[4] </w:t>
      </w:r>
      <w:r>
        <w:rPr>
          <w:rFonts w:ascii="Times New Roman" w:hAnsi="Times New Roman"/>
          <w:b w:val="0"/>
          <w:i w:val="0"/>
          <w:sz w:val="16"/>
          <w:highlight w:val="yellow"/>
        </w:rPr>
        <w:t>J. Tan et al., “Derivation and validation of prediction models for prolonged length of stay and 30-day readmission in elderly patients with type 2 diabetes,” J. Diabetes Res., 2025.</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[5] </w:t>
      </w:r>
      <w:r>
        <w:rPr>
          <w:rFonts w:ascii="Times New Roman" w:hAnsi="Times New Roman"/>
          <w:b w:val="0"/>
          <w:i w:val="0"/>
          <w:sz w:val="16"/>
          <w:highlight w:val="yellow"/>
        </w:rPr>
        <w:t>B. Strack et al., “Impact of HbA1c measurement on hospital readmission rates: analysis of 70,000 clinical database patient records,” BioMed Res. Int., 2014, doi:10.1155/2014/781670.</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[6] </w:t>
      </w:r>
      <w:r>
        <w:rPr>
          <w:rFonts w:ascii="Times New Roman" w:hAnsi="Times New Roman"/>
          <w:b w:val="0"/>
          <w:i w:val="0"/>
          <w:sz w:val="16"/>
          <w:highlight w:val="yellow"/>
        </w:rPr>
        <w:t>O. G. Emi-Johnson and K. J. Nkrumah, “Predicting 30-day hospital readmission in patients with diabetes using machine learning on EHR data,” Cureus, vol. 17, no. 4, e82437, 2025.</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[7] </w:t>
      </w:r>
      <w:r>
        <w:rPr>
          <w:rFonts w:ascii="Times New Roman" w:hAnsi="Times New Roman"/>
          <w:b w:val="0"/>
          <w:i w:val="0"/>
          <w:sz w:val="16"/>
          <w:highlight w:val="yellow"/>
        </w:rPr>
        <w:t>S. S. Salim et al., “A machine learning approach for predicting 30-day hospital readmission in patients with diabetes,” Healthcare,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[8] </w:t>
      </w:r>
      <w:r>
        <w:rPr>
          <w:rFonts w:ascii="Times New Roman" w:hAnsi="Times New Roman"/>
          <w:b w:val="0"/>
          <w:i w:val="0"/>
          <w:sz w:val="16"/>
          <w:highlight w:val="yellow"/>
        </w:rPr>
        <w:t>A. K. Gupta and A. Choudhary, “Benchmarking machine learning classifiers for hospital readmission prediction in diabetes care,” Genet. Mol. Res., vol. 25, no. 11s,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[9] </w:t>
      </w:r>
      <w:r>
        <w:rPr>
          <w:rFonts w:ascii="Times New Roman" w:hAnsi="Times New Roman"/>
          <w:b w:val="0"/>
          <w:i w:val="0"/>
          <w:sz w:val="16"/>
          <w:highlight w:val="yellow"/>
        </w:rPr>
        <w:t>S. S. Chowdhury et al., “The ceiling is in the channel: auditing learner gaps and measurement frontiers in clinical prediction,” arXiv:2609.01909,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[10] </w:t>
      </w:r>
      <w:r>
        <w:rPr>
          <w:rFonts w:ascii="Times New Roman" w:hAnsi="Times New Roman"/>
          <w:b w:val="0"/>
          <w:i w:val="0"/>
          <w:sz w:val="16"/>
          <w:highlight w:val="yellow"/>
        </w:rPr>
        <w:t>J. G. S. Soh et al., “Predicting and validating 30-day hospital readmission in adults with diabetes whose index admission is diabetes-related,” J. Clin. Endocrinol. Metab.,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[11] </w:t>
      </w:r>
      <w:r>
        <w:rPr>
          <w:rFonts w:ascii="Times New Roman" w:hAnsi="Times New Roman"/>
          <w:b w:val="0"/>
          <w:i w:val="0"/>
          <w:sz w:val="16"/>
          <w:highlight w:val="yellow"/>
        </w:rPr>
        <w:t>A. A. Hai et al., “Deep learning vs traditional models for predicting hospital readmission among patients with diabetes,” AMIA Annu. Symp. Proc.,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[12] </w:t>
      </w:r>
      <w:r>
        <w:rPr>
          <w:rFonts w:ascii="Times New Roman" w:hAnsi="Times New Roman"/>
          <w:b w:val="0"/>
          <w:i w:val="0"/>
          <w:sz w:val="16"/>
          <w:highlight w:val="yellow"/>
        </w:rPr>
        <w:t>S. Davis et al., “Effective hospital readmission prediction models using machine-learned features,” BMC Health Serv. Res.,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[13] </w:t>
      </w:r>
      <w:r>
        <w:rPr>
          <w:rFonts w:ascii="Times New Roman" w:hAnsi="Times New Roman"/>
          <w:b w:val="0"/>
          <w:i w:val="0"/>
          <w:sz w:val="16"/>
          <w:highlight w:val="yellow"/>
        </w:rPr>
        <w:t>S. L. Jones et al., “Comparison of LACE and HOSPITAL readmission risk scores for CMS target and nontarget conditions,” Am. J. Med. Qual., 2022.</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[14] </w:t>
      </w:r>
      <w:r>
        <w:rPr>
          <w:rFonts w:ascii="Times New Roman" w:hAnsi="Times New Roman"/>
          <w:b w:val="0"/>
          <w:i w:val="0"/>
          <w:sz w:val="16"/>
          <w:highlight w:val="yellow"/>
        </w:rPr>
        <w:t>Sarthak, S. Shukla, and S. P. Tripathi, “EmbPred30: assessing 30-days readmission for diabetic patients using categorical embeddings,” arXiv:2002.11215, 2020.</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[16] </w:t>
      </w:r>
      <w:r>
        <w:rPr>
          <w:rFonts w:ascii="Times New Roman" w:hAnsi="Times New Roman"/>
          <w:b w:val="0"/>
          <w:i w:val="0"/>
          <w:sz w:val="16"/>
          <w:highlight w:val="yellow"/>
        </w:rPr>
        <w:t>H. E. Wang et al., “Evaluating algorithmic bias in 30-day hospital readmission models,” J. Med. Internet Res., 2024.</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[17] </w:t>
      </w:r>
      <w:r>
        <w:rPr>
          <w:rFonts w:ascii="Times New Roman" w:hAnsi="Times New Roman"/>
          <w:b w:val="0"/>
          <w:i w:val="0"/>
          <w:sz w:val="16"/>
          <w:highlight w:val="yellow"/>
        </w:rPr>
        <w:t>R. Mateedulsatit et al., “Detecting and mitigating AI bias in health care…,” JMIR AI, 2026.</w:t>
      </w:r>
      <w:r>
        <w:rPr>
          <w:rFonts w:ascii="Times New Roman" w:hAnsi="Times New Roman"/>
          <w:b w:val="0"/>
          <w:i/>
          <w:color w:val="C00000"/>
          <w:sz w:val="16"/>
          <w:highlight w:val="yellow"/>
        </w:rPr>
        <w:t xml:space="preserve">  [NOT YET CONFIRMED READ BY A TEAM MEMBER]</w:t>
      </w:r>
    </w:p>
    <w:p>
      <w:pPr>
        <w:spacing w:after="80"/>
      </w:pPr>
      <w:r>
        <w:rPr>
          <w:rFonts w:ascii="Times New Roman" w:hAnsi="Times New Roman"/>
          <w:b w:val="0"/>
          <w:i w:val="0"/>
          <w:sz w:val="16"/>
        </w:rPr>
        <w:t xml:space="preserve">[18] </w:t>
      </w:r>
      <w:r>
        <w:rPr>
          <w:rFonts w:ascii="Times New Roman" w:hAnsi="Times New Roman"/>
          <w:b w:val="0"/>
          <w:i w:val="0"/>
          <w:sz w:val="16"/>
          <w:highlight w:val="yellow"/>
        </w:rPr>
        <w:t>L. Grinsztajn, E. Oyallon, and G. Varoquaux, “Why do tree-based models still outperform deep learning on typical tabular data?,” NeurIPS, 2022.</w:t>
      </w:r>
      <w:r>
        <w:rPr>
          <w:rFonts w:ascii="Times New Roman" w:hAnsi="Times New Roman"/>
          <w:b w:val="0"/>
          <w:i/>
          <w:color w:val="C00000"/>
          <w:sz w:val="16"/>
          <w:highlight w:val="yellow"/>
        </w:rPr>
        <w:t xml:space="preserve">  [NOT YET CONFIRMED READ BY A TEAM MEMBER]</w:t>
      </w:r>
    </w:p>
    <w:p>
      <w:pPr>
        <w:spacing w:after="160"/>
      </w:pPr>
      <w:r>
        <w:rPr>
          <w:rFonts w:ascii="Times New Roman" w:hAnsi="Times New Roman"/>
          <w:b w:val="0"/>
          <w:i w:val="0"/>
          <w:sz w:val="20"/>
          <w:highlight w:val="yellow"/>
        </w:rPr>
        <w:t>NOTE TO TEAM: every reference above is highlighted because none has yet been confirmed read by a human team member — this is a hard requirement of the rubric (“Every reference must have been read by at least one team member”) and graders may ask about specific citations. Pre-screened full texts are available in 4_benchmarking/LARISSA/papers/ and 4_benchmarking/papers/. Please read your assigned subset, correct any misreading, and remove this note and the per-reference flags once done.</w:t>
      </w:r>
    </w:p>
    <w:sectPr w:rsidR="00FC693F" w:rsidRPr="0006063C" w:rsidSect="00034616">
      <w:type w:val="continuous"/>
      <w:pgSz w:w="12240" w:h="15840"/>
      <w:pgMar w:top="1080" w:right="1080" w:bottom="1080"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