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jt5jyyp8dv1" w:id="0"/>
      <w:bookmarkEnd w:id="0"/>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46"/>
          <w:szCs w:val="46"/>
          <w:rtl w:val="0"/>
        </w:rPr>
        <w:t xml:space="preserve">Introduction and clinical significance</w:t>
      </w:r>
    </w:p>
    <w:p w:rsidR="00000000" w:rsidDel="00000000" w:rsidP="00000000" w:rsidRDefault="00000000" w:rsidRPr="00000000" w14:paraId="00000002">
      <w:pPr>
        <w:spacing w:after="120" w:lineRule="auto"/>
        <w:rPr>
          <w:color w:val="1155cc"/>
          <w:u w:val="single"/>
        </w:rPr>
      </w:pPr>
      <w:r w:rsidDel="00000000" w:rsidR="00000000" w:rsidRPr="00000000">
        <w:rPr>
          <w:rtl w:val="0"/>
        </w:rPr>
        <w:t xml:space="preserve">Hospital readmission within 30 days of discharge is an important healthcare challenge, contributing to increased healthcare utilization and costs.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https://diabetesjournals.org/care/article/49/Supplement_1/S339/163925/16-Diabetes-Care-in-the-Hospital-Standards-of-Care</w:t>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https://www.mdpi.com/2077-0383/11/6/1471</w:t>
        </w:r>
      </w:hyperlink>
      <w:r w:rsidDel="00000000" w:rsidR="00000000" w:rsidRPr="00000000">
        <w:rPr>
          <w:rtl w:val="0"/>
        </w:rPr>
        <w:t xml:space="preserve"> </w:t>
      </w:r>
      <w:hyperlink r:id="rId10">
        <w:r w:rsidDel="00000000" w:rsidR="00000000" w:rsidRPr="00000000">
          <w:rPr>
            <w:color w:val="1155cc"/>
            <w:u w:val="single"/>
            <w:rtl w:val="0"/>
          </w:rPr>
          <w:t xml:space="preserve">https://www.mdpi.com/2077-0383/11/6/1471</w:t>
        </w:r>
      </w:hyperlink>
      <w:r w:rsidDel="00000000" w:rsidR="00000000" w:rsidRPr="00000000">
        <w:rPr>
          <w:rtl w:val="0"/>
        </w:rPr>
        <w:t xml:space="preserve"> Patients with diabetes are particularly vulnerable,  with reported readmissions rate of 14-20%, nearly twice those of patients without diabetes.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https://diabetesjournals.org/care/article/49/Supplement_1/S339/163925/16-Diabetes-Care-in-the-Hospital-Standards-of-Care</w:t>
        </w:r>
      </w:hyperlink>
      <w:r w:rsidDel="00000000" w:rsidR="00000000" w:rsidRPr="00000000">
        <w:rPr>
          <w:rtl w:val="0"/>
        </w:rPr>
        <w:t xml:space="preserve">  Factors associated with readmission include comorbidity burden, socioeconomic characteristics, and previous hospitalizations, highlighting the complexity of managing this population.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https://diabetesjournals.org/care/article/49/Supplement_1/S339/163925/16-Diabetes-Care-in-the-Hospital-Standards-of-Care</w:t>
        </w:r>
      </w:hyperlink>
      <w:r w:rsidDel="00000000" w:rsidR="00000000" w:rsidRPr="00000000">
        <w:rPr>
          <w:rtl w:val="0"/>
        </w:rPr>
        <w:t xml:space="preserve"> Effective transitions from inpatient to outpatients care require appropriate discharge planning, timely follow-up and medication management to reduce avoidable readmissions.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https://diabetesjournals.org/care/article/49/Supplement_1/S339/163925/16-Diabetes-Care-in-the-Hospital-Standards-of-Care</w:t>
        </w:r>
      </w:hyperlink>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https://www.mdpi.com/2077-0383/11/6/1471</w:t>
        </w:r>
      </w:hyperlink>
      <w:r w:rsidDel="00000000" w:rsidR="00000000" w:rsidRPr="00000000">
        <w:rPr>
          <w:color w:val="1155cc"/>
          <w:u w:val="single"/>
          <w:rtl w:val="0"/>
        </w:rPr>
        <w:t xml:space="preserve"> </w:t>
      </w:r>
      <w:hyperlink r:id="rId19">
        <w:r w:rsidDel="00000000" w:rsidR="00000000" w:rsidRPr="00000000">
          <w:rPr>
            <w:color w:val="1155cc"/>
            <w:u w:val="single"/>
            <w:rtl w:val="0"/>
          </w:rPr>
          <w:t xml:space="preserve">https://www.mdpi.com/2077-0383/11/6/1471</w:t>
        </w:r>
      </w:hyperlink>
      <w:r w:rsidDel="00000000" w:rsidR="00000000" w:rsidRPr="00000000">
        <w:rPr>
          <w:color w:val="1155cc"/>
          <w:u w:val="single"/>
          <w:rtl w:val="0"/>
        </w:rPr>
        <w:t xml:space="preserve"> </w:t>
      </w:r>
    </w:p>
    <w:p w:rsidR="00000000" w:rsidDel="00000000" w:rsidP="00000000" w:rsidRDefault="00000000" w:rsidRPr="00000000" w14:paraId="00000003">
      <w:pPr>
        <w:spacing w:after="120" w:lineRule="auto"/>
        <w:rPr/>
      </w:pPr>
      <w:r w:rsidDel="00000000" w:rsidR="00000000" w:rsidRPr="00000000">
        <w:rPr>
          <w:rtl w:val="0"/>
        </w:rPr>
        <w:t xml:space="preserve">Identifying</w:t>
      </w:r>
      <w:r w:rsidDel="00000000" w:rsidR="00000000" w:rsidRPr="00000000">
        <w:rPr>
          <w:rtl w:val="0"/>
        </w:rPr>
        <w:t xml:space="preserve"> patients with diabetes at high risk of readmission before discharge could help healthcare professionals prioritize diabetes-specific education, medication management, and structured follow-up, allowing more targeted use of healthcare resources. </w:t>
      </w:r>
    </w:p>
    <w:p w:rsidR="00000000" w:rsidDel="00000000" w:rsidP="00000000" w:rsidRDefault="00000000" w:rsidRPr="00000000" w14:paraId="00000004">
      <w:pPr>
        <w:spacing w:after="120" w:lineRule="auto"/>
        <w:rPr/>
      </w:pPr>
      <w:hyperlink r:id="rId20">
        <w:r w:rsidDel="00000000" w:rsidR="00000000" w:rsidRPr="00000000">
          <w:rPr>
            <w:color w:val="1155cc"/>
            <w:u w:val="single"/>
            <w:rtl w:val="0"/>
          </w:rPr>
          <w:t xml:space="preserve">https://diabetesjournals.org/care/article/49/Supplement_1/S339/163925/16-Diabetes-Care-in-the-Hospital-Standards-of-Care</w:t>
        </w:r>
      </w:hyperlink>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https://www.mdpi.com/2077-0383/11/6/1471</w:t>
        </w:r>
      </w:hyperlink>
      <w:r w:rsidDel="00000000" w:rsidR="00000000" w:rsidRPr="00000000">
        <w:rPr>
          <w:rtl w:val="0"/>
        </w:rPr>
        <w:t xml:space="preserve"> </w:t>
      </w:r>
      <w:hyperlink r:id="rId23">
        <w:r w:rsidDel="00000000" w:rsidR="00000000" w:rsidRPr="00000000">
          <w:rPr>
            <w:color w:val="1155cc"/>
            <w:u w:val="single"/>
            <w:rtl w:val="0"/>
          </w:rPr>
          <w:t xml:space="preserve">https://www.mdpi.com/2077-0383/11/6/1471</w:t>
        </w:r>
      </w:hyperlink>
      <w:r w:rsidDel="00000000" w:rsidR="00000000" w:rsidRPr="00000000">
        <w:rPr>
          <w:rtl w:val="0"/>
        </w:rPr>
      </w:r>
    </w:p>
    <w:p w:rsidR="00000000" w:rsidDel="00000000" w:rsidP="00000000" w:rsidRDefault="00000000" w:rsidRPr="00000000" w14:paraId="00000005">
      <w:pPr>
        <w:spacing w:after="120" w:lineRule="auto"/>
        <w:rPr>
          <w:color w:val="1155cc"/>
          <w:u w:val="single"/>
        </w:rPr>
      </w:pPr>
      <w:r w:rsidDel="00000000" w:rsidR="00000000" w:rsidRPr="00000000">
        <w:rPr>
          <w:rtl w:val="0"/>
        </w:rPr>
        <w:t xml:space="preserve">Recent studies have explored statistical and machine-learning approaches to predicting 30-day readmission among patients with diabetes, demonstrating their potential while revealing limitations in predictive performance and generalizability.</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https://onlinelibrary.wiley.com/doi/10.1155/jdr/3148242</w:t>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https://www.cureus.com/articles/358756-predicting-30-day-hospital-readmission-in-patients-with-diabetes-using-machine-learning-on-electronic-health-record-data#!/</w:t>
        </w:r>
      </w:hyperlink>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Therefore, this study aims to develop and compare statistical and machine-learning models for predicting 30-day hospital readmission among patients with diabetes using routinely collected clinical data, while emphasizing robust evaluation and model interpretability.</w:t>
      </w:r>
    </w:p>
    <w:p w:rsidR="00000000" w:rsidDel="00000000" w:rsidP="00000000" w:rsidRDefault="00000000" w:rsidRPr="00000000" w14:paraId="00000007">
      <w:pPr>
        <w:pStyle w:val="Heading1"/>
        <w:keepNext w:val="0"/>
        <w:keepLines w:val="0"/>
        <w:spacing w:before="480" w:lineRule="auto"/>
        <w:rPr/>
      </w:pPr>
      <w:bookmarkStart w:colFirst="0" w:colLast="0" w:name="_4ywm9mcqzdwt" w:id="1"/>
      <w:bookmarkEnd w:id="1"/>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46"/>
          <w:szCs w:val="46"/>
          <w:rtl w:val="0"/>
        </w:rPr>
        <w:t xml:space="preserve">Litterature review and related work</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Previous studies have identified several clinical and demographic factors associated with 30-day hospital readmission among patients with diabetes. These include age, sex, race, previous inpatient, outpatient and emergency department visits, and comorbidity burden, represented partly by recorded diagnoses. </w:t>
      </w:r>
      <w:hyperlink r:id="rId28">
        <w:r w:rsidDel="00000000" w:rsidR="00000000" w:rsidRPr="00000000">
          <w:rPr>
            <w:color w:val="1155cc"/>
            <w:u w:val="single"/>
            <w:rtl w:val="0"/>
          </w:rPr>
          <w:t xml:space="preserve">https://www.cureus.com/articles/358756-predicting-30-day-hospital-readmission-in-patients-with-diabetes-using-machine-learning-on-electronic-health-record-data#!/</w:t>
        </w:r>
      </w:hyperlink>
      <w:r w:rsidDel="00000000" w:rsidR="00000000" w:rsidRPr="00000000">
        <w:rPr>
          <w:rtl w:val="0"/>
        </w:rPr>
      </w:r>
    </w:p>
    <w:p w:rsidR="00000000" w:rsidDel="00000000" w:rsidP="00000000" w:rsidRDefault="00000000" w:rsidRPr="00000000" w14:paraId="00000009">
      <w:pPr>
        <w:spacing w:after="120" w:lineRule="auto"/>
        <w:rPr/>
      </w:pPr>
      <w:hyperlink r:id="rId29">
        <w:r w:rsidDel="00000000" w:rsidR="00000000" w:rsidRPr="00000000">
          <w:rPr>
            <w:color w:val="1155cc"/>
            <w:u w:val="single"/>
            <w:rtl w:val="0"/>
          </w:rPr>
          <w:t xml:space="preserve">https://jmai.amegroups.org/article/view/9179/html</w:t>
        </w:r>
      </w:hyperlink>
      <w:r w:rsidDel="00000000" w:rsidR="00000000" w:rsidRPr="00000000">
        <w:rPr>
          <w:rtl w:val="0"/>
        </w:rPr>
      </w:r>
    </w:p>
    <w:p w:rsidR="00000000" w:rsidDel="00000000" w:rsidP="00000000" w:rsidRDefault="00000000" w:rsidRPr="00000000" w14:paraId="0000000A">
      <w:pPr>
        <w:spacing w:after="120" w:lineRule="auto"/>
        <w:rPr/>
      </w:pPr>
      <w:hyperlink r:id="rId30">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0B">
      <w:pPr>
        <w:spacing w:after="120" w:lineRule="auto"/>
        <w:rPr/>
      </w:pPr>
      <w:r w:rsidDel="00000000" w:rsidR="00000000" w:rsidRPr="00000000">
        <w:rPr>
          <w:rtl w:val="0"/>
        </w:rPr>
        <w:t xml:space="preserve">Hospitalization characteristics, including admission type, lengths of stay, discharge plan and number of procedures and laboratory tests, have also been examined. </w:t>
      </w:r>
    </w:p>
    <w:p w:rsidR="00000000" w:rsidDel="00000000" w:rsidP="00000000" w:rsidRDefault="00000000" w:rsidRPr="00000000" w14:paraId="0000000C">
      <w:pPr>
        <w:spacing w:after="120" w:lineRule="auto"/>
        <w:rPr/>
      </w:pPr>
      <w:hyperlink r:id="rId31">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p>
    <w:p w:rsidR="00000000" w:rsidDel="00000000" w:rsidP="00000000" w:rsidRDefault="00000000" w:rsidRPr="00000000" w14:paraId="0000000D">
      <w:pPr>
        <w:spacing w:after="120" w:lineRule="auto"/>
        <w:rPr/>
      </w:pPr>
      <w:hyperlink r:id="rId32">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0E">
      <w:pPr>
        <w:spacing w:after="120" w:lineRule="auto"/>
        <w:rPr/>
      </w:pPr>
      <w:r w:rsidDel="00000000" w:rsidR="00000000" w:rsidRPr="00000000">
        <w:rPr>
          <w:rtl w:val="0"/>
        </w:rPr>
        <w:t xml:space="preserve">Similarly, medication related variables, including insulin and oral antidiabetic therapy use, dosage changes, have been considered as indicators of diabetes management. </w:t>
      </w:r>
      <w:hyperlink r:id="rId33">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p>
    <w:p w:rsidR="00000000" w:rsidDel="00000000" w:rsidP="00000000" w:rsidRDefault="00000000" w:rsidRPr="00000000" w14:paraId="0000000F">
      <w:pPr>
        <w:spacing w:after="120" w:lineRule="auto"/>
        <w:rPr/>
      </w:pPr>
      <w:hyperlink r:id="rId34">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10">
      <w:pPr>
        <w:spacing w:after="120" w:lineRule="auto"/>
        <w:rPr/>
      </w:pPr>
      <w:r w:rsidDel="00000000" w:rsidR="00000000" w:rsidRPr="00000000">
        <w:rPr>
          <w:rtl w:val="0"/>
        </w:rPr>
        <w:t xml:space="preserve">Glycemic indicators have also been considered such as hemoglobin A1c (HbA1c), which reflects average blood glucose over approximately 3 months and serum glucose testing have also been investigated. </w:t>
      </w:r>
      <w:hyperlink r:id="rId35">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36">
        <w:r w:rsidDel="00000000" w:rsidR="00000000" w:rsidRPr="00000000">
          <w:rPr>
            <w:color w:val="1155cc"/>
            <w:u w:val="single"/>
            <w:rtl w:val="0"/>
          </w:rPr>
          <w:t xml:space="preserve">https://onlinelibrary.wiley.com/doi/10.1155/2014/781670</w:t>
        </w:r>
      </w:hyperlink>
      <w:r w:rsidDel="00000000" w:rsidR="00000000" w:rsidRPr="00000000">
        <w:rPr>
          <w:rtl w:val="0"/>
        </w:rPr>
        <w:t xml:space="preserve">  </w:t>
      </w:r>
    </w:p>
    <w:p w:rsidR="00000000" w:rsidDel="00000000" w:rsidP="00000000" w:rsidRDefault="00000000" w:rsidRPr="00000000" w14:paraId="00000011">
      <w:pPr>
        <w:spacing w:after="120" w:lineRule="auto"/>
        <w:rPr/>
      </w:pPr>
      <w:r w:rsidDel="00000000" w:rsidR="00000000" w:rsidRPr="00000000">
        <w:rPr>
          <w:rtl w:val="0"/>
        </w:rPr>
        <w:t xml:space="preserve">Together, these findings support the selection of demographic, clinical, hospitalization, and medication-related variables in our prediction models. </w:t>
      </w:r>
    </w:p>
    <w:p w:rsidR="00000000" w:rsidDel="00000000" w:rsidP="00000000" w:rsidRDefault="00000000" w:rsidRPr="00000000" w14:paraId="00000012">
      <w:pPr>
        <w:spacing w:after="120" w:lineRule="auto"/>
        <w:rPr/>
      </w:pPr>
      <w:r w:rsidDel="00000000" w:rsidR="00000000" w:rsidRPr="00000000">
        <w:rPr>
          <w:rtl w:val="0"/>
        </w:rPr>
        <w:t xml:space="preserve">Beyond Identifying relevant predictors, previous research has evaluated different approaches to predicting readmission. Tan et al. used logistic regression to predict prolonged hospitalization and 30-day readmission among elderly patients with T2DM. Their area under the receiver operating characteristic curve (AUROC) measures how well a model distinguishes between readmitted and non-readmitted patients. This data decreased from 0.769 internally to 0.633-0.671 in external population. </w:t>
      </w:r>
      <w:hyperlink r:id="rId37">
        <w:r w:rsidDel="00000000" w:rsidR="00000000" w:rsidRPr="00000000">
          <w:rPr>
            <w:color w:val="1155cc"/>
            <w:u w:val="single"/>
            <w:rtl w:val="0"/>
          </w:rPr>
          <w:t xml:space="preserve">https://onlinelibrary.wiley.com/doi/10.1155/jdr/3148242</w:t>
        </w:r>
      </w:hyperlink>
      <w:r w:rsidDel="00000000" w:rsidR="00000000" w:rsidRPr="00000000">
        <w:rPr>
          <w:rtl w:val="0"/>
        </w:rPr>
        <w:t xml:space="preserve"> </w:t>
      </w:r>
    </w:p>
    <w:p w:rsidR="00000000" w:rsidDel="00000000" w:rsidP="00000000" w:rsidRDefault="00000000" w:rsidRPr="00000000" w14:paraId="00000013">
      <w:pPr>
        <w:spacing w:after="120" w:lineRule="auto"/>
        <w:rPr/>
      </w:pPr>
      <w:r w:rsidDel="00000000" w:rsidR="00000000" w:rsidRPr="00000000">
        <w:rPr>
          <w:rtl w:val="0"/>
        </w:rPr>
        <w:t xml:space="preserve">This highlights the importance of evaluating model performance beyond the population used for development. </w:t>
      </w:r>
    </w:p>
    <w:p w:rsidR="00000000" w:rsidDel="00000000" w:rsidP="00000000" w:rsidRDefault="00000000" w:rsidRPr="00000000" w14:paraId="00000014">
      <w:pPr>
        <w:spacing w:after="120" w:lineRule="auto"/>
        <w:rPr/>
      </w:pPr>
      <w:r w:rsidDel="00000000" w:rsidR="00000000" w:rsidRPr="00000000">
        <w:rPr>
          <w:rtl w:val="0"/>
        </w:rPr>
        <w:t xml:space="preserve"> Studies using the University of California, Irvine (UCI) diabetes dataset have evaluated several approaches to predicting hospital readmission </w:t>
      </w:r>
      <w:hyperlink r:id="rId38">
        <w:r w:rsidDel="00000000" w:rsidR="00000000" w:rsidRPr="00000000">
          <w:rPr>
            <w:color w:val="1155cc"/>
            <w:u w:val="single"/>
            <w:rtl w:val="0"/>
          </w:rPr>
          <w:t xml:space="preserve">https://pubmed.ncbi.nlm.nih.gov/40385730/</w:t>
        </w:r>
      </w:hyperlink>
      <w:r w:rsidDel="00000000" w:rsidR="00000000" w:rsidRPr="00000000">
        <w:rPr>
          <w:rtl w:val="0"/>
        </w:rPr>
        <w:t xml:space="preserve"> </w:t>
      </w:r>
      <w:hyperlink r:id="rId39">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40">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 These include logistic regression, random forest, extreme gradient boosting (XGBoost), and deep neural network </w:t>
      </w:r>
      <w:hyperlink r:id="rId41">
        <w:r w:rsidDel="00000000" w:rsidR="00000000" w:rsidRPr="00000000">
          <w:rPr>
            <w:color w:val="1155cc"/>
            <w:u w:val="single"/>
            <w:rtl w:val="0"/>
          </w:rPr>
          <w:t xml:space="preserve">https://pubmed.ncbi.nlm.nih.gov/40385730/</w:t>
        </w:r>
      </w:hyperlink>
      <w:r w:rsidDel="00000000" w:rsidR="00000000" w:rsidRPr="00000000">
        <w:rPr>
          <w:rtl w:val="0"/>
        </w:rPr>
        <w:t xml:space="preserve"> </w:t>
      </w:r>
      <w:hyperlink r:id="rId42">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43">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 Random forest combines multiple decision trees to make predictions, while XGBoost builds decision trees sequentially to improve prediction. Conversely, deep neural networks learn patterns through multiple layers of interconnected computational units </w:t>
      </w:r>
      <w:hyperlink r:id="rId44">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45">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15">
      <w:pPr>
        <w:spacing w:after="120" w:lineRule="auto"/>
        <w:rPr/>
      </w:pPr>
      <w:r w:rsidDel="00000000" w:rsidR="00000000" w:rsidRPr="00000000">
        <w:rPr>
          <w:rtl w:val="0"/>
        </w:rPr>
        <w:t xml:space="preserve">Emi-Johnson and Nkrumah reported AUROCs of 0.667 for XGBoost, 0.642 for logistic regression, and 0.579 for a deep neural networks.</w:t>
      </w:r>
      <w:hyperlink r:id="rId46">
        <w:r w:rsidDel="00000000" w:rsidR="00000000" w:rsidRPr="00000000">
          <w:rPr>
            <w:color w:val="1155cc"/>
            <w:u w:val="single"/>
            <w:rtl w:val="0"/>
          </w:rPr>
          <w:t xml:space="preserve">https://pubmed.ncbi.nlm.nih.gov/40385730/</w:t>
        </w:r>
      </w:hyperlink>
      <w:r w:rsidDel="00000000" w:rsidR="00000000" w:rsidRPr="00000000">
        <w:rPr>
          <w:rtl w:val="0"/>
        </w:rPr>
        <w:t xml:space="preserve">  However, varied performances were reported across these approaches in other studies </w:t>
      </w:r>
      <w:hyperlink r:id="rId47">
        <w:r w:rsidDel="00000000" w:rsidR="00000000" w:rsidRPr="00000000">
          <w:rPr>
            <w:color w:val="1155cc"/>
            <w:u w:val="single"/>
            <w:rtl w:val="0"/>
          </w:rPr>
          <w:t xml:space="preserve">https://www.sciencedirect.com/science/article/pii/S0010482525009679?via%3Dihub</w:t>
        </w:r>
      </w:hyperlink>
      <w:r w:rsidDel="00000000" w:rsidR="00000000" w:rsidRPr="00000000">
        <w:rPr>
          <w:rtl w:val="0"/>
        </w:rPr>
        <w:t xml:space="preserve"> </w:t>
      </w:r>
      <w:hyperlink r:id="rId48">
        <w:r w:rsidDel="00000000" w:rsidR="00000000" w:rsidRPr="00000000">
          <w:rPr>
            <w:color w:val="1155cc"/>
            <w:u w:val="single"/>
            <w:rtl w:val="0"/>
          </w:rPr>
          <w:t xml:space="preserve">https://www.mdpi.com/2227-9032/14/9/1185</w:t>
        </w:r>
      </w:hyperlink>
      <w:r w:rsidDel="00000000" w:rsidR="00000000" w:rsidRPr="00000000">
        <w:rPr>
          <w:rtl w:val="0"/>
        </w:rPr>
        <w:t xml:space="preserve"> </w:t>
      </w:r>
      <w:hyperlink r:id="rId49">
        <w:r w:rsidDel="00000000" w:rsidR="00000000" w:rsidRPr="00000000">
          <w:rPr>
            <w:color w:val="1155cc"/>
            <w:u w:val="single"/>
            <w:rtl w:val="0"/>
          </w:rPr>
          <w:t xml:space="preserve">https://www.mdpi.com/2673-4540/7/10/197</w:t>
        </w:r>
      </w:hyperlink>
      <w:r w:rsidDel="00000000" w:rsidR="00000000" w:rsidRPr="00000000">
        <w:rPr>
          <w:rtl w:val="0"/>
        </w:rPr>
        <w:t xml:space="preserve"> . This suggests that a more complex model does not always improve predictions. Based on these findings, our project compares simpler statistical methods with tree-based machine-learning and neural-network approaches under a consistent evaluation framework. </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Differences in predictive performance across settings have also been shown in research involving pneumonia, colorectal surgery and other hospitalized populations </w:t>
      </w:r>
      <w:hyperlink r:id="rId50">
        <w:r w:rsidDel="00000000" w:rsidR="00000000" w:rsidRPr="00000000">
          <w:rPr>
            <w:color w:val="1155cc"/>
            <w:u w:val="single"/>
            <w:rtl w:val="0"/>
          </w:rPr>
          <w:t xml:space="preserve">https://link.springer.com/article/10.1186/s12911-022-01995-3</w:t>
        </w:r>
      </w:hyperlink>
      <w:r w:rsidDel="00000000" w:rsidR="00000000" w:rsidRPr="00000000">
        <w:rPr>
          <w:rtl w:val="0"/>
        </w:rPr>
        <w:t xml:space="preserve"> </w:t>
      </w:r>
      <w:hyperlink r:id="rId51">
        <w:r w:rsidDel="00000000" w:rsidR="00000000" w:rsidRPr="00000000">
          <w:rPr>
            <w:color w:val="1155cc"/>
            <w:u w:val="single"/>
            <w:rtl w:val="0"/>
          </w:rPr>
          <w:t xml:space="preserve">https://www.sciencedirect.com/science/article/abs/pii/S1091255X23014968?via%3Dihub</w:t>
        </w:r>
      </w:hyperlink>
      <w:r w:rsidDel="00000000" w:rsidR="00000000" w:rsidRPr="00000000">
        <w:rPr>
          <w:rtl w:val="0"/>
        </w:rPr>
        <w:t xml:space="preserve"> </w:t>
      </w:r>
      <w:hyperlink r:id="rId52">
        <w:r w:rsidDel="00000000" w:rsidR="00000000" w:rsidRPr="00000000">
          <w:rPr>
            <w:color w:val="1155cc"/>
            <w:u w:val="single"/>
            <w:rtl w:val="0"/>
          </w:rPr>
          <w:t xml:space="preserve">https://www.sciencedirect.com/science/article/pii/S0010482525003750?via%3Dihub</w:t>
        </w:r>
      </w:hyperlink>
      <w:r w:rsidDel="00000000" w:rsidR="00000000" w:rsidRPr="00000000">
        <w:rPr>
          <w:rtl w:val="0"/>
        </w:rPr>
        <w:t xml:space="preserve"> </w:t>
      </w:r>
      <w:hyperlink r:id="rId53">
        <w:r w:rsidDel="00000000" w:rsidR="00000000" w:rsidRPr="00000000">
          <w:rPr>
            <w:color w:val="1155cc"/>
            <w:u w:val="single"/>
            <w:rtl w:val="0"/>
          </w:rPr>
          <w:t xml:space="preserve">https://link.springer.com/article/10.1186/s12877-026-07468-w</w:t>
        </w:r>
      </w:hyperlink>
      <w:r w:rsidDel="00000000" w:rsidR="00000000" w:rsidRPr="00000000">
        <w:rPr>
          <w:rtl w:val="0"/>
        </w:rPr>
        <w:t xml:space="preserve"> </w:t>
      </w:r>
      <w:hyperlink r:id="rId54">
        <w:r w:rsidDel="00000000" w:rsidR="00000000" w:rsidRPr="00000000">
          <w:rPr>
            <w:color w:val="1155cc"/>
            <w:u w:val="single"/>
            <w:rtl w:val="0"/>
          </w:rPr>
          <w:t xml:space="preserve">https://journals.sagepub.com/doi/10.1177/20552076241277030</w:t>
        </w:r>
      </w:hyperlink>
      <w:r w:rsidDel="00000000" w:rsidR="00000000" w:rsidRPr="00000000">
        <w:rPr>
          <w:rtl w:val="0"/>
        </w:rPr>
        <w:t xml:space="preserve"> . This highlights the importance of testing models within specific clinical populations. In our dataset, approximately 11% of encounters resulted in readmission within 30 days, creating class imbalance, where non-readmission substantially outnumbers readmissions </w:t>
      </w:r>
      <w:hyperlink r:id="rId55">
        <w:r w:rsidDel="00000000" w:rsidR="00000000" w:rsidRPr="00000000">
          <w:rPr>
            <w:color w:val="1155cc"/>
            <w:u w:val="single"/>
            <w:rtl w:val="0"/>
          </w:rPr>
          <w:t xml:space="preserve">https://onlinelibrary.wiley.com/doi/10.1155/2014/781670</w:t>
        </w:r>
      </w:hyperlink>
      <w:r w:rsidDel="00000000" w:rsidR="00000000" w:rsidRPr="00000000">
        <w:rPr>
          <w:rtl w:val="0"/>
        </w:rPr>
        <w:t xml:space="preserve"> . Therefore, overall accuracy may be misleading because the model could reach high accuracy by primarily predicting no readmission </w:t>
      </w:r>
      <w:hyperlink r:id="rId56">
        <w:r w:rsidDel="00000000" w:rsidR="00000000" w:rsidRPr="00000000">
          <w:rPr>
            <w:color w:val="1155cc"/>
            <w:u w:val="single"/>
            <w:rtl w:val="0"/>
          </w:rPr>
          <w:t xml:space="preserve">https://www.bmj.com/content/385/bmj-2023-078378</w:t>
        </w:r>
      </w:hyperlink>
      <w:r w:rsidDel="00000000" w:rsidR="00000000" w:rsidRPr="00000000">
        <w:rPr>
          <w:rtl w:val="0"/>
        </w:rPr>
        <w:t xml:space="preserve"> . Another concern is data leakage,which may occur when encounters from the same patient are included in both model training and testing, which could possibly overestimate module performance </w:t>
      </w:r>
      <w:hyperlink r:id="rId57">
        <w:r w:rsidDel="00000000" w:rsidR="00000000" w:rsidRPr="00000000">
          <w:rPr>
            <w:color w:val="1155cc"/>
            <w:u w:val="single"/>
            <w:rtl w:val="0"/>
          </w:rPr>
          <w:t xml:space="preserve">https://www.bmj.com/content/385/bmj-2023-078378</w:t>
        </w:r>
      </w:hyperlink>
      <w:r w:rsidDel="00000000" w:rsidR="00000000" w:rsidRPr="00000000">
        <w:rPr>
          <w:rtl w:val="0"/>
        </w:rPr>
        <w:t xml:space="preserve"> . To tackle these challenges, our project assigns all encounters from each patient to the same training, validation, or testing group. Model performance is evaluated using AUROC alongside the area under the precision-recall curve (AUPRC), which describes the relationship between precision (the proportion of readmission predictions that were correct) and recall (the proportion of actual readmissions identified), making it particularly informative for imbalanced dataset </w:t>
      </w:r>
      <w:hyperlink r:id="rId58">
        <w:r w:rsidDel="00000000" w:rsidR="00000000" w:rsidRPr="00000000">
          <w:rPr>
            <w:color w:val="1155cc"/>
            <w:u w:val="single"/>
            <w:rtl w:val="0"/>
          </w:rPr>
          <w:t xml:space="preserve">https://journals.plos.org/plosone/article?id=10.1371/journal.pone.0118432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Together, these findings highlight the importance of developing a reliable model to identify patients with diabetes at increased risk of early hospital readmission. Accordingly, our study aims to predict 30-day readmission using </w:t>
      </w:r>
      <w:r w:rsidDel="00000000" w:rsidR="00000000" w:rsidRPr="00000000">
        <w:rPr>
          <w:rtl w:val="0"/>
        </w:rPr>
        <w:t xml:space="preserve">clinical</w:t>
      </w:r>
      <w:r w:rsidDel="00000000" w:rsidR="00000000" w:rsidRPr="00000000">
        <w:rPr>
          <w:rtl w:val="0"/>
        </w:rPr>
        <w:t xml:space="preserve"> information available at discharge. By comparing different machine-learning approaches and examining the contribution of individual patient characteristics using SHapley Additive exPLANATION (SHAP), we aim to identify a suitable prediction model that could ultimately support early identification of-high risk patients, targeted discharge planning, and timely post-discharge follow-up..</w:t>
      </w:r>
      <w:hyperlink r:id="rId59">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hyperlink r:id="rId60">
        <w:r w:rsidDel="00000000" w:rsidR="00000000" w:rsidRPr="00000000">
          <w:rPr>
            <w:color w:val="1155cc"/>
            <w:u w:val="single"/>
            <w:rtl w:val="0"/>
          </w:rPr>
          <w:t xml:space="preserve">https://arxiv.org/abs/1705.07874</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2352914825000759?via%3Dihub" TargetMode="External"/><Relationship Id="rId42" Type="http://schemas.openxmlformats.org/officeDocument/2006/relationships/hyperlink" Target="https://jmai.amegroups.org/article/view/9179/html" TargetMode="External"/><Relationship Id="rId41" Type="http://schemas.openxmlformats.org/officeDocument/2006/relationships/hyperlink" Target="https://pubmed.ncbi.nlm.nih.gov/40385730/" TargetMode="External"/><Relationship Id="rId44" Type="http://schemas.openxmlformats.org/officeDocument/2006/relationships/hyperlink" Target="https://jmai.amegroups.org/article/view/9179/html" TargetMode="External"/><Relationship Id="rId43" Type="http://schemas.openxmlformats.org/officeDocument/2006/relationships/hyperlink" Target="https://www.sciencedirect.com/science/article/pii/S2352914825000759?via%3Dihub" TargetMode="External"/><Relationship Id="rId46" Type="http://schemas.openxmlformats.org/officeDocument/2006/relationships/hyperlink" Target="https://pubmed.ncbi.nlm.nih.gov/40385730/" TargetMode="External"/><Relationship Id="rId45" Type="http://schemas.openxmlformats.org/officeDocument/2006/relationships/hyperlink" Target="https://www.sciencedirect.com/science/article/pii/S2352914825000759?via%3Dih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7-0383/11/6/1471" TargetMode="External"/><Relationship Id="rId48" Type="http://schemas.openxmlformats.org/officeDocument/2006/relationships/hyperlink" Target="https://www.mdpi.com/2227-9032/14/9/1185" TargetMode="External"/><Relationship Id="rId47" Type="http://schemas.openxmlformats.org/officeDocument/2006/relationships/hyperlink" Target="https://www.sciencedirect.com/science/article/pii/S0010482525009679?via%3Dihub" TargetMode="External"/><Relationship Id="rId49" Type="http://schemas.openxmlformats.org/officeDocument/2006/relationships/hyperlink" Target="https://www.mdpi.com/2673-4540/7/10/197" TargetMode="External"/><Relationship Id="rId5" Type="http://schemas.openxmlformats.org/officeDocument/2006/relationships/styles" Target="styles.xml"/><Relationship Id="rId6" Type="http://schemas.openxmlformats.org/officeDocument/2006/relationships/hyperlink" Target="https://diabetesjournals.org/care/article/49/Supplement_1/S339/163925/16-Diabetes-Care-in-the-Hospital-Standards-of-Care" TargetMode="External"/><Relationship Id="rId7" Type="http://schemas.openxmlformats.org/officeDocument/2006/relationships/hyperlink" Target="https://diabetesjournals.org/care/article/49/Supplement_1/S339/163925/16-Diabetes-Care-in-the-Hospital-Standards-of-Care" TargetMode="External"/><Relationship Id="rId8" Type="http://schemas.openxmlformats.org/officeDocument/2006/relationships/hyperlink" Target="https://www.mdpi.com/2077-0383/11/6/1471" TargetMode="External"/><Relationship Id="rId31" Type="http://schemas.openxmlformats.org/officeDocument/2006/relationships/hyperlink" Target="https://jmai.amegroups.org/article/view/9179/html" TargetMode="External"/><Relationship Id="rId30" Type="http://schemas.openxmlformats.org/officeDocument/2006/relationships/hyperlink" Target="https://www.sciencedirect.com/science/article/pii/S2352914825000759?via%3Dihub" TargetMode="External"/><Relationship Id="rId33" Type="http://schemas.openxmlformats.org/officeDocument/2006/relationships/hyperlink" Target="https://jmai.amegroups.org/article/view/9179/html" TargetMode="External"/><Relationship Id="rId32" Type="http://schemas.openxmlformats.org/officeDocument/2006/relationships/hyperlink" Target="https://www.sciencedirect.com/science/article/pii/S2352914825000759?via%3Dihub" TargetMode="External"/><Relationship Id="rId35" Type="http://schemas.openxmlformats.org/officeDocument/2006/relationships/hyperlink" Target="https://jmai.amegroups.org/article/view/9179/html" TargetMode="External"/><Relationship Id="rId34" Type="http://schemas.openxmlformats.org/officeDocument/2006/relationships/hyperlink" Target="https://www.sciencedirect.com/science/article/pii/S2352914825000759?via%3Dihub" TargetMode="External"/><Relationship Id="rId37" Type="http://schemas.openxmlformats.org/officeDocument/2006/relationships/hyperlink" Target="https://onlinelibrary.wiley.com/doi/10.1155/jdr/3148242" TargetMode="External"/><Relationship Id="rId36" Type="http://schemas.openxmlformats.org/officeDocument/2006/relationships/hyperlink" Target="https://onlinelibrary.wiley.com/doi/10.1155/2014/781670" TargetMode="External"/><Relationship Id="rId39" Type="http://schemas.openxmlformats.org/officeDocument/2006/relationships/hyperlink" Target="https://jmai.amegroups.org/article/view/9179/html" TargetMode="External"/><Relationship Id="rId38" Type="http://schemas.openxmlformats.org/officeDocument/2006/relationships/hyperlink" Target="https://pubmed.ncbi.nlm.nih.gov/40385730/" TargetMode="External"/><Relationship Id="rId20" Type="http://schemas.openxmlformats.org/officeDocument/2006/relationships/hyperlink" Target="https://diabetesjournals.org/care/article/49/Supplement_1/S339/163925/16-Diabetes-Care-in-the-Hospital-Standards-of-Care" TargetMode="External"/><Relationship Id="rId22" Type="http://schemas.openxmlformats.org/officeDocument/2006/relationships/hyperlink" Target="https://www.mdpi.com/2077-0383/11/6/1471" TargetMode="External"/><Relationship Id="rId21" Type="http://schemas.openxmlformats.org/officeDocument/2006/relationships/hyperlink" Target="https://www.mdpi.com/2077-0383/11/6/1471" TargetMode="External"/><Relationship Id="rId24" Type="http://schemas.openxmlformats.org/officeDocument/2006/relationships/hyperlink" Target="https://onlinelibrary.wiley.com/doi/10.1155/jdr/3148242" TargetMode="External"/><Relationship Id="rId23" Type="http://schemas.openxmlformats.org/officeDocument/2006/relationships/hyperlink" Target="https://www.mdpi.com/2077-0383/11/6/1471" TargetMode="External"/><Relationship Id="rId60" Type="http://schemas.openxmlformats.org/officeDocument/2006/relationships/hyperlink" Target="https://arxiv.org/abs/1705.07874" TargetMode="External"/><Relationship Id="rId26" Type="http://schemas.openxmlformats.org/officeDocument/2006/relationships/hyperlink" Target="https://www.cureus.com/articles/358756-predicting-30-day-hospital-readmission-in-patients-with-diabetes-using-machine-learning-on-electronic-health-record-data#!/" TargetMode="External"/><Relationship Id="rId25" Type="http://schemas.openxmlformats.org/officeDocument/2006/relationships/hyperlink" Target="https://onlinelibrary.wiley.com/doi/10.1155/jdr/3148242" TargetMode="External"/><Relationship Id="rId28" Type="http://schemas.openxmlformats.org/officeDocument/2006/relationships/hyperlink" Target="https://www.cureus.com/articles/358756-predicting-30-day-hospital-readmission-in-patients-with-diabetes-using-machine-learning-on-electronic-health-record-data#!/" TargetMode="External"/><Relationship Id="rId27" Type="http://schemas.openxmlformats.org/officeDocument/2006/relationships/hyperlink" Target="https://www.cureus.com/articles/358756-predicting-30-day-hospital-readmission-in-patients-with-diabetes-using-machine-learning-on-electronic-health-record-data#!/" TargetMode="External"/><Relationship Id="rId29" Type="http://schemas.openxmlformats.org/officeDocument/2006/relationships/hyperlink" Target="https://jmai.amegroups.org/article/view/9179/html" TargetMode="External"/><Relationship Id="rId51" Type="http://schemas.openxmlformats.org/officeDocument/2006/relationships/hyperlink" Target="https://www.sciencedirect.com/science/article/abs/pii/S1091255X23014968?via%3Dihub" TargetMode="External"/><Relationship Id="rId50" Type="http://schemas.openxmlformats.org/officeDocument/2006/relationships/hyperlink" Target="https://link.springer.com/article/10.1186/s12911-022-01995-3" TargetMode="External"/><Relationship Id="rId53" Type="http://schemas.openxmlformats.org/officeDocument/2006/relationships/hyperlink" Target="https://link.springer.com/article/10.1186/s12877-026-07468-w" TargetMode="External"/><Relationship Id="rId52" Type="http://schemas.openxmlformats.org/officeDocument/2006/relationships/hyperlink" Target="https://www.sciencedirect.com/science/article/pii/S0010482525003750?via%3Dihub" TargetMode="External"/><Relationship Id="rId11" Type="http://schemas.openxmlformats.org/officeDocument/2006/relationships/hyperlink" Target="https://diabetesjournals.org/care/article/49/Supplement_1/S339/163925/16-Diabetes-Care-in-the-Hospital-Standards-of-Care" TargetMode="External"/><Relationship Id="rId55" Type="http://schemas.openxmlformats.org/officeDocument/2006/relationships/hyperlink" Target="https://onlinelibrary.wiley.com/doi/10.1155/2014/781670" TargetMode="External"/><Relationship Id="rId10" Type="http://schemas.openxmlformats.org/officeDocument/2006/relationships/hyperlink" Target="https://www.mdpi.com/2077-0383/11/6/1471" TargetMode="External"/><Relationship Id="rId54" Type="http://schemas.openxmlformats.org/officeDocument/2006/relationships/hyperlink" Target="https://journals.sagepub.com/doi/10.1177/20552076241277030" TargetMode="External"/><Relationship Id="rId13" Type="http://schemas.openxmlformats.org/officeDocument/2006/relationships/hyperlink" Target="https://diabetesjournals.org/care/article/49/Supplement_1/S339/163925/16-Diabetes-Care-in-the-Hospital-Standards-of-Care" TargetMode="External"/><Relationship Id="rId57" Type="http://schemas.openxmlformats.org/officeDocument/2006/relationships/hyperlink" Target="https://www.bmj.com/content/385/bmj-2023-078378" TargetMode="External"/><Relationship Id="rId12" Type="http://schemas.openxmlformats.org/officeDocument/2006/relationships/hyperlink" Target="https://diabetesjournals.org/care/article/49/Supplement_1/S339/163925/16-Diabetes-Care-in-the-Hospital-Standards-of-Care" TargetMode="External"/><Relationship Id="rId56" Type="http://schemas.openxmlformats.org/officeDocument/2006/relationships/hyperlink" Target="https://www.bmj.com/content/385/bmj-2023-078378" TargetMode="External"/><Relationship Id="rId15" Type="http://schemas.openxmlformats.org/officeDocument/2006/relationships/hyperlink" Target="https://diabetesjournals.org/care/article/49/Supplement_1/S339/163925/16-Diabetes-Care-in-the-Hospital-Standards-of-Care" TargetMode="External"/><Relationship Id="rId59" Type="http://schemas.openxmlformats.org/officeDocument/2006/relationships/hyperlink" Target="https://www.sciencedirect.com/science/article/pii/S2352914825000759?via%3Dihub" TargetMode="External"/><Relationship Id="rId14" Type="http://schemas.openxmlformats.org/officeDocument/2006/relationships/hyperlink" Target="https://diabetesjournals.org/care/article/49/Supplement_1/S339/163925/16-Diabetes-Care-in-the-Hospital-Standards-of-Care" TargetMode="External"/><Relationship Id="rId58" Type="http://schemas.openxmlformats.org/officeDocument/2006/relationships/hyperlink" Target="https://journals.plos.org/plosone/article?id=10.1371/journal.pone.0118432" TargetMode="External"/><Relationship Id="rId17" Type="http://schemas.openxmlformats.org/officeDocument/2006/relationships/hyperlink" Target="https://www.mdpi.com/2077-0383/11/6/1471" TargetMode="External"/><Relationship Id="rId16" Type="http://schemas.openxmlformats.org/officeDocument/2006/relationships/hyperlink" Target="https://diabetesjournals.org/care/article/49/Supplement_1/S339/163925/16-Diabetes-Care-in-the-Hospital-Standards-of-Care" TargetMode="External"/><Relationship Id="rId19" Type="http://schemas.openxmlformats.org/officeDocument/2006/relationships/hyperlink" Target="https://www.mdpi.com/2077-0383/11/6/1471" TargetMode="External"/><Relationship Id="rId18" Type="http://schemas.openxmlformats.org/officeDocument/2006/relationships/hyperlink" Target="https://www.mdpi.com/2077-0383/11/6/1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