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14:paraId="517AC20D" w14:textId="6E0250E9" w:rsidR="00D7522C" w:rsidRPr="009F2AAB" w:rsidRDefault="009F2AAB" w:rsidP="009F2AAB">
      <w:pPr>
        <w:pStyle w:val="papertitle"/>
        <w:spacing w:before="5pt" w:beforeAutospacing="1" w:after="5pt" w:afterAutospacing="1"/>
        <w:rPr>
          <w:i/>
          <w:iCs/>
        </w:rPr>
      </w:pPr>
      <w:r w:rsidRPr="009F2AAB">
        <w:rPr>
          <w:i/>
          <w:iCs/>
        </w:rPr>
        <w:t>Predicting 30-day hospital readmission in patients with diabetes</w:t>
      </w:r>
      <w:r w:rsidR="00633C75">
        <w:rPr>
          <w:i/>
          <w:iCs/>
        </w:rPr>
        <w:t xml:space="preserve">: a comaprative machine learning study </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7DC3BD49" w14:textId="6E1FF9CA" w:rsidR="001A3B3D" w:rsidRPr="006347CF" w:rsidRDefault="00B80668" w:rsidP="00B80668">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Pr>
          <w:sz w:val="18"/>
          <w:szCs w:val="18"/>
        </w:rPr>
        <w:t xml:space="preserve">Kayla Arab </w:t>
      </w:r>
      <w:r w:rsidR="001A3B3D" w:rsidRPr="00F847A6">
        <w:rPr>
          <w:sz w:val="18"/>
          <w:szCs w:val="18"/>
        </w:rPr>
        <w:t xml:space="preserve"> </w:t>
      </w:r>
      <w:r w:rsidR="001A3B3D" w:rsidRPr="00F847A6">
        <w:rPr>
          <w:sz w:val="18"/>
          <w:szCs w:val="18"/>
        </w:rPr>
        <w:br/>
      </w:r>
      <w:r>
        <w:rPr>
          <w:sz w:val="18"/>
          <w:szCs w:val="18"/>
        </w:rPr>
        <w:t xml:space="preserve">Faculty of Medicine and health  sciences          </w:t>
      </w:r>
      <w:r w:rsidR="00D72D06" w:rsidRPr="00F847A6">
        <w:rPr>
          <w:sz w:val="18"/>
          <w:szCs w:val="18"/>
        </w:rPr>
        <w:br/>
      </w:r>
      <w:r>
        <w:rPr>
          <w:sz w:val="18"/>
          <w:szCs w:val="18"/>
        </w:rPr>
        <w:t>McGill University</w:t>
      </w:r>
      <w:r w:rsidR="001A3B3D" w:rsidRPr="00F847A6">
        <w:rPr>
          <w:i/>
          <w:sz w:val="18"/>
          <w:szCs w:val="18"/>
        </w:rPr>
        <w:br/>
      </w:r>
      <w:r>
        <w:rPr>
          <w:sz w:val="18"/>
          <w:szCs w:val="18"/>
        </w:rPr>
        <w:t>Montreal, QC</w:t>
      </w:r>
      <w:r w:rsidR="001A3B3D" w:rsidRPr="00F847A6">
        <w:rPr>
          <w:sz w:val="18"/>
          <w:szCs w:val="18"/>
        </w:rPr>
        <w:br/>
      </w:r>
      <w:hyperlink r:id="rId9" w:history="1">
        <w:r w:rsidRPr="00631020">
          <w:rPr>
            <w:rStyle w:val="Hyperlink"/>
            <w:sz w:val="18"/>
            <w:szCs w:val="18"/>
          </w:rPr>
          <w:t>kayla.arab@mail.mcgill.ca</w:t>
        </w:r>
      </w:hyperlink>
      <w:r>
        <w:rPr>
          <w:sz w:val="18"/>
          <w:szCs w:val="18"/>
        </w:rPr>
        <w:t xml:space="preserve"> </w:t>
      </w:r>
      <w:r w:rsidR="006347CF">
        <w:rPr>
          <w:sz w:val="18"/>
          <w:szCs w:val="18"/>
        </w:rPr>
        <w:br/>
      </w:r>
      <w:r>
        <w:rPr>
          <w:sz w:val="18"/>
          <w:szCs w:val="18"/>
        </w:rPr>
        <w:br/>
      </w:r>
      <w:r w:rsidR="006347CF">
        <w:rPr>
          <w:sz w:val="18"/>
          <w:szCs w:val="18"/>
        </w:rPr>
        <w:br/>
      </w:r>
      <w:r>
        <w:rPr>
          <w:sz w:val="18"/>
          <w:szCs w:val="18"/>
        </w:rPr>
        <w:t xml:space="preserve">Siham Khaldoun </w:t>
      </w:r>
      <w:r w:rsidRPr="00F847A6">
        <w:rPr>
          <w:sz w:val="18"/>
          <w:szCs w:val="18"/>
        </w:rPr>
        <w:t xml:space="preserve"> </w:t>
      </w:r>
      <w:r w:rsidR="001A3B3D" w:rsidRPr="00F847A6">
        <w:rPr>
          <w:sz w:val="18"/>
          <w:szCs w:val="18"/>
        </w:rPr>
        <w:br/>
      </w:r>
      <w:r>
        <w:rPr>
          <w:sz w:val="18"/>
          <w:szCs w:val="18"/>
        </w:rPr>
        <w:t xml:space="preserve">Faculty of Medicine and health  sciences          </w:t>
      </w:r>
      <w:r w:rsidR="001A3B3D" w:rsidRPr="00F847A6">
        <w:rPr>
          <w:sz w:val="18"/>
          <w:szCs w:val="18"/>
        </w:rPr>
        <w:br/>
      </w:r>
      <w:r>
        <w:rPr>
          <w:sz w:val="18"/>
          <w:szCs w:val="18"/>
        </w:rPr>
        <w:t>McGill University</w:t>
      </w:r>
      <w:r w:rsidRPr="00F847A6">
        <w:rPr>
          <w:i/>
          <w:sz w:val="18"/>
          <w:szCs w:val="18"/>
        </w:rPr>
        <w:br/>
      </w:r>
      <w:r>
        <w:rPr>
          <w:sz w:val="18"/>
          <w:szCs w:val="18"/>
        </w:rPr>
        <w:t>Montreal, QC</w:t>
      </w:r>
      <w:r w:rsidRPr="00F847A6">
        <w:rPr>
          <w:sz w:val="18"/>
          <w:szCs w:val="18"/>
        </w:rPr>
        <w:br/>
      </w:r>
      <w:hyperlink r:id="rId10" w:history="1">
        <w:r w:rsidRPr="00631020">
          <w:rPr>
            <w:rStyle w:val="Hyperlink"/>
            <w:sz w:val="18"/>
            <w:szCs w:val="18"/>
          </w:rPr>
          <w:t>siham.khaldoun@mail.mcgill.ca</w:t>
        </w:r>
      </w:hyperlink>
      <w:r w:rsidR="006347CF">
        <w:rPr>
          <w:sz w:val="18"/>
          <w:szCs w:val="18"/>
        </w:rPr>
        <w:br/>
      </w:r>
      <w:r>
        <w:rPr>
          <w:sz w:val="18"/>
          <w:szCs w:val="18"/>
        </w:rPr>
        <w:br/>
      </w:r>
      <w:r w:rsidR="006347CF">
        <w:rPr>
          <w:sz w:val="18"/>
          <w:szCs w:val="18"/>
        </w:rPr>
        <w:br/>
      </w:r>
      <w:r>
        <w:rPr>
          <w:sz w:val="18"/>
          <w:szCs w:val="18"/>
        </w:rPr>
        <w:t>Magalie Achim</w:t>
      </w:r>
      <w:r w:rsidR="001A3B3D" w:rsidRPr="00F847A6">
        <w:rPr>
          <w:sz w:val="18"/>
          <w:szCs w:val="18"/>
        </w:rPr>
        <w:br/>
      </w:r>
      <w:r>
        <w:rPr>
          <w:sz w:val="18"/>
          <w:szCs w:val="18"/>
        </w:rPr>
        <w:t xml:space="preserve">Faculty of Medicine and health  sciences          </w:t>
      </w:r>
      <w:r w:rsidRPr="00F847A6">
        <w:rPr>
          <w:sz w:val="18"/>
          <w:szCs w:val="18"/>
        </w:rPr>
        <w:br/>
      </w:r>
      <w:r>
        <w:rPr>
          <w:sz w:val="18"/>
          <w:szCs w:val="18"/>
        </w:rPr>
        <w:t>McGill University</w:t>
      </w:r>
      <w:r w:rsidRPr="00F847A6">
        <w:rPr>
          <w:i/>
          <w:sz w:val="18"/>
          <w:szCs w:val="18"/>
        </w:rPr>
        <w:br/>
      </w:r>
      <w:r>
        <w:rPr>
          <w:sz w:val="18"/>
          <w:szCs w:val="18"/>
        </w:rPr>
        <w:t>Montreal, QC</w:t>
      </w:r>
      <w:r w:rsidR="001A3B3D" w:rsidRPr="00F847A6">
        <w:rPr>
          <w:sz w:val="18"/>
          <w:szCs w:val="18"/>
        </w:rPr>
        <w:br/>
      </w:r>
      <w:hyperlink r:id="rId11" w:history="1">
        <w:r w:rsidRPr="00631020">
          <w:rPr>
            <w:rStyle w:val="Hyperlink"/>
            <w:sz w:val="18"/>
            <w:szCs w:val="18"/>
          </w:rPr>
          <w:t>magalie.achim@mail.mcgill.ca</w:t>
        </w:r>
      </w:hyperlink>
      <w:r>
        <w:rPr>
          <w:sz w:val="18"/>
          <w:szCs w:val="18"/>
        </w:rPr>
        <w:t xml:space="preserve"> </w:t>
      </w:r>
      <w:r>
        <w:rPr>
          <w:sz w:val="18"/>
          <w:szCs w:val="18"/>
        </w:rPr>
        <w:br/>
      </w:r>
      <w:r w:rsidR="006347CF">
        <w:rPr>
          <w:sz w:val="18"/>
          <w:szCs w:val="18"/>
        </w:rPr>
        <w:br/>
      </w:r>
      <w:r w:rsidR="006347CF">
        <w:rPr>
          <w:sz w:val="18"/>
          <w:szCs w:val="18"/>
        </w:rPr>
        <w:br/>
      </w:r>
      <w:r>
        <w:rPr>
          <w:sz w:val="18"/>
          <w:szCs w:val="18"/>
        </w:rPr>
        <w:t>Larissa Chiu</w:t>
      </w:r>
      <w:r w:rsidR="001A3B3D" w:rsidRPr="00F847A6">
        <w:rPr>
          <w:sz w:val="18"/>
          <w:szCs w:val="18"/>
        </w:rPr>
        <w:br/>
      </w:r>
      <w:r>
        <w:rPr>
          <w:sz w:val="18"/>
          <w:szCs w:val="18"/>
        </w:rPr>
        <w:t xml:space="preserve">Faculty of Medicine and health  sciences          </w:t>
      </w:r>
      <w:r w:rsidRPr="00F847A6">
        <w:rPr>
          <w:sz w:val="18"/>
          <w:szCs w:val="18"/>
        </w:rPr>
        <w:br/>
      </w:r>
      <w:r>
        <w:rPr>
          <w:sz w:val="18"/>
          <w:szCs w:val="18"/>
        </w:rPr>
        <w:t>McGill University</w:t>
      </w:r>
      <w:r w:rsidRPr="00F847A6">
        <w:rPr>
          <w:i/>
          <w:sz w:val="18"/>
          <w:szCs w:val="18"/>
        </w:rPr>
        <w:br/>
      </w:r>
      <w:r>
        <w:rPr>
          <w:sz w:val="18"/>
          <w:szCs w:val="18"/>
        </w:rPr>
        <w:t>Montreal, QC</w:t>
      </w:r>
      <w:r w:rsidR="001A3B3D" w:rsidRPr="00F847A6">
        <w:rPr>
          <w:sz w:val="18"/>
          <w:szCs w:val="18"/>
        </w:rPr>
        <w:br/>
      </w:r>
      <w:hyperlink r:id="rId12" w:history="1">
        <w:r w:rsidRPr="00631020">
          <w:rPr>
            <w:rStyle w:val="Hyperlink"/>
            <w:sz w:val="18"/>
            <w:szCs w:val="18"/>
          </w:rPr>
          <w:t>larissa.chiu@mail.mcgill.ca</w:t>
        </w:r>
      </w:hyperlink>
      <w:r>
        <w:rPr>
          <w:sz w:val="18"/>
          <w:szCs w:val="18"/>
        </w:rPr>
        <w:t xml:space="preserve"> </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7FFFA702" w14:textId="45BBA03B" w:rsidR="009303D9" w:rsidRPr="00D632BE" w:rsidRDefault="009303D9" w:rsidP="006B6B66">
      <w:pPr>
        <w:pStyle w:val="Heading1"/>
      </w:pPr>
      <w:r w:rsidRPr="00D632BE">
        <w:t xml:space="preserve">Introduction </w:t>
      </w:r>
      <w:r w:rsidR="00633C75">
        <w:t>and clinical significance</w:t>
      </w:r>
    </w:p>
    <w:p w14:paraId="0DB6F576" w14:textId="6F67D6CE" w:rsidR="009303D9" w:rsidRDefault="007046EF" w:rsidP="00E7596C">
      <w:pPr>
        <w:pStyle w:val="BodyText"/>
      </w:pPr>
      <w:r>
        <w:t xml:space="preserve">Hospital readmission withing 30 days of discharge is an important healthcare challenge, contributing to higher healthcare costs. </w:t>
      </w:r>
      <w:hyperlink r:id="rId13" w:history="1">
        <w:r w:rsidRPr="008C0A58">
          <w:rPr>
            <w:rStyle w:val="Hyperlink"/>
          </w:rPr>
          <w:t>https://diabetesjo</w:t>
        </w:r>
        <w:r w:rsidRPr="008C0A58">
          <w:rPr>
            <w:rStyle w:val="Hyperlink"/>
          </w:rPr>
          <w:t>u</w:t>
        </w:r>
        <w:r w:rsidRPr="008C0A58">
          <w:rPr>
            <w:rStyle w:val="Hyperlink"/>
          </w:rPr>
          <w:t>rnals.org/care/article/49/Supplement_1/S339/163925/16-Diabetes-Care-in-the-Hospital-Standards-of-Care</w:t>
        </w:r>
      </w:hyperlink>
      <w:r>
        <w:t xml:space="preserve"> </w:t>
      </w:r>
      <w:hyperlink r:id="rId14" w:history="1">
        <w:r w:rsidRPr="008C0A58">
          <w:rPr>
            <w:rStyle w:val="Hyperlink"/>
          </w:rPr>
          <w:t>https://www.mdpi.com/2077-0383/11/6/1471</w:t>
        </w:r>
      </w:hyperlink>
      <w:r>
        <w:t xml:space="preserve"> </w:t>
      </w:r>
      <w:r w:rsidR="00814F98">
        <w:t xml:space="preserve">Patients with diabetes are particularly vulnerable, </w:t>
      </w:r>
      <w:r>
        <w:t xml:space="preserve"> </w:t>
      </w:r>
      <w:r w:rsidR="00814F98">
        <w:t xml:space="preserve">with reported readmissions ranging between 14-20%, nearly twice those of patients without diabetes. </w:t>
      </w:r>
      <w:hyperlink r:id="rId15" w:history="1">
        <w:r w:rsidR="00814F98" w:rsidRPr="008C0A58">
          <w:rPr>
            <w:rStyle w:val="Hyperlink"/>
          </w:rPr>
          <w:t>https://diabetesjournals.org/care/article/49/Supplement_1/S339/163925/16-Diabetes-Care-in-the-Hospital-Standards-of-Care</w:t>
        </w:r>
      </w:hyperlink>
      <w:r w:rsidR="00814F98">
        <w:t xml:space="preserve">  Factors associated with readmission include comorbidity burden, socioeconomic characteristics, and previous hospitalizations, highlighting the complexity of managing this population. </w:t>
      </w:r>
      <w:hyperlink r:id="rId16" w:history="1">
        <w:r w:rsidR="00814F98" w:rsidRPr="008C0A58">
          <w:rPr>
            <w:rStyle w:val="Hyperlink"/>
          </w:rPr>
          <w:t>https://diabetesjournals.org/care/article/49/Supplement_1/S339/163925/16-Diabetes-Care-in-the-Hospital-Standards-of-Care</w:t>
        </w:r>
      </w:hyperlink>
      <w:r w:rsidR="00814F98">
        <w:t xml:space="preserve"> Additionally, </w:t>
      </w:r>
      <w:r w:rsidR="00471A38">
        <w:t xml:space="preserve">transitioning from inpatient to outpatient care requires appropriate discharge planning, timely follow-up and medication management to reduce avoidable readmissions. </w:t>
      </w:r>
      <w:hyperlink r:id="rId17" w:history="1">
        <w:r w:rsidR="00471A38" w:rsidRPr="008C0A58">
          <w:rPr>
            <w:rStyle w:val="Hyperlink"/>
          </w:rPr>
          <w:t>https://diabetesjournals.org/care/article/49/Supplement_1/S339/163925/16-Diabetes-Care-in-the-Hospital-Standards-of-Care</w:t>
        </w:r>
      </w:hyperlink>
      <w:r w:rsidR="00471A38">
        <w:t xml:space="preserve"> </w:t>
      </w:r>
      <w:hyperlink r:id="rId18" w:history="1">
        <w:r w:rsidR="00471A38" w:rsidRPr="008C0A58">
          <w:rPr>
            <w:rStyle w:val="Hyperlink"/>
          </w:rPr>
          <w:t>https://www.mdpi.com/2077-0383/11/6/1471</w:t>
        </w:r>
      </w:hyperlink>
    </w:p>
    <w:p w14:paraId="45F9D8B2" w14:textId="6856254C" w:rsidR="00471A38" w:rsidRDefault="00471A38" w:rsidP="00E7596C">
      <w:pPr>
        <w:pStyle w:val="BodyText"/>
      </w:pPr>
      <w:r>
        <w:t>Early identification of vulnerable patients could help healthcare professionals optimize resource allocation and targeted interventions. Recent studies have explored statistical and machine-learning approaches to predicting 30-day readmission among patients with diabetes, showing their potential and highlighting potential challenges</w:t>
      </w:r>
      <w:r w:rsidR="00D61EB0">
        <w:t xml:space="preserve"> in predictive performance. </w:t>
      </w:r>
      <w:hyperlink r:id="rId19" w:history="1">
        <w:r w:rsidR="00D61EB0" w:rsidRPr="008C0A58">
          <w:rPr>
            <w:rStyle w:val="Hyperlink"/>
          </w:rPr>
          <w:t>https://onlinelibrary.wiley.com/doi/10.1155/jdr/3148242</w:t>
        </w:r>
      </w:hyperlink>
      <w:r w:rsidR="00D61EB0">
        <w:t xml:space="preserve"> </w:t>
      </w:r>
      <w:hyperlink r:id="rId20" w:history="1">
        <w:r w:rsidR="00D61EB0" w:rsidRPr="008C0A58">
          <w:rPr>
            <w:rStyle w:val="Hyperlink"/>
          </w:rPr>
          <w:t>https://www.cureus.com/articles/358756-predicting-30-day-hospital-readmission-in-patients-with-diabetes-using-machine-learning-on-electronic-health-record-data#!/</w:t>
        </w:r>
      </w:hyperlink>
      <w:r w:rsidR="00D61EB0">
        <w:t xml:space="preserve"> </w:t>
      </w:r>
    </w:p>
    <w:p w14:paraId="3147C622" w14:textId="4EECDE7B" w:rsidR="00D61EB0" w:rsidRPr="005B520E" w:rsidRDefault="00D61EB0" w:rsidP="00D61EB0">
      <w:pPr>
        <w:pStyle w:val="BodyText"/>
      </w:pPr>
      <w:r>
        <w:t>Therefore, this study aims to develop and compare statistical and machine-learning models for predicting 30-day hospital readmission among patients with diabetes using routinely collected clinical data, while emphasizing robust evaluation and model interpretability.</w:t>
      </w:r>
    </w:p>
    <w:p w14:paraId="3EF35B8D" w14:textId="57DB5483" w:rsidR="009303D9" w:rsidRPr="006B6B66" w:rsidRDefault="00D61EB0" w:rsidP="006B6B66">
      <w:pPr>
        <w:pStyle w:val="Heading1"/>
      </w:pPr>
      <w:r>
        <w:t xml:space="preserve">Litterature review and related work </w:t>
      </w:r>
    </w:p>
    <w:p w14:paraId="190C0618" w14:textId="03479405" w:rsidR="009303D9" w:rsidRDefault="00D61EB0" w:rsidP="00ED0149">
      <w:pPr>
        <w:pStyle w:val="Heading2"/>
      </w:pPr>
      <w:r>
        <w:t xml:space="preserve">Existing research on hospital readmission prediction </w:t>
      </w:r>
    </w:p>
    <w:p w14:paraId="7D528056" w14:textId="77777777" w:rsidR="009303D9" w:rsidRDefault="009303D9" w:rsidP="00E7596C">
      <w:pPr>
        <w:pStyle w:val="BodyText"/>
      </w:pPr>
      <w:r w:rsidRPr="005B520E">
        <w:t>First, confirm that you have the correct template for your paper size. This template has been tailored for output on the US-letter paper size. If you are using A4-sized paper, please close this</w:t>
      </w:r>
      <w:r w:rsidR="00ED0149">
        <w:t xml:space="preserve"> file and download the file </w:t>
      </w:r>
      <w:r w:rsidRPr="005B520E">
        <w:t>“</w:t>
      </w:r>
      <w:r w:rsidR="00B11A60" w:rsidRPr="005B520E">
        <w:t>MSW_A4_format</w:t>
      </w:r>
      <w:r w:rsidRPr="005B520E">
        <w:t>”.</w:t>
      </w:r>
    </w:p>
    <w:p w14:paraId="6112573B" w14:textId="77777777" w:rsidR="006347CF" w:rsidRPr="005B520E" w:rsidRDefault="006347CF" w:rsidP="00E7596C">
      <w:pPr>
        <w:pStyle w:val="BodyText"/>
      </w:pPr>
    </w:p>
    <w:p w14:paraId="17A9532B" w14:textId="7A16AE02" w:rsidR="009303D9" w:rsidRPr="005B520E" w:rsidRDefault="00D61EB0" w:rsidP="00ED0149">
      <w:pPr>
        <w:pStyle w:val="Heading2"/>
      </w:pPr>
      <w:r>
        <w:t xml:space="preserve">Machine-learning approches used in previous studies </w:t>
      </w:r>
    </w:p>
    <w:p w14:paraId="4E992BC6" w14:textId="77777777" w:rsidR="009303D9" w:rsidRDefault="009303D9" w:rsidP="00E7596C">
      <w:pPr>
        <w:pStyle w:val="BodyText"/>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06A22929" w14:textId="77777777" w:rsidR="00D61EB0" w:rsidRDefault="00D61EB0" w:rsidP="00E7596C">
      <w:pPr>
        <w:pStyle w:val="BodyText"/>
      </w:pPr>
    </w:p>
    <w:p w14:paraId="547AB73E" w14:textId="779F93C4" w:rsidR="00D61EB0" w:rsidRDefault="00D61EB0" w:rsidP="00D61EB0">
      <w:pPr>
        <w:pStyle w:val="Heading2"/>
      </w:pPr>
      <w:r>
        <w:t xml:space="preserve">Methodological limitations of existing research </w:t>
      </w:r>
    </w:p>
    <w:p w14:paraId="23ADCB12" w14:textId="179C674B" w:rsidR="00754F98" w:rsidRDefault="00754F98" w:rsidP="00754F98">
      <w:pPr>
        <w:jc w:val="both"/>
      </w:pPr>
      <w:proofErr w:type="spellStart"/>
      <w:r>
        <w:t>Hygftbhjgftgbh</w:t>
      </w:r>
      <w:proofErr w:type="spellEnd"/>
    </w:p>
    <w:p w14:paraId="0C2ED9BC" w14:textId="77777777" w:rsidR="00754F98" w:rsidRDefault="00754F98" w:rsidP="00754F98">
      <w:pPr>
        <w:jc w:val="both"/>
      </w:pPr>
    </w:p>
    <w:p w14:paraId="5F6EAA8B" w14:textId="623B58B0" w:rsidR="00754F98" w:rsidRPr="00754F98" w:rsidRDefault="00754F98" w:rsidP="00754F98">
      <w:pPr>
        <w:pStyle w:val="Heading2"/>
      </w:pPr>
      <w:r>
        <w:t xml:space="preserve">Rationale for the current study </w:t>
      </w:r>
    </w:p>
    <w:p w14:paraId="65313B9F" w14:textId="77777777" w:rsidR="009303D9" w:rsidRDefault="009303D9" w:rsidP="006B6B66">
      <w:pPr>
        <w:pStyle w:val="Heading1"/>
      </w:pPr>
      <w:r>
        <w:t xml:space="preserve">Prepare Your Paper </w:t>
      </w:r>
      <w:r w:rsidRPr="005B520E">
        <w:t>Before</w:t>
      </w:r>
      <w:r>
        <w:t xml:space="preserve"> Styling</w:t>
      </w:r>
    </w:p>
    <w:p w14:paraId="2CC923CC"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3B6F0534"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D27694B" w14:textId="77777777" w:rsidR="009303D9" w:rsidRDefault="009303D9" w:rsidP="00ED0149">
      <w:pPr>
        <w:pStyle w:val="Heading2"/>
      </w:pPr>
      <w:r w:rsidRPr="00ED0149">
        <w:t>Abbreviations</w:t>
      </w:r>
      <w:r>
        <w:t xml:space="preserve"> and Acronyms</w:t>
      </w:r>
    </w:p>
    <w:p w14:paraId="5BFF2E12"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xml:space="preserve">, dc, and rms do </w:t>
      </w:r>
      <w:r w:rsidRPr="005B520E">
        <w:lastRenderedPageBreak/>
        <w:t>not have to be defined. Do not use abbreviations in the title or heads unless they are unavoidable.</w:t>
      </w:r>
    </w:p>
    <w:p w14:paraId="679761D9" w14:textId="77777777" w:rsidR="009303D9" w:rsidRDefault="009303D9" w:rsidP="00ED0149">
      <w:pPr>
        <w:pStyle w:val="Heading2"/>
      </w:pPr>
      <w:r>
        <w:t>Units</w:t>
      </w:r>
    </w:p>
    <w:p w14:paraId="35919E98"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E7E021D"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3323E4A8" w14:textId="77777777" w:rsidR="009303D9" w:rsidRPr="005B520E" w:rsidRDefault="009303D9" w:rsidP="00E7596C">
      <w:pPr>
        <w:pStyle w:val="bulletlist"/>
      </w:pPr>
      <w:r w:rsidRPr="005B520E">
        <w:t xml:space="preserve">Do not mix complete spellings and abbreviations of units: “Wb/m2” or “webers per square meter”, not “webers/m2”.  Spell out units when they appear in text: “. . . a few </w:t>
      </w:r>
      <w:proofErr w:type="spellStart"/>
      <w:r w:rsidRPr="005B520E">
        <w:t>henries</w:t>
      </w:r>
      <w:proofErr w:type="spellEnd"/>
      <w:r w:rsidRPr="005B520E">
        <w:t>”, not “. . . a few H”.</w:t>
      </w:r>
    </w:p>
    <w:p w14:paraId="0307DDDF"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5FD76982" w14:textId="77777777" w:rsidR="009303D9" w:rsidRPr="005B520E" w:rsidRDefault="009303D9" w:rsidP="00ED0149">
      <w:pPr>
        <w:pStyle w:val="Heading2"/>
      </w:pPr>
      <w:r w:rsidRPr="005B520E">
        <w:t>Equations</w:t>
      </w:r>
    </w:p>
    <w:p w14:paraId="65F79497"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60C5911"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02C1D6D1"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615ACA2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309CC73" w14:textId="77777777" w:rsidR="009303D9" w:rsidRDefault="009303D9" w:rsidP="00ED0149">
      <w:pPr>
        <w:pStyle w:val="Heading2"/>
      </w:pPr>
      <w:r>
        <w:t>Some Common Mistakes</w:t>
      </w:r>
    </w:p>
    <w:p w14:paraId="59F554E8" w14:textId="77777777" w:rsidR="009303D9" w:rsidRPr="005B520E" w:rsidRDefault="009303D9" w:rsidP="00E7596C">
      <w:pPr>
        <w:pStyle w:val="bulletlist"/>
      </w:pPr>
      <w:r w:rsidRPr="005B520E">
        <w:t>The word “data” is plural, not singular.</w:t>
      </w:r>
    </w:p>
    <w:p w14:paraId="33C72F4F"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7B6EBA2B" w14:textId="77777777"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w:t>
      </w:r>
      <w:r w:rsidRPr="005B520E">
        <w:t>outside of the quotation marks. A parenthetical phrase or statement at the end of a sentence is punctuated outside of the closing parenthesis (like this). (A parenthetical sentence is punctuated within the parentheses.)</w:t>
      </w:r>
    </w:p>
    <w:p w14:paraId="61E906F8"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43BD41F8" w14:textId="77777777" w:rsidR="009303D9" w:rsidRPr="005B520E" w:rsidRDefault="009303D9" w:rsidP="00E7596C">
      <w:pPr>
        <w:pStyle w:val="bulletlist"/>
      </w:pPr>
      <w:r w:rsidRPr="005B520E">
        <w:t>Do not use the word “essentially” to mean “approximately” or “effectively”.</w:t>
      </w:r>
    </w:p>
    <w:p w14:paraId="4E9893D2"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4E6BB921"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15A9F8AA" w14:textId="77777777" w:rsidR="009303D9" w:rsidRPr="005B520E" w:rsidRDefault="009303D9" w:rsidP="00E7596C">
      <w:pPr>
        <w:pStyle w:val="bulletlist"/>
      </w:pPr>
      <w:r w:rsidRPr="005B520E">
        <w:t>Do not confuse “imply” and “infer”.</w:t>
      </w:r>
    </w:p>
    <w:p w14:paraId="34B544C9" w14:textId="77777777" w:rsidR="009303D9" w:rsidRPr="005B520E" w:rsidRDefault="009303D9" w:rsidP="00E7596C">
      <w:pPr>
        <w:pStyle w:val="bulletlist"/>
      </w:pPr>
      <w:r w:rsidRPr="005B520E">
        <w:t>The prefix “non” is not a word; it should be joined to the word it modifies, usually without a hyphen.</w:t>
      </w:r>
    </w:p>
    <w:p w14:paraId="291CA13F" w14:textId="77777777" w:rsidR="009303D9" w:rsidRPr="005B520E" w:rsidRDefault="009303D9" w:rsidP="00E7596C">
      <w:pPr>
        <w:pStyle w:val="bulletlist"/>
      </w:pPr>
      <w:r w:rsidRPr="005B520E">
        <w:t>There is no period after the “et” in the Latin abbreviation “et al.”.</w:t>
      </w:r>
    </w:p>
    <w:p w14:paraId="4A62B9A4" w14:textId="77777777" w:rsidR="009303D9" w:rsidRPr="005B520E" w:rsidRDefault="009303D9" w:rsidP="00E7596C">
      <w:pPr>
        <w:pStyle w:val="bulletlist"/>
      </w:pPr>
      <w:r w:rsidRPr="005B520E">
        <w:t>The abbreviation “i.e.” means “that is”, and the abbreviation “e.g.” means “for example”.</w:t>
      </w:r>
    </w:p>
    <w:p w14:paraId="4878948E" w14:textId="77777777" w:rsidR="009303D9" w:rsidRPr="005B520E" w:rsidRDefault="009303D9" w:rsidP="00E7596C">
      <w:pPr>
        <w:pStyle w:val="BodyText"/>
      </w:pPr>
      <w:r w:rsidRPr="005B520E">
        <w:t>An excellent style manual for science writers is [7].</w:t>
      </w:r>
    </w:p>
    <w:p w14:paraId="54E7EC78" w14:textId="77777777" w:rsidR="009303D9" w:rsidRDefault="009303D9" w:rsidP="006B6B66">
      <w:pPr>
        <w:pStyle w:val="Heading1"/>
      </w:pPr>
      <w:r>
        <w:t xml:space="preserve">Using the </w:t>
      </w:r>
      <w:r w:rsidRPr="005B520E">
        <w:t>Template</w:t>
      </w:r>
    </w:p>
    <w:p w14:paraId="60678C1C"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F770A2D" w14:textId="77777777" w:rsidR="009303D9" w:rsidRDefault="009303D9" w:rsidP="00ED0149">
      <w:pPr>
        <w:pStyle w:val="Heading2"/>
      </w:pPr>
      <w:r w:rsidRPr="005B520E">
        <w:t>Authors</w:t>
      </w:r>
      <w:r>
        <w:t xml:space="preserve"> and Affiliations</w:t>
      </w:r>
    </w:p>
    <w:p w14:paraId="14CE51CB"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A248C85"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772FB7DC"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7CAD6230"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229CC19A"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BBF5A7" w14:textId="77777777" w:rsidR="007D6232" w:rsidRDefault="009303D9" w:rsidP="007D6232">
      <w:pPr>
        <w:pStyle w:val="Heading4"/>
        <w:rPr>
          <w:i w:val="0"/>
        </w:rPr>
      </w:pPr>
      <w:r w:rsidRPr="005B520E">
        <w:lastRenderedPageBreak/>
        <w:t xml:space="preserve">Deletion: </w:t>
      </w:r>
      <w:r w:rsidRPr="00FA4C32">
        <w:rPr>
          <w:i w:val="0"/>
        </w:rPr>
        <w:t xml:space="preserve">Delete the author and affiliation lines for the </w:t>
      </w:r>
      <w:r w:rsidR="00354FCF">
        <w:rPr>
          <w:i w:val="0"/>
        </w:rPr>
        <w:t>extra authors.</w:t>
      </w:r>
    </w:p>
    <w:p w14:paraId="2FCBF72A" w14:textId="77777777" w:rsidR="006F6D3D" w:rsidRDefault="006F6D3D" w:rsidP="006F6D3D">
      <w:pPr>
        <w:jc w:val="start"/>
        <w:rPr>
          <w:i/>
          <w:iCs/>
          <w:noProof/>
        </w:rPr>
      </w:pPr>
    </w:p>
    <w:p w14:paraId="3ED5C486" w14:textId="77777777" w:rsidR="009303D9" w:rsidRDefault="009303D9" w:rsidP="00ED0149">
      <w:pPr>
        <w:pStyle w:val="Heading2"/>
      </w:pPr>
      <w:r w:rsidRPr="005B520E">
        <w:t>Identify</w:t>
      </w:r>
      <w:r>
        <w:t xml:space="preserve"> the Headings</w:t>
      </w:r>
    </w:p>
    <w:p w14:paraId="29E12059"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3CA2BDBD"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4A55D978"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5A84BA51" w14:textId="77777777" w:rsidR="009303D9" w:rsidRDefault="009303D9" w:rsidP="00ED0149">
      <w:pPr>
        <w:pStyle w:val="Heading2"/>
      </w:pPr>
      <w:r>
        <w:t>Figures and Tables</w:t>
      </w:r>
    </w:p>
    <w:p w14:paraId="30EC9A95"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FF301D8"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1278A9EF" w14:textId="77777777">
        <w:trPr>
          <w:cantSplit/>
          <w:trHeight w:val="240"/>
          <w:tblHeader/>
          <w:jc w:val="center"/>
        </w:trPr>
        <w:tc>
          <w:tcPr>
            <w:tcW w:w="36pt" w:type="dxa"/>
            <w:vMerge w:val="restart"/>
            <w:vAlign w:val="center"/>
          </w:tcPr>
          <w:p w14:paraId="289AB2C2" w14:textId="77777777" w:rsidR="009303D9" w:rsidRDefault="009303D9">
            <w:pPr>
              <w:pStyle w:val="tablecolhead"/>
            </w:pPr>
            <w:r>
              <w:t>Table Head</w:t>
            </w:r>
          </w:p>
        </w:tc>
        <w:tc>
          <w:tcPr>
            <w:tcW w:w="207pt" w:type="dxa"/>
            <w:gridSpan w:val="3"/>
            <w:vAlign w:val="center"/>
          </w:tcPr>
          <w:p w14:paraId="51C8768C" w14:textId="77777777" w:rsidR="009303D9" w:rsidRDefault="009303D9">
            <w:pPr>
              <w:pStyle w:val="tablecolhead"/>
            </w:pPr>
            <w:r>
              <w:t>Table Column Head</w:t>
            </w:r>
          </w:p>
        </w:tc>
      </w:tr>
      <w:tr w:rsidR="009303D9" w14:paraId="6C4244AA" w14:textId="77777777">
        <w:trPr>
          <w:cantSplit/>
          <w:trHeight w:val="240"/>
          <w:tblHeader/>
          <w:jc w:val="center"/>
        </w:trPr>
        <w:tc>
          <w:tcPr>
            <w:tcW w:w="36pt" w:type="dxa"/>
            <w:vMerge/>
          </w:tcPr>
          <w:p w14:paraId="3A1BFDD5" w14:textId="77777777" w:rsidR="009303D9" w:rsidRDefault="009303D9">
            <w:pPr>
              <w:rPr>
                <w:sz w:val="16"/>
                <w:szCs w:val="16"/>
              </w:rPr>
            </w:pPr>
          </w:p>
        </w:tc>
        <w:tc>
          <w:tcPr>
            <w:tcW w:w="117pt" w:type="dxa"/>
            <w:vAlign w:val="center"/>
          </w:tcPr>
          <w:p w14:paraId="5EE59D35" w14:textId="77777777" w:rsidR="009303D9" w:rsidRDefault="009303D9">
            <w:pPr>
              <w:pStyle w:val="tablecolsubhead"/>
            </w:pPr>
            <w:r>
              <w:t>Table column subhead</w:t>
            </w:r>
          </w:p>
        </w:tc>
        <w:tc>
          <w:tcPr>
            <w:tcW w:w="45pt" w:type="dxa"/>
            <w:vAlign w:val="center"/>
          </w:tcPr>
          <w:p w14:paraId="29CCE960" w14:textId="77777777" w:rsidR="009303D9" w:rsidRDefault="009303D9">
            <w:pPr>
              <w:pStyle w:val="tablecolsubhead"/>
            </w:pPr>
            <w:r>
              <w:t>Subhead</w:t>
            </w:r>
          </w:p>
        </w:tc>
        <w:tc>
          <w:tcPr>
            <w:tcW w:w="45pt" w:type="dxa"/>
            <w:vAlign w:val="center"/>
          </w:tcPr>
          <w:p w14:paraId="3521C9AA" w14:textId="77777777" w:rsidR="009303D9" w:rsidRDefault="009303D9">
            <w:pPr>
              <w:pStyle w:val="tablecolsubhead"/>
            </w:pPr>
            <w:r>
              <w:t>Subhead</w:t>
            </w:r>
          </w:p>
        </w:tc>
      </w:tr>
      <w:tr w:rsidR="009303D9" w14:paraId="2694D18A" w14:textId="77777777">
        <w:trPr>
          <w:trHeight w:val="320"/>
          <w:jc w:val="center"/>
        </w:trPr>
        <w:tc>
          <w:tcPr>
            <w:tcW w:w="36pt" w:type="dxa"/>
            <w:vAlign w:val="center"/>
          </w:tcPr>
          <w:p w14:paraId="455119A8" w14:textId="77777777" w:rsidR="009303D9" w:rsidRDefault="009303D9">
            <w:pPr>
              <w:pStyle w:val="tablecopy"/>
              <w:rPr>
                <w:sz w:val="8"/>
                <w:szCs w:val="8"/>
              </w:rPr>
            </w:pPr>
            <w:r>
              <w:t>copy</w:t>
            </w:r>
          </w:p>
        </w:tc>
        <w:tc>
          <w:tcPr>
            <w:tcW w:w="117pt" w:type="dxa"/>
            <w:vAlign w:val="center"/>
          </w:tcPr>
          <w:p w14:paraId="53520B16" w14:textId="77777777" w:rsidR="009303D9" w:rsidRDefault="009303D9">
            <w:pPr>
              <w:pStyle w:val="tablecopy"/>
            </w:pPr>
            <w:r>
              <w:t>More table copy</w:t>
            </w:r>
            <w:r>
              <w:rPr>
                <w:vertAlign w:val="superscript"/>
              </w:rPr>
              <w:t>a</w:t>
            </w:r>
          </w:p>
        </w:tc>
        <w:tc>
          <w:tcPr>
            <w:tcW w:w="45pt" w:type="dxa"/>
            <w:vAlign w:val="center"/>
          </w:tcPr>
          <w:p w14:paraId="0D8028A8" w14:textId="77777777" w:rsidR="009303D9" w:rsidRDefault="009303D9">
            <w:pPr>
              <w:rPr>
                <w:sz w:val="16"/>
                <w:szCs w:val="16"/>
              </w:rPr>
            </w:pPr>
          </w:p>
        </w:tc>
        <w:tc>
          <w:tcPr>
            <w:tcW w:w="45pt" w:type="dxa"/>
            <w:vAlign w:val="center"/>
          </w:tcPr>
          <w:p w14:paraId="08A46A75" w14:textId="77777777" w:rsidR="009303D9" w:rsidRDefault="009303D9">
            <w:pPr>
              <w:rPr>
                <w:sz w:val="16"/>
                <w:szCs w:val="16"/>
              </w:rPr>
            </w:pPr>
          </w:p>
        </w:tc>
      </w:tr>
    </w:tbl>
    <w:p w14:paraId="3637561A" w14:textId="77777777" w:rsidR="009303D9" w:rsidRPr="005B520E" w:rsidRDefault="006347CF" w:rsidP="005E2800">
      <w:pPr>
        <w:pStyle w:val="tablefootnote"/>
      </w:pPr>
      <w:r>
        <w:rPr>
          <w:noProof/>
        </w:rPr>
        <w:drawing>
          <wp:anchor distT="0" distB="0" distL="114300" distR="114300" simplePos="0" relativeHeight="251657728" behindDoc="1" locked="0" layoutInCell="1" allowOverlap="1" wp14:anchorId="381BB491" wp14:editId="19EAE509">
            <wp:simplePos x="0" y="0"/>
            <wp:positionH relativeFrom="column">
              <wp:align>right</wp:align>
            </wp:positionH>
            <wp:positionV relativeFrom="paragraph">
              <wp:posOffset>134836</wp:posOffset>
            </wp:positionV>
            <wp:extent cx="3200400" cy="1143000"/>
            <wp:effectExtent l="0" t="0" r="19050" b="19050"/>
            <wp:wrapTight wrapText="bothSides">
              <wp:wrapPolygon edited="0">
                <wp:start x="0" y="0"/>
                <wp:lineTo x="0" y="21600"/>
                <wp:lineTo x="21600" y="21600"/>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72C3C5A"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37140F81"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9303D9">
        <w:t xml:space="preserve">Sample </w:t>
      </w:r>
      <w:r w:rsidR="009303D9" w:rsidRPr="005E2800">
        <w:t>of</w:t>
      </w:r>
      <w:r w:rsidR="009303D9">
        <w:t xml:space="preserve"> a </w:t>
      </w:r>
      <w:r w:rsidR="009303D9" w:rsidRPr="005B520E">
        <w:t>Table</w:t>
      </w:r>
      <w:r w:rsidR="009303D9">
        <w:t xml:space="preserve"> </w:t>
      </w:r>
      <w:r w:rsidR="009303D9" w:rsidRPr="003A19E2">
        <w:t>footnote</w:t>
      </w:r>
      <w:r w:rsidR="009303D9">
        <w:t xml:space="preserve">. </w:t>
      </w:r>
      <w:r w:rsidR="009303D9" w:rsidRPr="005B520E">
        <w:t>(</w:t>
      </w:r>
      <w:r w:rsidR="009303D9" w:rsidRPr="005B0344">
        <w:rPr>
          <w:i/>
        </w:rPr>
        <w:t>Table footnote</w:t>
      </w:r>
      <w:r w:rsidR="009303D9" w:rsidRPr="005B520E">
        <w:t>)</w:t>
      </w:r>
    </w:p>
    <w:p w14:paraId="03EEFB6A"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022FCE6E" w14:textId="77777777" w:rsidR="0080791D" w:rsidRPr="005B520E" w:rsidRDefault="009303D9" w:rsidP="00E7596C">
      <w:pPr>
        <w:pStyle w:val="BodyText"/>
      </w:pPr>
      <w:r w:rsidRPr="005B520E">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w:t>
      </w:r>
      <w:r w:rsidRPr="005B520E">
        <w:t>“Magnetization {A[m(1)]}”, not just “A/m”. Do not label axes</w:t>
      </w:r>
      <w:r w:rsidR="0080791D">
        <w:t xml:space="preserve"> </w:t>
      </w:r>
      <w:r w:rsidR="0080791D" w:rsidRPr="005B520E">
        <w:t>with a ratio of quantities and units. For example, write “Temperature (K)”, not “Temperature/K”.</w:t>
      </w:r>
    </w:p>
    <w:p w14:paraId="7F0EF8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7C7060F5" w14:textId="77777777" w:rsidR="00575BCA" w:rsidRDefault="0080791D" w:rsidP="001A42EA">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r w:rsidR="001A42EA">
        <w:t xml:space="preserve"> </w:t>
      </w:r>
    </w:p>
    <w:p w14:paraId="7E448512" w14:textId="77777777" w:rsidR="009303D9" w:rsidRDefault="009303D9" w:rsidP="00A059B3">
      <w:pPr>
        <w:pStyle w:val="Heading5"/>
      </w:pPr>
      <w:r w:rsidRPr="005B520E">
        <w:t>References</w:t>
      </w:r>
    </w:p>
    <w:p w14:paraId="25B1FD4D"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84F2CE5"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507A1054"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5D136C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762EC548" w14:textId="77777777" w:rsidR="009303D9" w:rsidRPr="005B520E" w:rsidRDefault="009303D9"/>
    <w:p w14:paraId="7B535177"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46693B3D" w14:textId="77777777" w:rsidR="009303D9" w:rsidRDefault="009303D9" w:rsidP="0004781E">
      <w:pPr>
        <w:pStyle w:val="references"/>
        <w:ind w:start="17.70pt" w:hanging="17.70pt"/>
      </w:pPr>
      <w:r>
        <w:t>J. Clerk Maxwell, A Treatise on Electricity and Magnetism, 3rd ed., vol. 2. Oxford: Clarendon, 1892, pp.68–73.</w:t>
      </w:r>
    </w:p>
    <w:p w14:paraId="4E127A7C"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35F1D365" w14:textId="77777777" w:rsidR="009303D9" w:rsidRDefault="009303D9" w:rsidP="0004781E">
      <w:pPr>
        <w:pStyle w:val="references"/>
        <w:ind w:start="17.70pt" w:hanging="17.70pt"/>
      </w:pPr>
      <w:r>
        <w:t>K. Elissa, “Title of paper if known,” unpublished.</w:t>
      </w:r>
    </w:p>
    <w:p w14:paraId="19479632" w14:textId="77777777" w:rsidR="009303D9" w:rsidRDefault="009303D9" w:rsidP="0004781E">
      <w:pPr>
        <w:pStyle w:val="references"/>
        <w:ind w:start="17.70pt" w:hanging="17.70pt"/>
      </w:pPr>
      <w:r>
        <w:t>R. Nicole, “Title of paper with only first word capitalized,” J. Name Stand. Abbrev., in press.</w:t>
      </w:r>
    </w:p>
    <w:p w14:paraId="6A59C119"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03CAF9EC" w14:textId="77777777" w:rsidR="00156B74" w:rsidRDefault="009303D9" w:rsidP="00156B74">
      <w:pPr>
        <w:pStyle w:val="references"/>
        <w:ind w:start="17.70pt" w:hanging="17.70pt"/>
      </w:pPr>
      <w:r>
        <w:t>M. Young, The Technical Writer</w:t>
      </w:r>
      <w:r w:rsidR="00E7596C">
        <w:t>’</w:t>
      </w:r>
      <w:r>
        <w:t>s Handbook. Mill Valley, CA: University Science, 1989.</w:t>
      </w:r>
    </w:p>
    <w:p w14:paraId="095CD6D1" w14:textId="77777777" w:rsidR="00156B74" w:rsidRPr="00156B74" w:rsidRDefault="00156B74" w:rsidP="00156B74">
      <w:pPr>
        <w:pStyle w:val="references"/>
        <w:ind w:start="17.70pt" w:hanging="17.70pt"/>
        <w:rPr>
          <w:rFonts w:ascii="NimbusRomNo9L-Regu" w:eastAsia="NimbusRomNo9L-Regu" w:cs="NimbusRomNo9L-Regu"/>
        </w:rPr>
      </w:pPr>
      <w:r w:rsidRPr="00156B74">
        <w:rPr>
          <w:rFonts w:ascii="NimbusRomNo9L-Regu" w:eastAsia="NimbusRomNo9L-Regu" w:cs="NimbusRomNo9L-Regu"/>
        </w:rPr>
        <w:t xml:space="preserve"> </w:t>
      </w: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21" w:history="1">
        <w:r w:rsidRPr="00156B74">
          <w:t>https://codeocean.com/capsule/4989235/tree</w:t>
        </w:r>
      </w:hyperlink>
      <w:r>
        <w:t xml:space="preserve"> </w:t>
      </w:r>
    </w:p>
    <w:p w14:paraId="02A693BF" w14:textId="77777777" w:rsidR="00156B74" w:rsidRDefault="00156B74" w:rsidP="00156B74">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22" w:history="1">
        <w:r w:rsidRPr="00156B74">
          <w:t>https://arxiv.org/abs/1312.6114</w:t>
        </w:r>
      </w:hyperlink>
    </w:p>
    <w:p w14:paraId="2E399E5B" w14:textId="78F18DC4" w:rsidR="00156B74" w:rsidRDefault="00156B74" w:rsidP="00156B74">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3B8DFCE8" w14:textId="7921C274" w:rsidR="00156B74" w:rsidRPr="00156B74" w:rsidRDefault="00156B74" w:rsidP="00156B74">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lastRenderedPageBreak/>
        <w:t>Abuse and Mental Health Services Administration, Office of Applied Studies, August, 2013, DOI:10.3886/ICPSR30122.v2</w:t>
      </w:r>
    </w:p>
    <w:p w14:paraId="2A5DE92A" w14:textId="77777777" w:rsidR="009303D9" w:rsidRPr="00F96569" w:rsidRDefault="001A42EA"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w:t>
      </w:r>
      <w:r w:rsidRPr="00F96569">
        <w:rPr>
          <w:rFonts w:eastAsia="SimSun"/>
          <w:b/>
          <w:noProof w:val="0"/>
          <w:color w:val="FF0000"/>
          <w:spacing w:val="-1"/>
          <w:sz w:val="20"/>
          <w:szCs w:val="20"/>
          <w:lang w:val="x-none" w:eastAsia="x-none"/>
        </w:rPr>
        <w:t xml:space="preserve">conference paper prior to submission to the conference. Failure to remove template text from your paper </w:t>
      </w:r>
      <w:r w:rsidR="00A83751">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6FC6C90C"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05659DA9" w14:textId="77777777" w:rsidR="00006005" w:rsidRDefault="00006005" w:rsidP="001A3B3D">
      <w:r>
        <w:separator/>
      </w:r>
    </w:p>
  </w:endnote>
  <w:endnote w:type="continuationSeparator" w:id="0">
    <w:p w14:paraId="020C6A42" w14:textId="77777777" w:rsidR="00006005" w:rsidRDefault="0000600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22221F62" w14:textId="1F01F7E0"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6A1D9A63" w14:textId="77777777" w:rsidR="00006005" w:rsidRDefault="00006005" w:rsidP="001A3B3D">
      <w:r>
        <w:separator/>
      </w:r>
    </w:p>
  </w:footnote>
  <w:footnote w:type="continuationSeparator" w:id="0">
    <w:p w14:paraId="27F52A85" w14:textId="77777777" w:rsidR="00006005" w:rsidRDefault="0000600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005"/>
    <w:rsid w:val="0004781E"/>
    <w:rsid w:val="0008758A"/>
    <w:rsid w:val="000C1E68"/>
    <w:rsid w:val="000C6087"/>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71A38"/>
    <w:rsid w:val="004D72B5"/>
    <w:rsid w:val="00547E73"/>
    <w:rsid w:val="00551B7F"/>
    <w:rsid w:val="0056610F"/>
    <w:rsid w:val="00575BCA"/>
    <w:rsid w:val="005B0344"/>
    <w:rsid w:val="005B520E"/>
    <w:rsid w:val="005E2800"/>
    <w:rsid w:val="00633C75"/>
    <w:rsid w:val="006347CF"/>
    <w:rsid w:val="00645D22"/>
    <w:rsid w:val="00651A08"/>
    <w:rsid w:val="00654204"/>
    <w:rsid w:val="00670434"/>
    <w:rsid w:val="006B6B66"/>
    <w:rsid w:val="006F6D3D"/>
    <w:rsid w:val="00704134"/>
    <w:rsid w:val="007046EF"/>
    <w:rsid w:val="00715BEA"/>
    <w:rsid w:val="00740EEA"/>
    <w:rsid w:val="00754F98"/>
    <w:rsid w:val="0077536F"/>
    <w:rsid w:val="00794804"/>
    <w:rsid w:val="007B33F1"/>
    <w:rsid w:val="007C0308"/>
    <w:rsid w:val="007C2FF2"/>
    <w:rsid w:val="007D6232"/>
    <w:rsid w:val="007F1F99"/>
    <w:rsid w:val="007F768F"/>
    <w:rsid w:val="0080791D"/>
    <w:rsid w:val="00814F98"/>
    <w:rsid w:val="00873603"/>
    <w:rsid w:val="008A2C7D"/>
    <w:rsid w:val="008C4B23"/>
    <w:rsid w:val="008F6E2C"/>
    <w:rsid w:val="009303D9"/>
    <w:rsid w:val="00933C64"/>
    <w:rsid w:val="00972203"/>
    <w:rsid w:val="009A36AF"/>
    <w:rsid w:val="009A392D"/>
    <w:rsid w:val="009F2AAB"/>
    <w:rsid w:val="00A059B3"/>
    <w:rsid w:val="00A83751"/>
    <w:rsid w:val="00AE3409"/>
    <w:rsid w:val="00B11A60"/>
    <w:rsid w:val="00B22613"/>
    <w:rsid w:val="00B7544E"/>
    <w:rsid w:val="00B80668"/>
    <w:rsid w:val="00BA1025"/>
    <w:rsid w:val="00BC3420"/>
    <w:rsid w:val="00BE7D3C"/>
    <w:rsid w:val="00BF5FF6"/>
    <w:rsid w:val="00C0207F"/>
    <w:rsid w:val="00C16117"/>
    <w:rsid w:val="00C3075A"/>
    <w:rsid w:val="00C76FFC"/>
    <w:rsid w:val="00C919A4"/>
    <w:rsid w:val="00CA4392"/>
    <w:rsid w:val="00CC393F"/>
    <w:rsid w:val="00D13749"/>
    <w:rsid w:val="00D2176E"/>
    <w:rsid w:val="00D61EB0"/>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character" w:styleId="FollowedHyperlink">
    <w:name w:val="FollowedHyperlink"/>
    <w:basedOn w:val="DefaultParagraphFont"/>
    <w:rsid w:val="00814F98"/>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iabetesjournals.org/care/article/49/Supplement_1/S339/163925/16-Diabetes-Care-in-the-Hospital-Standards-of-Care" TargetMode="External"/><Relationship Id="rId18" Type="http://purl.oclc.org/ooxml/officeDocument/relationships/hyperlink" Target="https://www.mdpi.com/2077-0383/11/6/1471" TargetMode="External"/><Relationship Id="rId3" Type="http://purl.oclc.org/ooxml/officeDocument/relationships/styles" Target="styles.xml"/><Relationship Id="rId21" Type="http://purl.oclc.org/ooxml/officeDocument/relationships/hyperlink" Target="https://codeocean.com/capsule/4989235/tree" TargetMode="External"/><Relationship Id="rId7" Type="http://purl.oclc.org/ooxml/officeDocument/relationships/endnotes" Target="endnotes.xml"/><Relationship Id="rId12" Type="http://purl.oclc.org/ooxml/officeDocument/relationships/hyperlink" Target="mailto:larissa.chiu@mail.mcgill.ca" TargetMode="External"/><Relationship Id="rId17" Type="http://purl.oclc.org/ooxml/officeDocument/relationships/hyperlink" Target="https://diabetesjournals.org/care/article/49/Supplement_1/S339/163925/16-Diabetes-Care-in-the-Hospital-Standards-of-Care" TargetMode="External"/><Relationship Id="rId2" Type="http://purl.oclc.org/ooxml/officeDocument/relationships/numbering" Target="numbering.xml"/><Relationship Id="rId16" Type="http://purl.oclc.org/ooxml/officeDocument/relationships/hyperlink" Target="https://diabetesjournals.org/care/article/49/Supplement_1/S339/163925/16-Diabetes-Care-in-the-Hospital-Standards-of-Care" TargetMode="External"/><Relationship Id="rId20" Type="http://purl.oclc.org/ooxml/officeDocument/relationships/hyperlink" Target="https://www.cureus.com/articles/358756-predicting-30-day-hospital-readmission-in-patients-with-diabetes-using-machine-learning-on-electronic-health-record-data#!/"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mailto:magalie.achim@mail.mcgill.ca" TargetMode="External"/><Relationship Id="rId24" Type="http://purl.oclc.org/ooxml/officeDocument/relationships/theme" Target="theme/theme1.xml"/><Relationship Id="rId5" Type="http://purl.oclc.org/ooxml/officeDocument/relationships/webSettings" Target="webSettings.xml"/><Relationship Id="rId15" Type="http://purl.oclc.org/ooxml/officeDocument/relationships/hyperlink" Target="https://diabetesjournals.org/care/article/49/Supplement_1/S339/163925/16-Diabetes-Care-in-the-Hospital-Standards-of-Care" TargetMode="External"/><Relationship Id="rId23" Type="http://purl.oclc.org/ooxml/officeDocument/relationships/fontTable" Target="fontTable.xml"/><Relationship Id="rId10" Type="http://purl.oclc.org/ooxml/officeDocument/relationships/hyperlink" Target="mailto:siham.khaldoun@mail.mcgill.ca" TargetMode="External"/><Relationship Id="rId19" Type="http://purl.oclc.org/ooxml/officeDocument/relationships/hyperlink" Target="https://onlinelibrary.wiley.com/doi/10.1155/jdr/3148242" TargetMode="External"/><Relationship Id="rId4" Type="http://purl.oclc.org/ooxml/officeDocument/relationships/settings" Target="settings.xml"/><Relationship Id="rId9" Type="http://purl.oclc.org/ooxml/officeDocument/relationships/hyperlink" Target="mailto:kayla.arab@mail.mcgill.ca" TargetMode="External"/><Relationship Id="rId14" Type="http://purl.oclc.org/ooxml/officeDocument/relationships/hyperlink" Target="https://www.mdpi.com/2077-0383/11/6/1471" TargetMode="External"/><Relationship Id="rId22" Type="http://purl.oclc.org/ooxml/officeDocument/relationships/hyperlink" Target="https://arxiv.org/abs/1312.6114"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47</TotalTime>
  <Pages>4</Pages>
  <Words>2475</Words>
  <Characters>14109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16551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Kayla Arab</cp:lastModifiedBy>
  <cp:revision>9</cp:revision>
  <dcterms:created xsi:type="dcterms:W3CDTF">2024-07-16T13:39:00Z</dcterms:created>
  <dcterms:modified xsi:type="dcterms:W3CDTF">2026-10-18T17:24:00Z</dcterms:modified>
</cp:coreProperties>
</file>