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spacing w:after="200" w:before="0"/>
        <w:jc w:val="center"/>
      </w:pPr>
      <w:r>
        <w:rPr>
          <w:rFonts w:ascii="Arial" w:cs="Arial" w:eastAsia="Arial" w:hAnsi="Arial"/>
          <w:b/>
          <w:bCs/>
          <w:color w:val="1F3864"/>
          <w:sz w:val="40"/>
          <w:szCs w:val="40"/>
        </w:rPr>
        <w:t xml:space="preserve">Clinical Natural Language Technology for Health Care:</w:t>
      </w:r>
    </w:p>
    <w:p>
      <w:pPr>
        <w:spacing w:after="600" w:before="0"/>
        <w:jc w:val="center"/>
      </w:pPr>
      <w:r>
        <w:rPr>
          <w:rFonts w:ascii="Arial" w:cs="Arial" w:eastAsia="Arial" w:hAnsi="Arial"/>
          <w:b/>
          <w:bCs/>
          <w:color w:val="1F3864"/>
          <w:sz w:val="36"/>
          <w:szCs w:val="36"/>
        </w:rPr>
        <w:t xml:space="preserve">Past, Present, &amp; Future Approaches</w:t>
      </w:r>
    </w:p>
    <w:p>
      <w:pPr>
        <w:spacing w:after="200" w:before="0"/>
        <w:jc w:val="center"/>
      </w:pPr>
      <w:r>
        <w:rPr>
          <w:rFonts w:ascii="Arial" w:cs="Arial" w:eastAsia="Arial" w:hAnsi="Arial"/>
          <w:i/>
          <w:iCs/>
          <w:color w:val="2E5090"/>
          <w:sz w:val="28"/>
          <w:szCs w:val="28"/>
        </w:rPr>
        <w:t xml:space="preserve">NLP, OCR, Computer Vision, LLM &amp; LMM in Healthcare</w:t>
      </w:r>
    </w:p>
    <w:p>
      <w:pPr>
        <w:spacing w:after="0" w:before="800"/>
      </w:pPr>
      <w:r>
        <w:t xml:space="preserve"/>
      </w:r>
    </w:p>
    <w:p>
      <w:pPr>
        <w:spacing w:after="120" w:before="0"/>
        <w:jc w:val="center"/>
      </w:pPr>
      <w:r>
        <w:rPr>
          <w:rFonts w:ascii="Arial" w:cs="Arial" w:eastAsia="Arial" w:hAnsi="Arial"/>
          <w:color w:val="444444"/>
          <w:sz w:val="26"/>
          <w:szCs w:val="26"/>
        </w:rPr>
        <w:t xml:space="preserve">Strategic Technology Intelligence Report</w:t>
      </w:r>
    </w:p>
    <w:p>
      <w:pPr>
        <w:spacing w:after="120" w:before="0"/>
        <w:jc w:val="center"/>
      </w:pPr>
      <w:r>
        <w:rPr>
          <w:rFonts w:ascii="Arial" w:cs="Arial" w:eastAsia="Arial" w:hAnsi="Arial"/>
          <w:color w:val="444444"/>
          <w:sz w:val="26"/>
          <w:szCs w:val="26"/>
        </w:rPr>
        <w:t xml:space="preserve">Prepared for Cotiviti</w:t>
      </w:r>
    </w:p>
    <w:p>
      <w:pPr>
        <w:spacing w:after="120" w:before="0"/>
        <w:jc w:val="center"/>
      </w:pPr>
      <w:r>
        <w:rPr>
          <w:rFonts w:ascii="Arial" w:cs="Arial" w:eastAsia="Arial" w:hAnsi="Arial"/>
          <w:color w:val="444444"/>
          <w:sz w:val="26"/>
          <w:szCs w:val="26"/>
        </w:rPr>
        <w:t xml:space="preserve">June 2026</w:t>
      </w:r>
    </w:p>
    <w:p>
      <w:r>
        <w:br w:type="page"/>
      </w:r>
    </w:p>
    <w:p>
      <w:pPr>
        <w:pStyle w:val="Heading1"/>
      </w:pPr>
      <w:r>
        <w:rPr>
          <w:rFonts w:ascii="Arial" w:cs="Arial" w:eastAsia="Arial" w:hAnsi="Arial"/>
          <w:b/>
          <w:bCs/>
          <w:color w:val="1F3864"/>
          <w:sz w:val="32"/>
          <w:szCs w:val="32"/>
        </w:rPr>
        <w:t xml:space="preserve">I. Concept Definition &amp; Technology Overview</w:t>
      </w:r>
    </w:p>
    <w:p>
      <w:pPr>
        <w:pStyle w:val="Heading2"/>
      </w:pPr>
      <w:r>
        <w:rPr>
          <w:rFonts w:ascii="Arial" w:cs="Arial" w:eastAsia="Arial" w:hAnsi="Arial"/>
          <w:b/>
          <w:bCs/>
          <w:sz w:val="28"/>
          <w:szCs w:val="28"/>
        </w:rPr>
        <w:t xml:space="preserve">What Is Clinical Natural Language Technology?</w:t>
      </w:r>
    </w:p>
    <w:p>
      <w:pPr>
        <w:spacing w:after="120" w:before="120"/>
        <w:jc w:val="both"/>
      </w:pPr>
      <w:r>
        <w:rPr>
          <w:rFonts w:ascii="Arial" w:cs="Arial" w:eastAsia="Arial" w:hAnsi="Arial"/>
          <w:sz w:val="24"/>
          <w:szCs w:val="24"/>
        </w:rPr>
        <w:t xml:space="preserve">Clinical Natural Language Technology (CNLT) refers to a family of artificial intelligence techniques that enable computers to read, interpret, extract meaning from, and generate human language in healthcare contexts. The primary goal is to bridge the gap between the vast volumes of unstructured clinical text produced daily — physician notes, discharge summaries, radiology reports, pathology findings, and patient communications — and the structured, machine-readable data formats that power analytics, decision support, and billing systems.</w:t>
      </w:r>
    </w:p>
    <w:p>
      <w:pPr>
        <w:spacing w:after="120" w:before="120"/>
        <w:jc w:val="both"/>
      </w:pPr>
      <w:r>
        <w:rPr>
          <w:rFonts w:ascii="Arial" w:cs="Arial" w:eastAsia="Arial" w:hAnsi="Arial"/>
          <w:sz w:val="24"/>
          <w:szCs w:val="24"/>
        </w:rPr>
        <w:t xml:space="preserve">Healthcare organizations today generate enormous quantities of free-text data. Estimates suggest that 80% or more of clinically meaningful information resides in unstructured form within electronic health records (EHRs), locked away from systematic analysis without computational assistance. CNLT encompasses the tools and methods needed to unlock that value.</w:t>
      </w:r>
    </w:p>
    <w:p>
      <w:pPr>
        <w:pStyle w:val="Heading2"/>
      </w:pPr>
      <w:r>
        <w:rPr>
          <w:rFonts w:ascii="Arial" w:cs="Arial" w:eastAsia="Arial" w:hAnsi="Arial"/>
          <w:b/>
          <w:bCs/>
          <w:sz w:val="28"/>
          <w:szCs w:val="28"/>
        </w:rPr>
        <w:t xml:space="preserve">Core Technology Definitions</w:t>
      </w:r>
    </w:p>
    <w:p>
      <w:pPr>
        <w:pStyle w:val="Heading3"/>
      </w:pPr>
      <w:r>
        <w:rPr>
          <w:rFonts w:ascii="Arial" w:cs="Arial" w:eastAsia="Arial" w:hAnsi="Arial"/>
          <w:b/>
          <w:bCs/>
          <w:sz w:val="24"/>
          <w:szCs w:val="24"/>
        </w:rPr>
        <w:t xml:space="preserve">Natural Language Processing (NLP)</w:t>
      </w:r>
    </w:p>
    <w:p>
      <w:pPr>
        <w:spacing w:after="120" w:before="120"/>
        <w:jc w:val="both"/>
      </w:pPr>
      <w:r>
        <w:rPr>
          <w:rFonts w:ascii="Arial" w:cs="Arial" w:eastAsia="Arial" w:hAnsi="Arial"/>
          <w:sz w:val="24"/>
          <w:szCs w:val="24"/>
        </w:rPr>
        <w:t xml:space="preserve">NLP is the foundational discipline enabling machines to understand, interpret, and generate human language. In healthcare, NLP is applied to tasks such as clinical documentation summarization, named entity recognition (identifying diagnoses, medications, and procedures from free text), ICD and CPT code extraction, sentiment analysis of patient feedback, and population health cohort identification.</w:t>
      </w:r>
    </w:p>
    <w:p>
      <w:pPr>
        <w:pStyle w:val="Heading3"/>
      </w:pPr>
      <w:r>
        <w:rPr>
          <w:rFonts w:ascii="Arial" w:cs="Arial" w:eastAsia="Arial" w:hAnsi="Arial"/>
          <w:b/>
          <w:bCs/>
          <w:sz w:val="24"/>
          <w:szCs w:val="24"/>
        </w:rPr>
        <w:t xml:space="preserve">Optical Character Recognition (OCR)</w:t>
      </w:r>
    </w:p>
    <w:p>
      <w:pPr>
        <w:spacing w:after="120" w:before="120"/>
        <w:jc w:val="both"/>
      </w:pPr>
      <w:r>
        <w:rPr>
          <w:rFonts w:ascii="Arial" w:cs="Arial" w:eastAsia="Arial" w:hAnsi="Arial"/>
          <w:sz w:val="24"/>
          <w:szCs w:val="24"/>
        </w:rPr>
        <w:t xml:space="preserve">OCR converts scanned images of text — including handwritten notes, faxed referral letters, legacy paper records, and printed lab results — into machine-readable digital text. In healthcare, OCR is a critical upstream step that enables NLP to process documents that were never natively digital. Modern OCR systems increasingly use deep learning to handle the variability of handwriting and document layouts common in clinical environments.</w:t>
      </w:r>
    </w:p>
    <w:p>
      <w:pPr>
        <w:pStyle w:val="Heading3"/>
      </w:pPr>
      <w:r>
        <w:rPr>
          <w:rFonts w:ascii="Arial" w:cs="Arial" w:eastAsia="Arial" w:hAnsi="Arial"/>
          <w:b/>
          <w:bCs/>
          <w:sz w:val="24"/>
          <w:szCs w:val="24"/>
        </w:rPr>
        <w:t xml:space="preserve">Computer Vision</w:t>
      </w:r>
    </w:p>
    <w:p>
      <w:pPr>
        <w:spacing w:after="120" w:before="120"/>
        <w:jc w:val="both"/>
      </w:pPr>
      <w:r>
        <w:rPr>
          <w:rFonts w:ascii="Arial" w:cs="Arial" w:eastAsia="Arial" w:hAnsi="Arial"/>
          <w:sz w:val="24"/>
          <w:szCs w:val="24"/>
        </w:rPr>
        <w:t xml:space="preserve">Computer Vision enables machines to interpret and analyze visual information from medical images such as X-rays, CT scans, MRI images, pathology slides, and dermoscopy photographs. When combined with NLP (e.g., analyzing radiology reports alongside the images they describe), computer vision dramatically expands the intelligence that can be extracted from a clinical encounter.</w:t>
      </w:r>
    </w:p>
    <w:p>
      <w:pPr>
        <w:pStyle w:val="Heading3"/>
      </w:pPr>
      <w:r>
        <w:rPr>
          <w:rFonts w:ascii="Arial" w:cs="Arial" w:eastAsia="Arial" w:hAnsi="Arial"/>
          <w:b/>
          <w:bCs/>
          <w:sz w:val="24"/>
          <w:szCs w:val="24"/>
        </w:rPr>
        <w:t xml:space="preserve">Large Language Models (LLMs)</w:t>
      </w:r>
    </w:p>
    <w:p>
      <w:pPr>
        <w:spacing w:after="120" w:before="120"/>
        <w:jc w:val="both"/>
      </w:pPr>
      <w:r>
        <w:rPr>
          <w:rFonts w:ascii="Arial" w:cs="Arial" w:eastAsia="Arial" w:hAnsi="Arial"/>
          <w:sz w:val="24"/>
          <w:szCs w:val="24"/>
        </w:rPr>
        <w:t xml:space="preserve">LLMs are deep learning models trained on massive text corpora that exhibit remarkable generalization ability across language tasks — including summarization, question answering, classification, and generation — without task-specific training. Models like GPT-4, Google's Med-PaLM 2, and Meta's LLaMA have demonstrated near-physician-level performance on clinical licensing examinations and clinical reasoning benchmarks. In healthcare, LLMs are being applied to ambient documentation, prior authorization drafting, patient message triage, and differential diagnosis support.</w:t>
      </w:r>
    </w:p>
    <w:p>
      <w:pPr>
        <w:pStyle w:val="Heading3"/>
      </w:pPr>
      <w:r>
        <w:rPr>
          <w:rFonts w:ascii="Arial" w:cs="Arial" w:eastAsia="Arial" w:hAnsi="Arial"/>
          <w:b/>
          <w:bCs/>
          <w:sz w:val="24"/>
          <w:szCs w:val="24"/>
        </w:rPr>
        <w:t xml:space="preserve">Large Multimodal Models (LMMs)</w:t>
      </w:r>
    </w:p>
    <w:p>
      <w:pPr>
        <w:spacing w:after="120" w:before="120"/>
        <w:jc w:val="both"/>
      </w:pPr>
      <w:r>
        <w:rPr>
          <w:rFonts w:ascii="Arial" w:cs="Arial" w:eastAsia="Arial" w:hAnsi="Arial"/>
          <w:sz w:val="24"/>
          <w:szCs w:val="24"/>
        </w:rPr>
        <w:t xml:space="preserve">LMMs extend LLMs by integrating multiple input modalities — text, images, audio, and structured data — into a single reasoning framework. Examples include GPT-4o and Google's Gemini. In healthcare, LMMs enable a clinician to submit an image of a skin lesion alongside a text description and receive a combined, context-aware assessment. LMMs represent the frontier of clinical AI, beginning to replicate the multimodal reasoning a physician performs naturally.</w:t>
      </w:r>
    </w:p>
    <w:p>
      <w:pPr>
        <w:pStyle w:val="Heading2"/>
      </w:pPr>
      <w:r>
        <w:rPr>
          <w:rFonts w:ascii="Arial" w:cs="Arial" w:eastAsia="Arial" w:hAnsi="Arial"/>
          <w:b/>
          <w:bCs/>
          <w:sz w:val="28"/>
          <w:szCs w:val="28"/>
        </w:rPr>
        <w:t xml:space="preserve">Historical Evolution: Past Approaches</w:t>
      </w:r>
    </w:p>
    <w:p>
      <w:pPr>
        <w:spacing w:after="120" w:before="120"/>
        <w:jc w:val="both"/>
      </w:pPr>
      <w:r>
        <w:rPr>
          <w:rFonts w:ascii="Arial" w:cs="Arial" w:eastAsia="Arial" w:hAnsi="Arial"/>
          <w:sz w:val="24"/>
          <w:szCs w:val="24"/>
        </w:rPr>
        <w:t xml:space="preserve">The history of clinical NLP can be organized into three eras that reflect the broader trajectory of artificial intelligence:</w:t>
      </w:r>
    </w:p>
    <w:p>
      <w:pPr>
        <w:pStyle w:val="Heading3"/>
      </w:pPr>
      <w:r>
        <w:rPr>
          <w:rFonts w:ascii="Arial" w:cs="Arial" w:eastAsia="Arial" w:hAnsi="Arial"/>
          <w:b/>
          <w:bCs/>
          <w:sz w:val="24"/>
          <w:szCs w:val="24"/>
        </w:rPr>
        <w:t xml:space="preserve">Era 1: Rule-Based Systems (1970s–2000s)</w:t>
      </w:r>
    </w:p>
    <w:p>
      <w:pPr>
        <w:spacing w:after="120" w:before="120"/>
        <w:jc w:val="both"/>
      </w:pPr>
      <w:r>
        <w:rPr>
          <w:rFonts w:ascii="Arial" w:cs="Arial" w:eastAsia="Arial" w:hAnsi="Arial"/>
          <w:sz w:val="24"/>
          <w:szCs w:val="24"/>
        </w:rPr>
        <w:t xml:space="preserve">Early clinical NLP systems relied on hand-crafted rules, medical dictionaries, and ontologies to identify keywords and patterns in clinical text. Landmark tools from this era include MedLEE (Medical Language Extraction and Encoding System) and MetaMap, developed by the National Library of Medicine to map biomedical text to concepts in the Unified Medical Language System (UMLS). While precise in narrow domains, these systems struggled with clinical language variability — abbreviations, negations ('no evidence of pneumonia'), and contextual nuance ('history of hypertension' vs. active hypertension) presented persistent challenges.</w:t>
      </w:r>
    </w:p>
    <w:p>
      <w:pPr>
        <w:pStyle w:val="Heading3"/>
      </w:pPr>
      <w:r>
        <w:rPr>
          <w:rFonts w:ascii="Arial" w:cs="Arial" w:eastAsia="Arial" w:hAnsi="Arial"/>
          <w:b/>
          <w:bCs/>
          <w:sz w:val="24"/>
          <w:szCs w:val="24"/>
        </w:rPr>
        <w:t xml:space="preserve">Era 2: Statistical and Machine Learning Models (2000s–2018)</w:t>
      </w:r>
    </w:p>
    <w:p>
      <w:pPr>
        <w:spacing w:after="120" w:before="120"/>
        <w:jc w:val="both"/>
      </w:pPr>
      <w:r>
        <w:rPr>
          <w:rFonts w:ascii="Arial" w:cs="Arial" w:eastAsia="Arial" w:hAnsi="Arial"/>
          <w:sz w:val="24"/>
          <w:szCs w:val="24"/>
        </w:rPr>
        <w:t xml:space="preserve">With increasing availability of labeled clinical datasets and computational power, statistical approaches — including Hidden Markov Models, Conditional Random Fields (CRF), and Support Vector Machines — enabled systems to learn patterns rather than follow explicit rules. These methods achieved strong performance on Named Entity Recognition (NER) tasks. Deep learning began entering the field in the early 2010s, with recurrent neural networks and convolutional neural networks outperforming classical methods on many benchmarks.</w:t>
      </w:r>
    </w:p>
    <w:p>
      <w:pPr>
        <w:pStyle w:val="Heading3"/>
      </w:pPr>
      <w:r>
        <w:rPr>
          <w:rFonts w:ascii="Arial" w:cs="Arial" w:eastAsia="Arial" w:hAnsi="Arial"/>
          <w:b/>
          <w:bCs/>
          <w:sz w:val="24"/>
          <w:szCs w:val="24"/>
        </w:rPr>
        <w:t xml:space="preserve">Era 3: Transformer-Based Models and LLMs (2018–Present)</w:t>
      </w:r>
    </w:p>
    <w:p>
      <w:pPr>
        <w:spacing w:after="120" w:before="120"/>
        <w:jc w:val="both"/>
      </w:pPr>
      <w:r>
        <w:rPr>
          <w:rFonts w:ascii="Arial" w:cs="Arial" w:eastAsia="Arial" w:hAnsi="Arial"/>
          <w:sz w:val="24"/>
          <w:szCs w:val="24"/>
        </w:rPr>
        <w:t xml:space="preserve">The 2018 introduction of BERT (Bidirectional Encoder Representations from Transformers) marked a paradigm shift. Transformer architectures enabled pre-training on large general corpora followed by fine-tuning on clinical tasks — dramatically reducing the labeled data requirements that had constrained earlier methods. Domain-specific variants such as BioBERT, ClinicalBERT, and PubMedBERT followed, optimized for biomedical and clinical text. The subsequent rise of generative LLMs — culminating in GPT-4 (2023) and its successors — further expanded capabilities from extraction to generation, summarization, and multi-turn reasoning.</w:t>
      </w:r>
    </w:p>
    <w:p>
      <w:r>
        <w:br w:type="page"/>
      </w:r>
    </w:p>
    <w:p>
      <w:pPr>
        <w:pStyle w:val="Heading1"/>
      </w:pPr>
      <w:r>
        <w:rPr>
          <w:rFonts w:ascii="Arial" w:cs="Arial" w:eastAsia="Arial" w:hAnsi="Arial"/>
          <w:b/>
          <w:bCs/>
          <w:color w:val="1F3864"/>
          <w:sz w:val="32"/>
          <w:szCs w:val="32"/>
        </w:rPr>
        <w:t xml:space="preserve">II. Trends, Opportunities, Threats &amp; Strategic Recommendations for Cotiviti</w:t>
      </w:r>
    </w:p>
    <w:p>
      <w:pPr>
        <w:pStyle w:val="Heading2"/>
      </w:pPr>
      <w:r>
        <w:rPr>
          <w:rFonts w:ascii="Arial" w:cs="Arial" w:eastAsia="Arial" w:hAnsi="Arial"/>
          <w:b/>
          <w:bCs/>
          <w:sz w:val="28"/>
          <w:szCs w:val="28"/>
        </w:rPr>
        <w:t xml:space="preserve">Relevant Market Trends</w:t>
      </w:r>
    </w:p>
    <w:p>
      <w:pPr>
        <w:pStyle w:val="Heading3"/>
      </w:pPr>
      <w:r>
        <w:rPr>
          <w:rFonts w:ascii="Arial" w:cs="Arial" w:eastAsia="Arial" w:hAnsi="Arial"/>
          <w:b/>
          <w:bCs/>
          <w:sz w:val="24"/>
          <w:szCs w:val="24"/>
        </w:rPr>
        <w:t xml:space="preserve">Explosive Market Growth</w:t>
      </w:r>
    </w:p>
    <w:p>
      <w:pPr>
        <w:spacing w:after="120" w:before="120"/>
        <w:jc w:val="both"/>
      </w:pPr>
      <w:r>
        <w:rPr>
          <w:rFonts w:ascii="Arial" w:cs="Arial" w:eastAsia="Arial" w:hAnsi="Arial"/>
          <w:sz w:val="24"/>
          <w:szCs w:val="24"/>
        </w:rPr>
        <w:t xml:space="preserve">The healthcare NLP market is among the fastest-growing segments in health IT. According to MarketsandMarkets, the market was valued at approximately $5.18 billion in 2025 and is projected to reach $16 billion by 2030, growing at a compound annual growth rate of approximately 25%. Globally, some forecasts project growth from $6.7 billion in 2024 to over $130 billion by 2034, driven by the digitization of health records and AI adoption across payer and provider organizations.</w:t>
      </w:r>
    </w:p>
    <w:p>
      <w:pPr>
        <w:pStyle w:val="Heading3"/>
      </w:pPr>
      <w:r>
        <w:rPr>
          <w:rFonts w:ascii="Arial" w:cs="Arial" w:eastAsia="Arial" w:hAnsi="Arial"/>
          <w:b/>
          <w:bCs/>
          <w:sz w:val="24"/>
          <w:szCs w:val="24"/>
        </w:rPr>
        <w:t xml:space="preserve">Ambient Clinical Documentation</w:t>
      </w:r>
    </w:p>
    <w:p>
      <w:pPr>
        <w:spacing w:after="120" w:before="120"/>
        <w:jc w:val="both"/>
      </w:pPr>
      <w:r>
        <w:rPr>
          <w:rFonts w:ascii="Arial" w:cs="Arial" w:eastAsia="Arial" w:hAnsi="Arial"/>
          <w:sz w:val="24"/>
          <w:szCs w:val="24"/>
        </w:rPr>
        <w:t xml:space="preserve">One of the fastest-growing near-term applications is ambient documentation — AI systems that listen to physician-patient conversations in real time and automatically generate structured clinical notes. Microsoft (through its acquisition of Nuance) launched Dragon Copilot in 2025, positioning ambient AI as a primary productivity tool for clinicians. This trend has significant downstream implications for payers like Cotiviti's clients, as more complete and accurate documentation improves risk adjustment and quality measurement.</w:t>
      </w:r>
    </w:p>
    <w:p>
      <w:pPr>
        <w:pStyle w:val="Heading3"/>
      </w:pPr>
      <w:r>
        <w:rPr>
          <w:rFonts w:ascii="Arial" w:cs="Arial" w:eastAsia="Arial" w:hAnsi="Arial"/>
          <w:b/>
          <w:bCs/>
          <w:sz w:val="24"/>
          <w:szCs w:val="24"/>
        </w:rPr>
        <w:t xml:space="preserve">LLMs Entering Clinical Workflows</w:t>
      </w:r>
    </w:p>
    <w:p>
      <w:pPr>
        <w:spacing w:after="120" w:before="120"/>
        <w:jc w:val="both"/>
      </w:pPr>
      <w:r>
        <w:rPr>
          <w:rFonts w:ascii="Arial" w:cs="Arial" w:eastAsia="Arial" w:hAnsi="Arial"/>
          <w:sz w:val="24"/>
          <w:szCs w:val="24"/>
        </w:rPr>
        <w:t xml:space="preserve">Systematic reviews published in 2024 and 2025 confirm that LLMs are beginning to move from benchmarks into real clinical settings. Current real-world applications center on patient communication support, data extraction from unstructured notes, and prior authorization assistance. However, integration remains limited due to concerns about hallucination, liability, and lack of standardized evaluation frameworks — gaps that are only beginning to be addressed by the research community.</w:t>
      </w:r>
    </w:p>
    <w:p>
      <w:pPr>
        <w:pStyle w:val="Heading3"/>
      </w:pPr>
      <w:r>
        <w:rPr>
          <w:rFonts w:ascii="Arial" w:cs="Arial" w:eastAsia="Arial" w:hAnsi="Arial"/>
          <w:b/>
          <w:bCs/>
          <w:sz w:val="24"/>
          <w:szCs w:val="24"/>
        </w:rPr>
        <w:t xml:space="preserve">Multimodal AI Convergence</w:t>
      </w:r>
    </w:p>
    <w:p>
      <w:pPr>
        <w:spacing w:after="120" w:before="120"/>
        <w:jc w:val="both"/>
      </w:pPr>
      <w:r>
        <w:rPr>
          <w:rFonts w:ascii="Arial" w:cs="Arial" w:eastAsia="Arial" w:hAnsi="Arial"/>
          <w:sz w:val="24"/>
          <w:szCs w:val="24"/>
        </w:rPr>
        <w:t xml:space="preserve">The convergence of NLP, OCR, and computer vision into unified multimodal models represents the emerging frontier. Systems capable of jointly reasoning over physician notes and imaging results are beginning to demonstrate clinical-grade performance in radiology, pathology, and dermatology. For payers and analytics organizations, this convergence opens opportunities to integrate chart review with imaging data for more comprehensive risk assessment.</w:t>
      </w:r>
    </w:p>
    <w:p>
      <w:pPr>
        <w:pStyle w:val="Heading3"/>
      </w:pPr>
      <w:r>
        <w:rPr>
          <w:rFonts w:ascii="Arial" w:cs="Arial" w:eastAsia="Arial" w:hAnsi="Arial"/>
          <w:b/>
          <w:bCs/>
          <w:sz w:val="24"/>
          <w:szCs w:val="24"/>
        </w:rPr>
        <w:t xml:space="preserve">Regulatory and Compliance Pressure</w:t>
      </w:r>
    </w:p>
    <w:p>
      <w:pPr>
        <w:spacing w:after="120" w:before="120"/>
        <w:jc w:val="both"/>
      </w:pPr>
      <w:r>
        <w:rPr>
          <w:rFonts w:ascii="Arial" w:cs="Arial" w:eastAsia="Arial" w:hAnsi="Arial"/>
          <w:sz w:val="24"/>
          <w:szCs w:val="24"/>
        </w:rPr>
        <w:t xml:space="preserve">AI adoption in healthcare is occurring under increasing regulatory scrutiny. The HHS Office for Civil Rights (OCR) issued guidance in December 2024 on AI use under Section 1557 of the Affordable Care Act, requiring human review of AI-generated language translations for accuracy. HIPAA compliance continues to evolve, with OCR enforcement actions in 2024–2025 specifically investigating how AI systems handle electronic protected health information (ePHI). The FTC Health Breach Notification Rule was updated in 2024 to cover consumer health apps, and federal agencies are now required to inventory AI use cases annually under the Advancing American AI Act.</w:t>
      </w:r>
    </w:p>
    <w:p>
      <w:pPr>
        <w:pStyle w:val="Heading2"/>
      </w:pPr>
      <w:r>
        <w:rPr>
          <w:rFonts w:ascii="Arial" w:cs="Arial" w:eastAsia="Arial" w:hAnsi="Arial"/>
          <w:b/>
          <w:bCs/>
          <w:sz w:val="28"/>
          <w:szCs w:val="28"/>
        </w:rPr>
        <w:t xml:space="preserve">Opportunities for Cotiviti</w:t>
      </w:r>
    </w:p>
    <w:p>
      <w:pPr>
        <w:pStyle w:val="Heading3"/>
      </w:pPr>
      <w:r>
        <w:rPr>
          <w:rFonts w:ascii="Arial" w:cs="Arial" w:eastAsia="Arial" w:hAnsi="Arial"/>
          <w:b/>
          <w:bCs/>
          <w:sz w:val="24"/>
          <w:szCs w:val="24"/>
        </w:rPr>
        <w:t xml:space="preserve">Opportunity 1: NLP-Powered Medical Record Retrieval and Risk Adjustment</w:t>
      </w:r>
    </w:p>
    <w:p>
      <w:pPr>
        <w:spacing w:after="120" w:before="120"/>
        <w:jc w:val="both"/>
      </w:pPr>
      <w:r>
        <w:rPr>
          <w:rFonts w:ascii="Arial" w:cs="Arial" w:eastAsia="Arial" w:hAnsi="Arial"/>
          <w:sz w:val="24"/>
          <w:szCs w:val="24"/>
        </w:rPr>
        <w:t xml:space="preserve">Cotiviti's core business in risk adjustment and quality analytics is directly upstream of the most mature clinical NLP use cases. NLP systems capable of automatically extracting HCC-relevant diagnoses from unstructured physician notes — with validation workflows — could dramatically accelerate Cotiviti's medical record retrieval operations, reduce human abstraction costs, and improve accuracy. Given the recent acquisition of Edifecs, Cotiviti has an expanded data interoperability platform from which to deploy and distribute NLP-powered chart abstraction capabilities at scale.</w:t>
      </w:r>
    </w:p>
    <w:p>
      <w:pPr>
        <w:pStyle w:val="Heading3"/>
      </w:pPr>
      <w:r>
        <w:rPr>
          <w:rFonts w:ascii="Arial" w:cs="Arial" w:eastAsia="Arial" w:hAnsi="Arial"/>
          <w:b/>
          <w:bCs/>
          <w:sz w:val="24"/>
          <w:szCs w:val="24"/>
        </w:rPr>
        <w:t xml:space="preserve">Opportunity 2: LLM-Assisted Fraud, Waste, and Abuse Detection</w:t>
      </w:r>
    </w:p>
    <w:p>
      <w:pPr>
        <w:spacing w:after="120" w:before="120"/>
        <w:jc w:val="both"/>
      </w:pPr>
      <w:r>
        <w:rPr>
          <w:rFonts w:ascii="Arial" w:cs="Arial" w:eastAsia="Arial" w:hAnsi="Arial"/>
          <w:sz w:val="24"/>
          <w:szCs w:val="24"/>
        </w:rPr>
        <w:t xml:space="preserve">Cotiviti's fraud, waste, and abuse (FWA) detection capabilities could be substantially enhanced through LLMs capable of reading and reasoning over clinical notes, operative reports, and billing narratives simultaneously. Pattern detection that currently relies on structured claims data alone misses clinically inconsistent documentation — an area where NLP excels. A combined structured-plus-unstructured approach to FWA represents a defensible competitive differentiator.</w:t>
      </w:r>
    </w:p>
    <w:p>
      <w:pPr>
        <w:pStyle w:val="Heading3"/>
      </w:pPr>
      <w:r>
        <w:rPr>
          <w:rFonts w:ascii="Arial" w:cs="Arial" w:eastAsia="Arial" w:hAnsi="Arial"/>
          <w:b/>
          <w:bCs/>
          <w:sz w:val="24"/>
          <w:szCs w:val="24"/>
        </w:rPr>
        <w:t xml:space="preserve">Opportunity 3: Quality Measure Automation via Clinical NLP</w:t>
      </w:r>
    </w:p>
    <w:p>
      <w:pPr>
        <w:spacing w:after="120" w:before="120"/>
        <w:jc w:val="both"/>
      </w:pPr>
      <w:r>
        <w:rPr>
          <w:rFonts w:ascii="Arial" w:cs="Arial" w:eastAsia="Arial" w:hAnsi="Arial"/>
          <w:sz w:val="24"/>
          <w:szCs w:val="24"/>
        </w:rPr>
        <w:t xml:space="preserve">HEDIS and Star Rating measures increasingly require clinical data extraction from unstructured sources — a workflow that is manual, expensive, and error-prone today. As CMS transitions toward digital quality measurement, organizations that can deploy validated NLP pipelines for measure calculation will gain significant efficiency advantages. Cotiviti's deep expertise in quality and Stars positions it well to develop or partner on measure-specific NLP extractors that translate directly into client value.</w:t>
      </w:r>
    </w:p>
    <w:p>
      <w:pPr>
        <w:pStyle w:val="Heading2"/>
      </w:pPr>
      <w:r>
        <w:rPr>
          <w:rFonts w:ascii="Arial" w:cs="Arial" w:eastAsia="Arial" w:hAnsi="Arial"/>
          <w:b/>
          <w:bCs/>
          <w:sz w:val="28"/>
          <w:szCs w:val="28"/>
        </w:rPr>
        <w:t xml:space="preserve">Threats</w:t>
      </w:r>
    </w:p>
    <w:p>
      <w:pPr>
        <w:pStyle w:val="Heading3"/>
      </w:pPr>
      <w:r>
        <w:rPr>
          <w:rFonts w:ascii="Arial" w:cs="Arial" w:eastAsia="Arial" w:hAnsi="Arial"/>
          <w:b/>
          <w:bCs/>
          <w:sz w:val="24"/>
          <w:szCs w:val="24"/>
        </w:rPr>
        <w:t xml:space="preserve">Threat 1: AI Hallucination and Clinical Liability</w:t>
      </w:r>
    </w:p>
    <w:p>
      <w:pPr>
        <w:spacing w:after="120" w:before="120"/>
        <w:jc w:val="both"/>
      </w:pPr>
      <w:r>
        <w:rPr>
          <w:rFonts w:ascii="Arial" w:cs="Arial" w:eastAsia="Arial" w:hAnsi="Arial"/>
          <w:sz w:val="24"/>
          <w:szCs w:val="24"/>
        </w:rPr>
        <w:t xml:space="preserve">LLMs are prone to generating plausible but factually incorrect outputs — a phenomenon known as hallucination. In clinical contexts, erroneous AI-generated content embedded in documentation or decision support could contribute to adverse outcomes and expose healthcare organizations and their technology vendors to significant liability. Cotiviti must implement rigorous human-in-the-loop validation protocols for any client-facing AI outputs.</w:t>
      </w:r>
    </w:p>
    <w:p>
      <w:pPr>
        <w:pStyle w:val="Heading3"/>
      </w:pPr>
      <w:r>
        <w:rPr>
          <w:rFonts w:ascii="Arial" w:cs="Arial" w:eastAsia="Arial" w:hAnsi="Arial"/>
          <w:b/>
          <w:bCs/>
          <w:sz w:val="24"/>
          <w:szCs w:val="24"/>
        </w:rPr>
        <w:t xml:space="preserve">Threat 2: HIPAA and Privacy Compliance Risk</w:t>
      </w:r>
    </w:p>
    <w:p>
      <w:pPr>
        <w:spacing w:after="120" w:before="120"/>
        <w:jc w:val="both"/>
      </w:pPr>
      <w:r>
        <w:rPr>
          <w:rFonts w:ascii="Arial" w:cs="Arial" w:eastAsia="Arial" w:hAnsi="Arial"/>
          <w:sz w:val="24"/>
          <w:szCs w:val="24"/>
        </w:rPr>
        <w:t xml:space="preserve">Deploying NLP and LLM systems that process ePHI introduces compliance obligations under HIPAA's Privacy and Security Rules. OCR enforcement activity in 2024–2025 has targeted organizations that failed to conduct adequate risk analyses for AI systems handling patient data. Cotiviti and its clients must ensure that AI vendor agreements include appropriate Business Associate Agreements, that ePHI flows are fully inventoried, and that AI audit logs are maintained.</w:t>
      </w:r>
    </w:p>
    <w:p>
      <w:pPr>
        <w:pStyle w:val="Heading3"/>
      </w:pPr>
      <w:r>
        <w:rPr>
          <w:rFonts w:ascii="Arial" w:cs="Arial" w:eastAsia="Arial" w:hAnsi="Arial"/>
          <w:b/>
          <w:bCs/>
          <w:sz w:val="24"/>
          <w:szCs w:val="24"/>
        </w:rPr>
        <w:t xml:space="preserve">Threat 3: Algorithmic Bias and Health Equity Concerns</w:t>
      </w:r>
    </w:p>
    <w:p>
      <w:pPr>
        <w:spacing w:after="120" w:before="120"/>
        <w:jc w:val="both"/>
      </w:pPr>
      <w:r>
        <w:rPr>
          <w:rFonts w:ascii="Arial" w:cs="Arial" w:eastAsia="Arial" w:hAnsi="Arial"/>
          <w:sz w:val="24"/>
          <w:szCs w:val="24"/>
        </w:rPr>
        <w:t xml:space="preserve">Clinical NLP models trained predominantly on EHR data from large academic medical centers may perform poorly on text generated in community hospitals, federally qualified health centers, or non-English clinical settings. Biased NLP outputs in risk adjustment or quality measurement contexts could systematically disadvantage certain patient populations or payer clients, creating both ethical and regulatory exposure.</w:t>
      </w:r>
    </w:p>
    <w:p>
      <w:pPr>
        <w:pStyle w:val="Heading3"/>
      </w:pPr>
      <w:r>
        <w:rPr>
          <w:rFonts w:ascii="Arial" w:cs="Arial" w:eastAsia="Arial" w:hAnsi="Arial"/>
          <w:b/>
          <w:bCs/>
          <w:sz w:val="24"/>
          <w:szCs w:val="24"/>
        </w:rPr>
        <w:t xml:space="preserve">Threat 4: Competitive Displacement by Big Tech</w:t>
      </w:r>
    </w:p>
    <w:p>
      <w:pPr>
        <w:spacing w:after="120" w:before="120"/>
        <w:jc w:val="both"/>
      </w:pPr>
      <w:r>
        <w:rPr>
          <w:rFonts w:ascii="Arial" w:cs="Arial" w:eastAsia="Arial" w:hAnsi="Arial"/>
          <w:sz w:val="24"/>
          <w:szCs w:val="24"/>
        </w:rPr>
        <w:t xml:space="preserve">Microsoft, Google, and Amazon Web Services are investing aggressively in healthcare-specific AI infrastructure. Microsoft's Dragon Copilot, Google's Med-PaLM 2, and AWS HealthLake NLP represent enterprise-grade platforms that could commoditize clinical NLP capabilities that Cotiviti's clients currently source from specialized vendors. Cotiviti must differentiate on domain expertise, data assets, and integration depth rather than model performance alone.</w:t>
      </w:r>
    </w:p>
    <w:p>
      <w:pPr>
        <w:pStyle w:val="Heading2"/>
      </w:pPr>
      <w:r>
        <w:rPr>
          <w:rFonts w:ascii="Arial" w:cs="Arial" w:eastAsia="Arial" w:hAnsi="Arial"/>
          <w:b/>
          <w:bCs/>
          <w:sz w:val="28"/>
          <w:szCs w:val="28"/>
        </w:rPr>
        <w:t xml:space="preserve">Strategic Recommendations for Cotiviti</w:t>
      </w:r>
    </w:p>
    <w:p>
      <w:pPr>
        <w:pStyle w:val="Heading3"/>
      </w:pPr>
      <w:r>
        <w:rPr>
          <w:rFonts w:ascii="Arial" w:cs="Arial" w:eastAsia="Arial" w:hAnsi="Arial"/>
          <w:b/>
          <w:bCs/>
          <w:sz w:val="24"/>
          <w:szCs w:val="24"/>
        </w:rPr>
        <w:t xml:space="preserve">Option 1: Build a Validated Clinical NLP Abstraction Engine (Recommended Primary Investment)</w:t>
      </w:r>
    </w:p>
    <w:p>
      <w:pPr>
        <w:spacing w:after="120" w:before="120"/>
        <w:jc w:val="both"/>
      </w:pPr>
      <w:r>
        <w:rPr>
          <w:rFonts w:ascii="Arial" w:cs="Arial" w:eastAsia="Arial" w:hAnsi="Arial"/>
          <w:sz w:val="24"/>
          <w:szCs w:val="24"/>
        </w:rPr>
        <w:t xml:space="preserve">Cotiviti should invest in developing — or acquiring — a proprietary clinical NLP abstraction engine optimized for its core use cases: HCC-relevant diagnosis extraction, quality measure data mining, and FWA-relevant clinical narrative analysis. This engine should be built on a domain-adapted transformer architecture (e.g., fine-tuned ClinicalBERT or a proprietary model), with structured validation workflows that maintain human review for high-stakes outputs. The Edifecs data interoperability platform provides a natural deployment rail.</w:t>
      </w:r>
    </w:p>
    <w:p>
      <w:pPr>
        <w:spacing w:after="120" w:before="120"/>
        <w:jc w:val="both"/>
      </w:pPr>
      <w:r>
        <w:rPr>
          <w:rFonts w:ascii="Arial" w:cs="Arial" w:eastAsia="Arial" w:hAnsi="Arial"/>
          <w:sz w:val="24"/>
          <w:szCs w:val="24"/>
        </w:rPr>
        <w:t xml:space="preserve">This investment directly defends Cotiviti's core revenue from disruption by AI-native competitors while delivering measurable client efficiency gains. It also positions Cotiviti to offer NLP-as-a-service to payer and provider clients who lack in-house AI capabilities.</w:t>
      </w:r>
    </w:p>
    <w:p>
      <w:pPr>
        <w:pStyle w:val="Heading3"/>
      </w:pPr>
      <w:r>
        <w:rPr>
          <w:rFonts w:ascii="Arial" w:cs="Arial" w:eastAsia="Arial" w:hAnsi="Arial"/>
          <w:b/>
          <w:bCs/>
          <w:sz w:val="24"/>
          <w:szCs w:val="24"/>
        </w:rPr>
        <w:t xml:space="preserve">Option 2: Partner with an LMM Provider for Multimodal Chart Review</w:t>
      </w:r>
    </w:p>
    <w:p>
      <w:pPr>
        <w:spacing w:after="120" w:before="120"/>
        <w:jc w:val="both"/>
      </w:pPr>
      <w:r>
        <w:rPr>
          <w:rFonts w:ascii="Arial" w:cs="Arial" w:eastAsia="Arial" w:hAnsi="Arial"/>
          <w:sz w:val="24"/>
          <w:szCs w:val="24"/>
        </w:rPr>
        <w:t xml:space="preserve">As multimodal AI matures, Cotiviti should establish a strategic partnership with a leading LMM provider (such as Microsoft/Nuance or Google Cloud Healthcare) to pilot multimodal chart review capabilities that combine clinical notes, lab results, and imaging reports in a unified analysis. This partnership would allow Cotiviti to access frontier model capabilities without bearing full development costs while retaining control over data and client relationships.</w:t>
      </w:r>
    </w:p>
    <w:p>
      <w:pPr>
        <w:pStyle w:val="Heading3"/>
      </w:pPr>
      <w:r>
        <w:rPr>
          <w:rFonts w:ascii="Arial" w:cs="Arial" w:eastAsia="Arial" w:hAnsi="Arial"/>
          <w:b/>
          <w:bCs/>
          <w:sz w:val="24"/>
          <w:szCs w:val="24"/>
        </w:rPr>
        <w:t xml:space="preserve">Option 3: Establish an AI Governance and Compliance Practice</w:t>
      </w:r>
    </w:p>
    <w:p>
      <w:pPr>
        <w:spacing w:after="120" w:before="120"/>
        <w:jc w:val="both"/>
      </w:pPr>
      <w:r>
        <w:rPr>
          <w:rFonts w:ascii="Arial" w:cs="Arial" w:eastAsia="Arial" w:hAnsi="Arial"/>
          <w:sz w:val="24"/>
          <w:szCs w:val="24"/>
        </w:rPr>
        <w:t xml:space="preserve">Given the intensifying regulatory environment around healthcare AI, Cotiviti should consider building a formal AI governance practice — encompassing model validation standards, HIPAA-compliant AI deployment frameworks, algorithmic bias auditing, and client advisory services. This positions Cotiviti not only as an analytics vendor but as a trusted advisor on responsible AI adoption, a role that aligns with its stated values of transparency, authenticity, and accountability.</w:t>
      </w:r>
    </w:p>
    <w:p>
      <w:r>
        <w:br w:type="page"/>
      </w:r>
    </w:p>
    <w:p>
      <w:pPr>
        <w:pStyle w:val="Heading1"/>
      </w:pPr>
      <w:r>
        <w:rPr>
          <w:rFonts w:ascii="Arial" w:cs="Arial" w:eastAsia="Arial" w:hAnsi="Arial"/>
          <w:b/>
          <w:bCs/>
          <w:color w:val="1F3864"/>
          <w:sz w:val="32"/>
          <w:szCs w:val="32"/>
        </w:rPr>
        <w:t xml:space="preserve">III. Bibliography</w:t>
      </w:r>
    </w:p>
    <w:p>
      <w:pPr>
        <w:spacing w:after="0" w:before="100"/>
      </w:pPr>
      <w:r>
        <w:t xml:space="preserve"/>
      </w:r>
    </w:p>
    <w:p>
      <w:pPr>
        <w:spacing w:after="80" w:before="80"/>
        <w:ind w:left="720" w:hanging="720"/>
      </w:pPr>
      <w:r>
        <w:rPr>
          <w:rFonts w:ascii="Arial" w:cs="Arial" w:eastAsia="Arial" w:hAnsi="Arial"/>
          <w:sz w:val="22"/>
          <w:szCs w:val="22"/>
        </w:rPr>
        <w:t xml:space="preserve">Cotiviti. (2025). Annual Cotiviti client conference focuses on AI, interoperability and reducing healthcare costs. Cotiviti. https://www.cotiviti.com/annual-cotiviti-client-conference-focuses-on-ai-interoperability-and-reducing-healthcare-costs</w:t>
      </w:r>
    </w:p>
    <w:p>
      <w:pPr>
        <w:spacing w:after="0" w:before="80"/>
      </w:pPr>
      <w:r>
        <w:t xml:space="preserve"/>
      </w:r>
    </w:p>
    <w:p>
      <w:pPr>
        <w:spacing w:after="80" w:before="80"/>
        <w:ind w:left="720" w:hanging="720"/>
      </w:pPr>
      <w:r>
        <w:rPr>
          <w:rFonts w:ascii="Arial" w:cs="Arial" w:eastAsia="Arial" w:hAnsi="Arial"/>
          <w:sz w:val="22"/>
          <w:szCs w:val="22"/>
        </w:rPr>
        <w:t xml:space="preserve">Cotiviti. (2026). Cotiviti completes acquisition of Edifecs. Cotiviti/Edifecs Newsroom. https://www.edifecs.com/newsroom/2025-cotiviti-completes-acquisition-of-edifecs</w:t>
      </w:r>
    </w:p>
    <w:p>
      <w:pPr>
        <w:spacing w:after="0" w:before="80"/>
      </w:pPr>
      <w:r>
        <w:t xml:space="preserve"/>
      </w:r>
    </w:p>
    <w:p>
      <w:pPr>
        <w:spacing w:after="80" w:before="80"/>
        <w:ind w:left="720" w:hanging="720"/>
      </w:pPr>
      <w:r>
        <w:rPr>
          <w:rFonts w:ascii="Arial" w:cs="Arial" w:eastAsia="Arial" w:hAnsi="Arial"/>
          <w:sz w:val="22"/>
          <w:szCs w:val="22"/>
        </w:rPr>
        <w:t xml:space="preserve">Frontiers in Physics. (2024). Advancements and gaps in natural language processing and machine learning applications in healthcare: A comprehensive review of electronic medical records and medical imaging. Frontiers in Physics, 12. https://doi.org/10.3389/fphy.2024.1445204</w:t>
      </w:r>
    </w:p>
    <w:p>
      <w:pPr>
        <w:spacing w:after="0" w:before="80"/>
      </w:pPr>
      <w:r>
        <w:t xml:space="preserve"/>
      </w:r>
    </w:p>
    <w:p>
      <w:pPr>
        <w:spacing w:after="80" w:before="80"/>
        <w:ind w:left="720" w:hanging="720"/>
      </w:pPr>
      <w:r>
        <w:rPr>
          <w:rFonts w:ascii="Arial" w:cs="Arial" w:eastAsia="Arial" w:hAnsi="Arial"/>
          <w:sz w:val="22"/>
          <w:szCs w:val="22"/>
        </w:rPr>
        <w:t xml:space="preserve">Frontiers in Digital Health. (2025). Large language models in real-world clinical workflows: A systematic review of applications and implementation. Frontiers in Digital Health. https://www.frontiersin.org/journals/digital-health/articles/10.3389/fdgth.2025.1659134/full</w:t>
      </w:r>
    </w:p>
    <w:p>
      <w:pPr>
        <w:spacing w:after="0" w:before="80"/>
      </w:pPr>
      <w:r>
        <w:t xml:space="preserve"/>
      </w:r>
    </w:p>
    <w:p>
      <w:pPr>
        <w:spacing w:after="80" w:before="80"/>
        <w:ind w:left="720" w:hanging="720"/>
      </w:pPr>
      <w:r>
        <w:rPr>
          <w:rFonts w:ascii="Arial" w:cs="Arial" w:eastAsia="Arial" w:hAnsi="Arial"/>
          <w:sz w:val="22"/>
          <w:szCs w:val="22"/>
        </w:rPr>
        <w:t xml:space="preserve">Jellyfish Technologies. (2025). Natural language processing in healthcare: Applications and benefits. https://www.jellyfishtechnologies.com/nlp-in-healthcare-applications-and-benefits/</w:t>
      </w:r>
    </w:p>
    <w:p>
      <w:pPr>
        <w:spacing w:after="0" w:before="80"/>
      </w:pPr>
      <w:r>
        <w:t xml:space="preserve"/>
      </w:r>
    </w:p>
    <w:p>
      <w:pPr>
        <w:spacing w:after="80" w:before="80"/>
        <w:ind w:left="720" w:hanging="720"/>
      </w:pPr>
      <w:r>
        <w:rPr>
          <w:rFonts w:ascii="Arial" w:cs="Arial" w:eastAsia="Arial" w:hAnsi="Arial"/>
          <w:sz w:val="22"/>
          <w:szCs w:val="22"/>
        </w:rPr>
        <w:t xml:space="preserve">MarketsandMarkets. (2025). NLP in healthcare market. Cited in Smart Health Asia. https://smarthealthasia.com/blog/natural-language-processing-nlp-in-healthcare/</w:t>
      </w:r>
    </w:p>
    <w:p>
      <w:pPr>
        <w:spacing w:after="0" w:before="80"/>
      </w:pPr>
      <w:r>
        <w:t xml:space="preserve"/>
      </w:r>
    </w:p>
    <w:p>
      <w:pPr>
        <w:spacing w:after="80" w:before="80"/>
        <w:ind w:left="720" w:hanging="720"/>
      </w:pPr>
      <w:r>
        <w:rPr>
          <w:rFonts w:ascii="Arial" w:cs="Arial" w:eastAsia="Arial" w:hAnsi="Arial"/>
          <w:sz w:val="22"/>
          <w:szCs w:val="22"/>
        </w:rPr>
        <w:t xml:space="preserve">McNeese Law. (2025, July 15). AI adoption by physicians soars, triggering HIPAA compliance risks. The Legal Intelligencer / McNeesLaw.com. https://www.mcneeslaw.com/ai-hipaa-compliance-risks/</w:t>
      </w:r>
    </w:p>
    <w:p>
      <w:pPr>
        <w:spacing w:after="0" w:before="80"/>
      </w:pPr>
      <w:r>
        <w:t xml:space="preserve"/>
      </w:r>
    </w:p>
    <w:p>
      <w:pPr>
        <w:spacing w:after="80" w:before="80"/>
        <w:ind w:left="720" w:hanging="720"/>
      </w:pPr>
      <w:r>
        <w:rPr>
          <w:rFonts w:ascii="Arial" w:cs="Arial" w:eastAsia="Arial" w:hAnsi="Arial"/>
          <w:sz w:val="22"/>
          <w:szCs w:val="22"/>
        </w:rPr>
        <w:t xml:space="preserve">Nature Communications Medicine. (2025). Current applications and challenges in large language models for patient care: A systematic review. Communications Medicine, 5, Article 26. https://doi.org/10.1038/s43856-024-00717-2</w:t>
      </w:r>
    </w:p>
    <w:p>
      <w:pPr>
        <w:spacing w:after="0" w:before="80"/>
      </w:pPr>
      <w:r>
        <w:t xml:space="preserve"/>
      </w:r>
    </w:p>
    <w:p>
      <w:pPr>
        <w:spacing w:after="80" w:before="80"/>
        <w:ind w:left="720" w:hanging="720"/>
      </w:pPr>
      <w:r>
        <w:rPr>
          <w:rFonts w:ascii="Arial" w:cs="Arial" w:eastAsia="Arial" w:hAnsi="Arial"/>
          <w:sz w:val="22"/>
          <w:szCs w:val="22"/>
        </w:rPr>
        <w:t xml:space="preserve">New York State Dental Association. (2025, January 11). OCR issues guidance on AI in health care. NYSDA News. https://www.nysdental.org/news-publications/news/2025/01/11/ocr-issues-guidance-on-ai-in-health-care</w:t>
      </w:r>
    </w:p>
    <w:p>
      <w:pPr>
        <w:spacing w:after="0" w:before="80"/>
      </w:pPr>
      <w:r>
        <w:t xml:space="preserve"/>
      </w:r>
    </w:p>
    <w:p>
      <w:pPr>
        <w:spacing w:after="80" w:before="80"/>
        <w:ind w:left="720" w:hanging="720"/>
      </w:pPr>
      <w:r>
        <w:rPr>
          <w:rFonts w:ascii="Arial" w:cs="Arial" w:eastAsia="Arial" w:hAnsi="Arial"/>
          <w:sz w:val="22"/>
          <w:szCs w:val="22"/>
        </w:rPr>
        <w:t xml:space="preserve">Percha, B. (2021). Modern clinical text mining: A guide and review. Annual Review of Biomedical Data Science, 4, 165–187. https://doi.org/10.1146/annurev-biodatasci-030421-030931</w:t>
      </w:r>
    </w:p>
    <w:p>
      <w:pPr>
        <w:spacing w:after="0" w:before="80"/>
      </w:pPr>
      <w:r>
        <w:t xml:space="preserve"/>
      </w:r>
    </w:p>
    <w:p>
      <w:pPr>
        <w:spacing w:after="80" w:before="80"/>
        <w:ind w:left="720" w:hanging="720"/>
      </w:pPr>
      <w:r>
        <w:rPr>
          <w:rFonts w:ascii="Arial" w:cs="Arial" w:eastAsia="Arial" w:hAnsi="Arial"/>
          <w:sz w:val="22"/>
          <w:szCs w:val="22"/>
        </w:rPr>
        <w:t xml:space="preserve">ResearchGate / Pandugula et al. (2024). Natural language processing (NLP) for mining clinical text in disease prevention. ResearchGate. https://www.researchgate.net/publication/392325678</w:t>
      </w:r>
    </w:p>
    <w:p>
      <w:pPr>
        <w:spacing w:after="0" w:before="80"/>
      </w:pPr>
      <w:r>
        <w:t xml:space="preserve"/>
      </w:r>
    </w:p>
    <w:p>
      <w:pPr>
        <w:spacing w:after="80" w:before="80"/>
        <w:ind w:left="720" w:hanging="720"/>
      </w:pPr>
      <w:r>
        <w:rPr>
          <w:rFonts w:ascii="Arial" w:cs="Arial" w:eastAsia="Arial" w:hAnsi="Arial"/>
          <w:sz w:val="22"/>
          <w:szCs w:val="22"/>
        </w:rPr>
        <w:t xml:space="preserve">Roots Analysis. (2025). NLP in healthcare and life sciences market. Roots Analysis Market Research. https://www.rootsanalysis.com/reports/nlp-in-healthcare-and-life-sciences-market.html</w:t>
      </w:r>
    </w:p>
    <w:p>
      <w:pPr>
        <w:spacing w:after="0" w:before="80"/>
      </w:pPr>
      <w:r>
        <w:t xml:space="preserve"/>
      </w:r>
    </w:p>
    <w:p>
      <w:pPr>
        <w:spacing w:after="80" w:before="80"/>
        <w:ind w:left="720" w:hanging="720"/>
      </w:pPr>
      <w:r>
        <w:rPr>
          <w:rFonts w:ascii="Arial" w:cs="Arial" w:eastAsia="Arial" w:hAnsi="Arial"/>
          <w:sz w:val="22"/>
          <w:szCs w:val="22"/>
        </w:rPr>
        <w:t xml:space="preserve">ScienceDirect / Advances in Biomedical Research. (2025). Advances in natural language processing for healthcare: A comprehensive review of techniques, applications, and future directions. ScienceDirect. https://doi.org/10.1016/j.iti.2025.001</w:t>
      </w:r>
    </w:p>
    <w:p>
      <w:pPr>
        <w:spacing w:after="0" w:before="80"/>
      </w:pPr>
      <w:r>
        <w:t xml:space="preserve"/>
      </w:r>
    </w:p>
    <w:p>
      <w:pPr>
        <w:spacing w:after="80" w:before="80"/>
        <w:ind w:left="720" w:hanging="720"/>
      </w:pPr>
      <w:r>
        <w:rPr>
          <w:rFonts w:ascii="Arial" w:cs="Arial" w:eastAsia="Arial" w:hAnsi="Arial"/>
          <w:sz w:val="22"/>
          <w:szCs w:val="22"/>
        </w:rPr>
        <w:t xml:space="preserve">ScienceDirect. (2025). 2025 expert consensus on retrospective evaluation of large language model applications in clinical scenarios. ScienceDirect. https://www.sciencedirect.com/science/article/pii/S2667102625001044</w:t>
      </w:r>
    </w:p>
    <w:p>
      <w:pPr>
        <w:spacing w:after="0" w:before="80"/>
      </w:pPr>
      <w:r>
        <w:t xml:space="preserve"/>
      </w:r>
    </w:p>
    <w:p>
      <w:pPr>
        <w:spacing w:after="80" w:before="80"/>
        <w:ind w:left="720" w:hanging="720"/>
      </w:pPr>
      <w:r>
        <w:rPr>
          <w:rFonts w:ascii="Arial" w:cs="Arial" w:eastAsia="Arial" w:hAnsi="Arial"/>
          <w:sz w:val="22"/>
          <w:szCs w:val="22"/>
        </w:rPr>
        <w:t xml:space="preserve">SkyQuestT. (2023, updated 2025). Healthcare analytics market: Data trends, size forecast 2033. SkyQuestT Market Research. https://www.skyquestt.com/report/healthcare-analytics-market</w:t>
      </w:r>
    </w:p>
    <w:p>
      <w:pPr>
        <w:spacing w:after="0" w:before="80"/>
      </w:pPr>
      <w:r>
        <w:t xml:space="preserve"/>
      </w:r>
    </w:p>
    <w:p>
      <w:pPr>
        <w:spacing w:after="80" w:before="80"/>
        <w:ind w:left="720" w:hanging="720"/>
      </w:pPr>
      <w:r>
        <w:rPr>
          <w:rFonts w:ascii="Arial" w:cs="Arial" w:eastAsia="Arial" w:hAnsi="Arial"/>
          <w:sz w:val="22"/>
          <w:szCs w:val="22"/>
        </w:rPr>
        <w:t xml:space="preserve">Sprypt. (2025, December 2). HIPAA compliance AI in 2025: Critical security requirements you can’t ignore. https://www.sprypt.com/blog/hipaa-compliance-ai-in-2025-critical-security-requirements</w:t>
      </w:r>
    </w:p>
    <w:p>
      <w:pPr>
        <w:spacing w:after="0" w:before="80"/>
      </w:pPr>
      <w:r>
        <w:t xml:space="preserve"/>
      </w:r>
    </w:p>
    <w:p>
      <w:pPr>
        <w:spacing w:after="80" w:before="80"/>
        <w:ind w:left="720" w:hanging="720"/>
      </w:pPr>
      <w:r>
        <w:rPr>
          <w:rFonts w:ascii="Arial" w:cs="Arial" w:eastAsia="Arial" w:hAnsi="Arial"/>
          <w:sz w:val="22"/>
          <w:szCs w:val="22"/>
        </w:rPr>
        <w:t xml:space="preserve">TechTarget HealthTech Security. (2026, April 23). OCR settles four HIPAA investigations, prioritizes risk analysis. TechTarget. https://www.techtarget.com/healthtechsecurity/news/366642176/OCR-settles-four-HIPAA-investigations-prioritizes-risk-analysis</w:t>
      </w:r>
    </w:p>
    <w:p>
      <w:pPr>
        <w:spacing w:after="0" w:before="80"/>
      </w:pPr>
      <w:r>
        <w:t xml:space="preserve"/>
      </w:r>
    </w:p>
    <w:p>
      <w:pPr>
        <w:spacing w:after="80" w:before="80"/>
        <w:ind w:left="720" w:hanging="720"/>
      </w:pPr>
      <w:r>
        <w:rPr>
          <w:rFonts w:ascii="Arial" w:cs="Arial" w:eastAsia="Arial" w:hAnsi="Arial"/>
          <w:sz w:val="22"/>
          <w:szCs w:val="22"/>
        </w:rPr>
        <w:t xml:space="preserve">Toward Healthcare / Future Market Insights. (2026). Natural language processing (NLP) in healthcare and life sciences market size and trends. Toward Healthcare. https://www.towardshealthcare.com/insights/natural-language-processing-nlp-in-healthcare-and-life-sciences-market-sizing</w:t>
      </w:r>
    </w:p>
    <w:p>
      <w:pPr>
        <w:spacing w:after="0" w:before="80"/>
      </w:pPr>
      <w:r>
        <w:t xml:space="preserve"/>
      </w:r>
    </w:p>
    <w:p>
      <w:pPr>
        <w:spacing w:after="80" w:before="80"/>
        <w:ind w:left="720" w:hanging="720"/>
      </w:pPr>
      <w:r>
        <w:rPr>
          <w:rFonts w:ascii="Arial" w:cs="Arial" w:eastAsia="Arial" w:hAnsi="Arial"/>
          <w:sz w:val="22"/>
          <w:szCs w:val="22"/>
        </w:rPr>
        <w:t xml:space="preserve">Veritis Group. (2025, December 5). Advanced natural language processing in healthcare solutions. https://www.veritis.com/blog/natural-language-processing-in-healthcare-a-game-changer-for-medical-data-analysis/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090"/>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2026-06-29T20:06:21.072Z</dcterms:created>
  <dcterms:modified xsi:type="dcterms:W3CDTF">2026-06-29T20:06:21.073Z</dcterms:modified>
</cp:coreProperties>
</file>

<file path=docProps/custom.xml><?xml version="1.0" encoding="utf-8"?>
<Properties xmlns="http://schemas.openxmlformats.org/officeDocument/2006/custom-properties" xmlns:vt="http://schemas.openxmlformats.org/officeDocument/2006/docPropsVTypes"/>
</file>