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color w:val="007F86"/>
        </w:rPr>
        <w:t>iLILA Optical Sensitivity Project Plan</w:t>
      </w:r>
    </w:p>
    <w:p>
      <w:pPr>
        <w:pStyle w:val="Subtitle"/>
      </w:pPr>
      <w:r>
        <w:rPr>
          <w:color w:val="006C73"/>
        </w:rPr>
        <w:t>Kaylah McGowan  |  24 September 2026</w:t>
      </w:r>
    </w:p>
    <w:p>
      <w:r>
        <w:t>Reverse engineer the 1 km iLILA instrument requirements from the sensitivity curves in the papers and the SNR needed for the science goals. Connect the optical model, noise budget and coupling transfer functions to the resulting sensitivity and SNR. Seismic coupling is the central unresolved physics question and begins alongside optical modeling.</w:t>
      </w:r>
    </w:p>
    <w:p>
      <w:pPr>
        <w:pStyle w:val="Heading2"/>
      </w:pPr>
      <w:r>
        <w:rPr>
          <w:color w:val="006C73"/>
        </w:rPr>
        <w:t>Project scope</w:t>
      </w:r>
    </w:p>
    <w:tbl>
      <w:tblPr>
        <w:tblW w:type="auto" w:w="0"/>
        <w:jc w:val="center"/>
        <w:tblLayout w:type="fixed"/>
        <w:tblLook w:firstColumn="1" w:firstRow="1" w:lastColumn="0" w:lastRow="0" w:noHBand="0" w:noVBand="1" w:val="04A0"/>
      </w:tblPr>
      <w:tblGrid>
        <w:gridCol w:w="1800"/>
        <w:gridCol w:w="3744"/>
        <w:gridCol w:w="4536"/>
      </w:tblGrid>
      <w:tr>
        <w:trPr>
          <w:cantSplit/>
          <w:tblHeader/>
        </w:trPr>
        <w:tc>
          <w:tcPr>
            <w:tcW w:type="dxa" w:w="1800"/>
            <w:vAlign w:val="center"/>
            <w:tcMar>
              <w:top w:w="135" w:type="dxa"/>
              <w:left w:w="135" w:type="dxa"/>
              <w:bottom w:w="135" w:type="dxa"/>
              <w:right w:w="135" w:type="dxa"/>
            </w:tcMar>
            <w:tcBorders>
              <w:top w:val="nil"/>
              <w:left w:val="nil"/>
              <w:bottom w:val="nil"/>
              <w:right w:val="nil"/>
            </w:tcBorders>
            <w:shd w:fill="007F86"/>
          </w:tcPr>
          <w:p>
            <w:pPr>
              <w:spacing w:after="40" w:before="40"/>
            </w:pPr>
            <w:r>
              <w:rPr>
                <w:b/>
                <w:color w:val="FFFFFF"/>
                <w:sz w:val="21"/>
              </w:rPr>
              <w:t>Model</w:t>
            </w:r>
          </w:p>
        </w:tc>
        <w:tc>
          <w:tcPr>
            <w:tcW w:type="dxa" w:w="3744"/>
            <w:vAlign w:val="center"/>
            <w:tcMar>
              <w:top w:w="135" w:type="dxa"/>
              <w:left w:w="135" w:type="dxa"/>
              <w:bottom w:w="135" w:type="dxa"/>
              <w:right w:w="135" w:type="dxa"/>
            </w:tcMar>
            <w:tcBorders>
              <w:top w:val="nil"/>
              <w:left w:val="nil"/>
              <w:bottom w:val="nil"/>
              <w:right w:val="nil"/>
            </w:tcBorders>
            <w:shd w:fill="007F86"/>
          </w:tcPr>
          <w:p>
            <w:pPr>
              <w:spacing w:after="40" w:before="40"/>
            </w:pPr>
            <w:r>
              <w:rPr>
                <w:b/>
                <w:color w:val="FFFFFF"/>
                <w:sz w:val="21"/>
              </w:rPr>
              <w:t>Purpose</w:t>
            </w:r>
          </w:p>
        </w:tc>
        <w:tc>
          <w:tcPr>
            <w:tcW w:type="dxa" w:w="4536"/>
            <w:vAlign w:val="center"/>
            <w:tcMar>
              <w:top w:w="135" w:type="dxa"/>
              <w:left w:w="135" w:type="dxa"/>
              <w:bottom w:w="135" w:type="dxa"/>
              <w:right w:w="135" w:type="dxa"/>
            </w:tcMar>
            <w:tcBorders>
              <w:top w:val="nil"/>
              <w:left w:val="nil"/>
              <w:bottom w:val="nil"/>
              <w:right w:val="nil"/>
            </w:tcBorders>
            <w:shd w:fill="007F86"/>
          </w:tcPr>
          <w:p>
            <w:pPr>
              <w:spacing w:after="40" w:before="40"/>
            </w:pPr>
            <w:r>
              <w:rPr>
                <w:b/>
                <w:color w:val="FFFFFF"/>
                <w:sz w:val="21"/>
              </w:rPr>
              <w:t>Configuration</w:t>
            </w:r>
          </w:p>
        </w:tc>
      </w:tr>
      <w:tr>
        <w:trPr>
          <w:cantSplit/>
        </w:trPr>
        <w:tc>
          <w:tcPr>
            <w:tcW w:type="dxa" w:w="1800"/>
            <w:vAlign w:val="center"/>
            <w:tcMar>
              <w:top w:w="135" w:type="dxa"/>
              <w:left w:w="135" w:type="dxa"/>
              <w:bottom w:w="135" w:type="dxa"/>
              <w:right w:w="135" w:type="dxa"/>
            </w:tcMar>
            <w:tcBorders>
              <w:top w:val="nil"/>
              <w:left w:val="nil"/>
              <w:bottom w:val="nil"/>
              <w:right w:val="nil"/>
            </w:tcBorders>
            <w:shd w:fill="EAF8F8"/>
          </w:tcPr>
          <w:p>
            <w:pPr>
              <w:spacing w:after="40" w:before="40"/>
            </w:pPr>
            <w:r>
              <w:rPr>
                <w:b/>
                <w:color w:val="006C73"/>
                <w:sz w:val="21"/>
              </w:rPr>
              <w:t>Laboratory Michelson</w:t>
            </w:r>
          </w:p>
        </w:tc>
        <w:tc>
          <w:tcPr>
            <w:tcW w:type="dxa" w:w="3744"/>
            <w:vAlign w:val="center"/>
            <w:tcMar>
              <w:top w:w="135" w:type="dxa"/>
              <w:left w:w="135" w:type="dxa"/>
              <w:bottom w:w="135" w:type="dxa"/>
              <w:right w:w="135" w:type="dxa"/>
            </w:tcMar>
            <w:tcBorders>
              <w:top w:val="nil"/>
              <w:left w:val="nil"/>
              <w:bottom w:val="nil"/>
              <w:right w:val="nil"/>
            </w:tcBorders>
            <w:shd w:fill="EAF8F8"/>
          </w:tcPr>
          <w:p>
            <w:pPr>
              <w:spacing w:after="40" w:before="40"/>
            </w:pPr>
            <w:r>
              <w:rPr>
                <w:b w:val="0"/>
                <w:color w:val="202A32"/>
                <w:sz w:val="21"/>
              </w:rPr>
              <w:t>Validate Gaussian propagation, readout and noise couplings.</w:t>
            </w:r>
          </w:p>
        </w:tc>
        <w:tc>
          <w:tcPr>
            <w:tcW w:type="dxa" w:w="4536"/>
            <w:vAlign w:val="center"/>
            <w:tcMar>
              <w:top w:w="135" w:type="dxa"/>
              <w:left w:w="135" w:type="dxa"/>
              <w:bottom w:w="135" w:type="dxa"/>
              <w:right w:w="135" w:type="dxa"/>
            </w:tcMar>
            <w:tcBorders>
              <w:top w:val="nil"/>
              <w:left w:val="nil"/>
              <w:bottom w:val="nil"/>
              <w:right w:val="nil"/>
            </w:tcBorders>
            <w:shd w:fill="EAF8F8"/>
          </w:tcPr>
          <w:p>
            <w:pPr>
              <w:spacing w:after="40" w:before="40"/>
            </w:pPr>
            <w:r>
              <w:rPr>
                <w:b w:val="0"/>
                <w:color w:val="202A32"/>
                <w:sz w:val="21"/>
              </w:rPr>
              <w:t>Use the actual bench dimensions and 1550 nm hardware; resolve the 2.5 mm beam-size definition.</w:t>
            </w:r>
          </w:p>
        </w:tc>
      </w:tr>
      <w:tr>
        <w:trPr>
          <w:cantSplit/>
        </w:trPr>
        <w:tc>
          <w:tcPr>
            <w:tcW w:type="dxa" w:w="1800"/>
            <w:vAlign w:val="center"/>
            <w:tcMar>
              <w:top w:w="135" w:type="dxa"/>
              <w:left w:w="135" w:type="dxa"/>
              <w:bottom w:w="135" w:type="dxa"/>
              <w:right w:w="135" w:type="dxa"/>
            </w:tcMar>
            <w:tcBorders>
              <w:top w:val="nil"/>
              <w:left w:val="nil"/>
              <w:bottom w:val="nil"/>
              <w:right w:val="nil"/>
            </w:tcBorders>
            <w:shd w:fill="FFFFFF"/>
          </w:tcPr>
          <w:p>
            <w:pPr>
              <w:spacing w:after="40" w:before="40"/>
            </w:pPr>
            <w:r>
              <w:rPr>
                <w:b/>
                <w:color w:val="006C73"/>
                <w:sz w:val="21"/>
              </w:rPr>
              <w:t>1 km iLILA</w:t>
            </w:r>
          </w:p>
        </w:tc>
        <w:tc>
          <w:tcPr>
            <w:tcW w:type="dxa" w:w="3744"/>
            <w:vAlign w:val="center"/>
            <w:tcMar>
              <w:top w:w="135" w:type="dxa"/>
              <w:left w:w="135" w:type="dxa"/>
              <w:bottom w:w="135" w:type="dxa"/>
              <w:right w:w="135" w:type="dxa"/>
            </w:tcMar>
            <w:tcBorders>
              <w:top w:val="nil"/>
              <w:left w:val="nil"/>
              <w:bottom w:val="nil"/>
              <w:right w:val="nil"/>
            </w:tcBorders>
            <w:shd w:fill="FFFFFF"/>
          </w:tcPr>
          <w:p>
            <w:pPr>
              <w:spacing w:after="40" w:before="40"/>
            </w:pPr>
            <w:r>
              <w:rPr>
                <w:b w:val="0"/>
                <w:color w:val="202A32"/>
                <w:sz w:val="21"/>
              </w:rPr>
              <w:t>Primary sensitivity and SNR study.</w:t>
            </w:r>
          </w:p>
        </w:tc>
        <w:tc>
          <w:tcPr>
            <w:tcW w:type="dxa" w:w="4536"/>
            <w:vAlign w:val="center"/>
            <w:tcMar>
              <w:top w:w="135" w:type="dxa"/>
              <w:left w:w="135" w:type="dxa"/>
              <w:bottom w:w="135" w:type="dxa"/>
              <w:right w:w="135" w:type="dxa"/>
            </w:tcMar>
            <w:tcBorders>
              <w:top w:val="nil"/>
              <w:left w:val="nil"/>
              <w:bottom w:val="nil"/>
              <w:right w:val="nil"/>
            </w:tcBorders>
            <w:shd w:fill="FFFFFF"/>
          </w:tcPr>
          <w:p>
            <w:pPr>
              <w:spacing w:after="40" w:before="40"/>
            </w:pPr>
            <w:r>
              <w:rPr>
                <w:b w:val="0"/>
                <w:color w:val="202A32"/>
                <w:sz w:val="21"/>
              </w:rPr>
              <w:t>No arm cavities; rigidly mounted optics. Keep laser-stabilization and mode-cleaning cavities distinct from arm cavities.</w:t>
            </w:r>
          </w:p>
        </w:tc>
      </w:tr>
      <w:tr>
        <w:trPr>
          <w:cantSplit/>
        </w:trPr>
        <w:tc>
          <w:tcPr>
            <w:tcW w:type="dxa" w:w="1800"/>
            <w:vAlign w:val="center"/>
            <w:tcMar>
              <w:top w:w="135" w:type="dxa"/>
              <w:left w:w="135" w:type="dxa"/>
              <w:bottom w:w="135" w:type="dxa"/>
              <w:right w:w="135" w:type="dxa"/>
            </w:tcMar>
            <w:tcBorders>
              <w:top w:val="nil"/>
              <w:left w:val="nil"/>
              <w:bottom w:val="nil"/>
              <w:right w:val="nil"/>
            </w:tcBorders>
            <w:shd w:fill="EAF8F8"/>
          </w:tcPr>
          <w:p>
            <w:pPr>
              <w:spacing w:after="40" w:before="40"/>
            </w:pPr>
            <w:r>
              <w:rPr>
                <w:b/>
                <w:color w:val="006C73"/>
                <w:sz w:val="21"/>
              </w:rPr>
              <w:t>LILA Observatory</w:t>
            </w:r>
          </w:p>
        </w:tc>
        <w:tc>
          <w:tcPr>
            <w:tcW w:type="dxa" w:w="3744"/>
            <w:vAlign w:val="center"/>
            <w:tcMar>
              <w:top w:w="135" w:type="dxa"/>
              <w:left w:w="135" w:type="dxa"/>
              <w:bottom w:w="135" w:type="dxa"/>
              <w:right w:w="135" w:type="dxa"/>
            </w:tcMar>
            <w:tcBorders>
              <w:top w:val="nil"/>
              <w:left w:val="nil"/>
              <w:bottom w:val="nil"/>
              <w:right w:val="nil"/>
            </w:tcBorders>
            <w:shd w:fill="EAF8F8"/>
          </w:tcPr>
          <w:p>
            <w:pPr>
              <w:spacing w:after="40" w:before="40"/>
            </w:pPr>
            <w:r>
              <w:rPr>
                <w:b w:val="0"/>
                <w:color w:val="202A32"/>
                <w:sz w:val="21"/>
              </w:rPr>
              <w:t>Later cavity extension and comparison.</w:t>
            </w:r>
          </w:p>
        </w:tc>
        <w:tc>
          <w:tcPr>
            <w:tcW w:type="dxa" w:w="4536"/>
            <w:vAlign w:val="center"/>
            <w:tcMar>
              <w:top w:w="135" w:type="dxa"/>
              <w:left w:w="135" w:type="dxa"/>
              <w:bottom w:w="135" w:type="dxa"/>
              <w:right w:w="135" w:type="dxa"/>
            </w:tcMar>
            <w:tcBorders>
              <w:top w:val="nil"/>
              <w:left w:val="nil"/>
              <w:bottom w:val="nil"/>
              <w:right w:val="nil"/>
            </w:tcBorders>
            <w:shd w:fill="EAF8F8"/>
          </w:tcPr>
          <w:p>
            <w:pPr>
              <w:spacing w:after="40" w:before="40"/>
            </w:pPr>
            <w:r>
              <w:rPr>
                <w:b w:val="0"/>
                <w:color w:val="202A32"/>
                <w:sz w:val="21"/>
              </w:rPr>
              <w:t>Add the agreed cavity architecture after the iLILA model is validated.</w:t>
            </w:r>
          </w:p>
        </w:tc>
      </w:tr>
    </w:tbl>
    <w:p/>
    <w:p>
      <w:pPr>
        <w:pStyle w:val="Heading1"/>
        <w:pageBreakBefore/>
      </w:pPr>
      <w:r>
        <w:rPr>
          <w:color w:val="007F86"/>
        </w:rPr>
        <w:t>Baseline and research questions</w:t>
      </w:r>
    </w:p>
    <w:p>
      <w:pPr>
        <w:pStyle w:val="Heading2"/>
      </w:pPr>
      <w:r>
        <w:rPr>
          <w:color w:val="006C73"/>
        </w:rPr>
        <w:t>Starting point and controlled assumptions</w:t>
      </w:r>
    </w:p>
    <w:p>
      <w:r>
        <w:t>Continue from the existing simple Michelson and Gouy-phase modeling work. Preserve the previous V2 noise budget as a reference, then replace assumed couplings with validated transfer functions. Earlier successful plots establish a starting point, not completion of the 1 km sensitivity study.</w:t>
      </w:r>
    </w:p>
    <w:p>
      <w:r>
        <w:t>The August proposal and V2 README specify a preliminary displacement target of 10⁻¹⁵ m/√Hz over 1–100 mHz. They also carry 1064 nm mission assumptions. Keep these separate from the 1550 nm laboratory hardware until the team approves a common configuration. Record wavelength, geometry, laser power, received power, beam radii, materials, readout and arm mismatch in one parameter register. [1]</w:t>
      </w:r>
    </w:p>
    <w:p>
      <w:pPr>
        <w:pStyle w:val="Heading2"/>
      </w:pPr>
      <w:r>
        <w:rPr>
          <w:color w:val="006C73"/>
        </w:rPr>
        <w:t>Primary research questions</w:t>
      </w:r>
    </w:p>
    <w:p>
      <w:pPr>
        <w:pStyle w:val="ListBullet"/>
      </w:pPr>
      <w:r>
        <w:t>What displacement sensitivity can the specified optical system achieve, and which physical or technical terms limit it?</w:t>
      </w:r>
    </w:p>
    <w:p>
      <w:pPr>
        <w:pStyle w:val="ListBullet"/>
      </w:pPr>
      <w:r>
        <w:t>What temperature fluctuations, laser noise, alignment errors and environmental disturbances can it tolerate?</w:t>
      </w:r>
    </w:p>
    <w:p>
      <w:pPr>
        <w:pStyle w:val="ListBullet"/>
      </w:pPr>
      <w:r>
        <w:t>What lunar normal modes and astrophysical sources are measurable under realistic noise and lunar-response assumptions?</w:t>
      </w:r>
    </w:p>
    <w:p>
      <w:pPr>
        <w:pStyle w:val="ListBullet"/>
      </w:pPr>
      <w:r>
        <w:t>Working backward from the reference curves and science SNR targets, what noise allocations, coupling limits and component requirements must iLILA meet?</w:t>
      </w:r>
    </w:p>
    <w:p>
      <w:pPr>
        <w:pStyle w:val="Heading2"/>
      </w:pPr>
      <w:r>
        <w:rPr>
          <w:color w:val="006C73"/>
        </w:rPr>
        <w:t>Immediate next actions</w:t>
      </w:r>
    </w:p>
    <w:p>
      <w:pPr>
        <w:pStyle w:val="ListBullet"/>
      </w:pPr>
      <w:r>
        <w:t>Reproduce the supplied Teviet manuscript; request curve and mode data and identify the exact Joseph paper. Define science sources, observing time and required SNR.</w:t>
      </w:r>
    </w:p>
    <w:p>
      <w:pPr>
        <w:pStyle w:val="ListBullet"/>
      </w:pPr>
      <w:r>
        <w:t>Recover the current Michelson YAML and runner, document package versions, and rerun the beam and Gouy-phase outputs.</w:t>
      </w:r>
    </w:p>
    <w:p>
      <w:pPr>
        <w:pStyle w:val="ListBullet"/>
      </w:pPr>
      <w:r>
        <w:t>Create separate laboratory and 1 km parameter sets. Resolve beam radius versus diameter, readout choice, operating point and laser wavelength.</w:t>
      </w:r>
    </w:p>
    <w:p>
      <w:pPr>
        <w:pStyle w:val="ListBullet"/>
      </w:pPr>
      <w:r>
        <w:t>With Remmy, validate Gaussian propagation. In parallel, inventory seismic spectra, station coherence and ground-to-optics coupling information.</w:t>
      </w:r>
    </w:p>
    <w:p>
      <w:pPr>
        <w:pStyle w:val="ListBullet"/>
      </w:pPr>
      <w:r>
        <w:t>Calculate displacement and laser-frequency transfer functions; collect temperature and radiation coefficients, and define ground translation and tilt inputs.</w:t>
      </w:r>
    </w:p>
    <w:p>
      <w:pPr>
        <w:pStyle w:val="Heading1"/>
        <w:pageBreakBefore/>
      </w:pPr>
      <w:r>
        <w:rPr>
          <w:color w:val="007F86"/>
        </w:rPr>
        <w:t>Optical model and assembly</w:t>
      </w:r>
    </w:p>
    <w:p>
      <w:pPr>
        <w:pStyle w:val="Heading2"/>
      </w:pPr>
      <w:r>
        <w:rPr>
          <w:color w:val="006C73"/>
        </w:rPr>
        <w:t>Optical response and readout</w:t>
      </w:r>
    </w:p>
    <w:p>
      <w:r>
        <w:t>Use Finesse for the optical response and perturbation transfer functions, with Fintrace for existing layout and beam diagnostics. Begin with the simplest Michelson and an analytic phase-response check. Define the actual readout and operating point before reporting a linear sensitivity; an ideal dark port alone does not specify a usable linear power readout. [4]</w:t>
      </w:r>
    </w:p>
    <w:p>
      <w:pPr>
        <w:pStyle w:val="ListBullet"/>
      </w:pPr>
      <w:r>
        <w:t>Trace beam radius, curvature and Gouy phase along both arms. Add mode mismatch and alignment only after the baseline agrees with analytic propagation.</w:t>
      </w:r>
    </w:p>
    <w:p>
      <w:pPr>
        <w:pStyle w:val="ListBullet"/>
      </w:pPr>
      <w:r>
        <w:t>Calculate the 1 km round-trip link budget: apertures, diffraction, clipping, retroreflector response, pointing, losses and detected power.</w:t>
      </w:r>
    </w:p>
    <w:p>
      <w:pPr>
        <w:pStyle w:val="ListBullet"/>
      </w:pPr>
      <w:r>
        <w:t>Sweep differential arm length and laser frequency noise. Use “Schnupp asymmetry” specifically when an intentional asymmetry supports modulation and readout.</w:t>
      </w:r>
    </w:p>
    <w:p>
      <w:r>
        <w:rPr>
          <w:color w:val="006C73"/>
        </w:rPr>
        <w:t>Output: optical schematic, controlled configuration, beam-propagation plots, link budget and calibrated displacement-to-readout response.</w:t>
      </w:r>
    </w:p>
    <w:p>
      <w:pPr>
        <w:pStyle w:val="Heading2"/>
      </w:pPr>
      <w:r>
        <w:rPr>
          <w:color w:val="006C73"/>
        </w:rPr>
        <w:t>CAD and the later cavity model</w:t>
      </w:r>
    </w:p>
    <w:p>
      <w:r>
        <w:t>Create the 3D optical assembly after the beam geometry stabilizes. Include beam envelopes, apertures, mounts, clearances, thermal interfaces and a parts list. Develop the future cavity model as a separate configuration, with Gaussian modes, stability, losses and noise couplings carried over consistently.</w:t>
      </w:r>
    </w:p>
    <w:p>
      <w:pPr>
        <w:pStyle w:val="Heading1"/>
        <w:pageBreakBefore/>
      </w:pPr>
      <w:r>
        <w:rPr>
          <w:color w:val="007F86"/>
        </w:rPr>
        <w:t>Noise budget and science reach</w:t>
      </w:r>
    </w:p>
    <w:p>
      <w:pPr>
        <w:pStyle w:val="Heading2"/>
      </w:pPr>
      <w:r>
        <w:rPr>
          <w:color w:val="006C73"/>
        </w:rPr>
        <w:t>Noise sources and environmental limits</w:t>
      </w:r>
    </w:p>
    <w:p>
      <w:r>
        <w:t>Build a custom iLILA budget in Python, optionally using pygwinc. Its generalized budget interface supports arbitrary experiments; standard ground-based suspension models need not be inherited. Use rigid-support mechanical responses where applicable. [5]</w:t>
      </w:r>
    </w:p>
    <w:p>
      <w:pPr>
        <w:pStyle w:val="ListBullet"/>
      </w:pPr>
      <w:r>
        <w:t>Include shot/readout noise; laser frequency and intensity noise; coating, substrate and mount thermal noise; pointing and alignment; electronics and control residuals; scattered light; and environmental coupling.</w:t>
      </w:r>
    </w:p>
    <w:p>
      <w:pPr>
        <w:pStyle w:val="ListBullet"/>
      </w:pPr>
      <w:r>
        <w:t>Separate equilibrium thermal noise from temperature-driven expansion, refractive-index changes and drift. A ±10 mK stability specification is not a temperature noise spectrum.</w:t>
      </w:r>
    </w:p>
    <w:p>
      <w:pPr>
        <w:pStyle w:val="ListBullet"/>
      </w:pPr>
      <w:r>
        <w:t>Separate photon radiation-pressure effects from ionizing-radiation damage, charging, transients and long-term drift. Model the latter as noise spectra, events or degradation according to the mechanism.</w:t>
      </w:r>
    </w:p>
    <w:p>
      <w:r>
        <w:rPr>
          <w:color w:val="006C73"/>
        </w:rPr>
        <w:t>Output: a coupling register for every included noise source, displacement ASD by source, correlated total where needed, uncertainty bounds, and allowable input noise or coupling versus frequency. Reproduce each paper in its own configuration before translating its assumptions to 1 km iLILA.</w:t>
      </w:r>
    </w:p>
    <w:p>
      <w:pPr>
        <w:pStyle w:val="Heading2"/>
      </w:pPr>
      <w:r>
        <w:rPr>
          <w:color w:val="006C73"/>
        </w:rPr>
        <w:t>Lunar response and science reach</w:t>
      </w:r>
    </w:p>
    <w:p>
      <w:r>
        <w:t>Maintain two calculations: SNR for an explicitly excited lunar normal mode, and GW sensitivity through the Moon’s response. Use mode frequencies, quality factors, eigenfunctions or coupling coefficients, station geometry and an excitation model. Report conservative and optimistic cases. [2, 3]</w:t>
      </w:r>
    </w:p>
    <w:p>
      <w:r>
        <w:rPr>
          <w:color w:val="006C73"/>
        </w:rPr>
        <w:t>Output: lunar response, mode-detection SNR, strain sensitivity, and an astrophysical SNR table with waveform, distance, orientation, observing time and analysis band specified.</w:t>
      </w:r>
    </w:p>
    <w:p>
      <w:pPr>
        <w:pStyle w:val="Heading1"/>
        <w:pageBreakBefore/>
      </w:pPr>
      <w:r>
        <w:rPr>
          <w:color w:val="007F86"/>
        </w:rPr>
        <w:t>Wavelength drift</w:t>
      </w:r>
    </w:p>
    <w:p>
      <w:pPr>
        <w:pStyle w:val="Heading2"/>
      </w:pPr>
      <w:r>
        <w:rPr>
          <w:color w:val="006C73"/>
        </w:rPr>
        <w:t>How wavelength varies with time and temperature</w:t>
      </w:r>
    </w:p>
    <w:p>
      <w:r>
        <w:t>Measure or specify laser frequency as a function of temperature and time for the selected hardware. Track vacuum wavelength through λ = c/ν; for small changes, Δλ/λ = −Δν/ν. Keep laser-frequency drift separate from temperature-driven changes in optical path length, refractive index and mount geometry.</w:t>
      </w:r>
    </w:p>
    <w:p>
      <w:pPr>
        <w:pStyle w:val="ListBullet"/>
      </w:pPr>
      <w:r>
        <w:t>Compare free-running and stabilized operation. Record temperature coefficients, aging drift, thermal time constants, control-loop response and residual frequency-noise spectra; use measured or vendor-supported inputs with uncertainties.</w:t>
      </w:r>
    </w:p>
    <w:p>
      <w:pPr>
        <w:pStyle w:val="ListBullet"/>
      </w:pPr>
      <w:r>
        <w:t>Use temperature histories to study drift and operating-point changes, and temperature spectra plus transfer functions to study noise. Include thermal gradients and delays between the laser, bench and reference cavity where applicable.</w:t>
      </w:r>
    </w:p>
    <w:p>
      <w:pPr>
        <w:pStyle w:val="ListBullet"/>
      </w:pPr>
      <w:r>
        <w:t>Sweep arm mismatch and propagate frequency noise into the calibrated differential displacement. Recompute beam propagation, optical gain and losses when wavelength or temperature changes enough to affect them.</w:t>
      </w:r>
    </w:p>
    <w:p>
      <w:r>
        <w:rPr>
          <w:color w:val="006C73"/>
        </w:rPr>
        <w:t>Output: wavelength versus time and temperature; frequency-noise and equivalent-displacement spectra; allowable thermal fluctuations and arm mismatch; sensitivity and SNR changes for each operating scenario.</w:t>
      </w:r>
    </w:p>
    <w:p>
      <w:pPr>
        <w:pStyle w:val="Heading1"/>
        <w:pageBreakBefore/>
      </w:pPr>
      <w:r>
        <w:rPr>
          <w:color w:val="007F86"/>
        </w:rPr>
        <w:t>Radiation degradation</w:t>
      </w:r>
    </w:p>
    <w:p>
      <w:pPr>
        <w:pStyle w:val="Heading2"/>
      </w:pPr>
      <w:r>
        <w:rPr>
          <w:color w:val="006C73"/>
        </w:rPr>
        <w:t>Parameter switches for the model</w:t>
      </w:r>
    </w:p>
    <w:p>
      <w:r>
        <w:t>Add a master radiation-degradation switch and independent component switches to the future model configuration. Preserve a nominal baseline, then run one mechanism at a time and combined degraded cases. These are planned model capabilities, with coefficients to be established from component data or measurements.</w:t>
      </w:r>
    </w:p>
    <w:tbl>
      <w:tblPr>
        <w:tblW w:type="auto" w:w="0"/>
        <w:jc w:val="center"/>
        <w:tblLayout w:type="fixed"/>
        <w:tblLook w:firstColumn="1" w:firstRow="1" w:lastColumn="0" w:lastRow="0" w:noHBand="0" w:noVBand="1" w:val="04A0"/>
      </w:tblPr>
      <w:tblGrid>
        <w:gridCol w:w="2304"/>
        <w:gridCol w:w="7776"/>
      </w:tblGrid>
      <w:tr>
        <w:trPr>
          <w:cantSplit/>
          <w:tblHeader/>
        </w:trPr>
        <w:tc>
          <w:tcPr>
            <w:tcW w:type="dxa" w:w="2304"/>
            <w:vAlign w:val="center"/>
            <w:tcMar>
              <w:top w:w="135" w:type="dxa"/>
              <w:left w:w="135" w:type="dxa"/>
              <w:bottom w:w="135" w:type="dxa"/>
              <w:right w:w="135" w:type="dxa"/>
            </w:tcMar>
            <w:tcBorders>
              <w:top w:val="nil"/>
              <w:left w:val="nil"/>
              <w:bottom w:val="nil"/>
              <w:right w:val="nil"/>
            </w:tcBorders>
            <w:shd w:fill="007F86"/>
          </w:tcPr>
          <w:p>
            <w:pPr>
              <w:spacing w:after="40" w:before="40"/>
            </w:pPr>
            <w:r>
              <w:rPr>
                <w:b/>
                <w:color w:val="FFFFFF"/>
                <w:sz w:val="21"/>
              </w:rPr>
              <w:t>Switch group</w:t>
            </w:r>
          </w:p>
        </w:tc>
        <w:tc>
          <w:tcPr>
            <w:tcW w:type="dxa" w:w="7776"/>
            <w:vAlign w:val="center"/>
            <w:tcMar>
              <w:top w:w="135" w:type="dxa"/>
              <w:left w:w="135" w:type="dxa"/>
              <w:bottom w:w="135" w:type="dxa"/>
              <w:right w:w="135" w:type="dxa"/>
            </w:tcMar>
            <w:tcBorders>
              <w:top w:val="nil"/>
              <w:left w:val="nil"/>
              <w:bottom w:val="nil"/>
              <w:right w:val="nil"/>
            </w:tcBorders>
            <w:shd w:fill="007F86"/>
          </w:tcPr>
          <w:p>
            <w:pPr>
              <w:spacing w:after="40" w:before="40"/>
            </w:pPr>
            <w:r>
              <w:rPr>
                <w:b/>
                <w:color w:val="FFFFFF"/>
                <w:sz w:val="21"/>
              </w:rPr>
              <w:t>Candidate parameters to vary</w:t>
            </w:r>
          </w:p>
        </w:tc>
      </w:tr>
      <w:tr>
        <w:trPr>
          <w:cantSplit/>
        </w:trPr>
        <w:tc>
          <w:tcPr>
            <w:tcW w:type="dxa" w:w="2304"/>
            <w:vAlign w:val="center"/>
            <w:tcMar>
              <w:top w:w="135" w:type="dxa"/>
              <w:left w:w="135" w:type="dxa"/>
              <w:bottom w:w="135" w:type="dxa"/>
              <w:right w:w="135" w:type="dxa"/>
            </w:tcMar>
            <w:tcBorders>
              <w:top w:val="nil"/>
              <w:left w:val="nil"/>
              <w:bottom w:val="nil"/>
              <w:right w:val="nil"/>
            </w:tcBorders>
            <w:shd w:fill="EAF8F8"/>
          </w:tcPr>
          <w:p>
            <w:pPr>
              <w:spacing w:after="40" w:before="40"/>
            </w:pPr>
            <w:r>
              <w:rPr>
                <w:b/>
                <w:color w:val="006C73"/>
                <w:sz w:val="21"/>
              </w:rPr>
              <w:t>Laser</w:t>
            </w:r>
          </w:p>
        </w:tc>
        <w:tc>
          <w:tcPr>
            <w:tcW w:type="dxa" w:w="7776"/>
            <w:vAlign w:val="center"/>
            <w:tcMar>
              <w:top w:w="135" w:type="dxa"/>
              <w:left w:w="135" w:type="dxa"/>
              <w:bottom w:w="135" w:type="dxa"/>
              <w:right w:w="135" w:type="dxa"/>
            </w:tcMar>
            <w:tcBorders>
              <w:top w:val="nil"/>
              <w:left w:val="nil"/>
              <w:bottom w:val="nil"/>
              <w:right w:val="nil"/>
            </w:tcBorders>
            <w:shd w:fill="EAF8F8"/>
          </w:tcPr>
          <w:p>
            <w:pPr>
              <w:spacing w:after="40" w:before="40"/>
            </w:pPr>
            <w:r>
              <w:rPr>
                <w:b w:val="0"/>
                <w:color w:val="202A32"/>
                <w:sz w:val="21"/>
              </w:rPr>
              <w:t>Frequency drift, output power, frequency noise and intensity noise.</w:t>
            </w:r>
          </w:p>
        </w:tc>
      </w:tr>
      <w:tr>
        <w:trPr>
          <w:cantSplit/>
        </w:trPr>
        <w:tc>
          <w:tcPr>
            <w:tcW w:type="dxa" w:w="2304"/>
            <w:vAlign w:val="center"/>
            <w:tcMar>
              <w:top w:w="135" w:type="dxa"/>
              <w:left w:w="135" w:type="dxa"/>
              <w:bottom w:w="135" w:type="dxa"/>
              <w:right w:w="135" w:type="dxa"/>
            </w:tcMar>
            <w:tcBorders>
              <w:top w:val="nil"/>
              <w:left w:val="nil"/>
              <w:bottom w:val="nil"/>
              <w:right w:val="nil"/>
            </w:tcBorders>
            <w:shd w:fill="FFFFFF"/>
          </w:tcPr>
          <w:p>
            <w:pPr>
              <w:spacing w:after="40" w:before="40"/>
            </w:pPr>
            <w:r>
              <w:rPr>
                <w:b/>
                <w:color w:val="006C73"/>
                <w:sz w:val="21"/>
              </w:rPr>
              <w:t>Optics</w:t>
            </w:r>
          </w:p>
        </w:tc>
        <w:tc>
          <w:tcPr>
            <w:tcW w:type="dxa" w:w="7776"/>
            <w:vAlign w:val="center"/>
            <w:tcMar>
              <w:top w:w="135" w:type="dxa"/>
              <w:left w:w="135" w:type="dxa"/>
              <w:bottom w:w="135" w:type="dxa"/>
              <w:right w:w="135" w:type="dxa"/>
            </w:tcMar>
            <w:tcBorders>
              <w:top w:val="nil"/>
              <w:left w:val="nil"/>
              <w:bottom w:val="nil"/>
              <w:right w:val="nil"/>
            </w:tcBorders>
            <w:shd w:fill="FFFFFF"/>
          </w:tcPr>
          <w:p>
            <w:pPr>
              <w:spacing w:after="40" w:before="40"/>
            </w:pPr>
            <w:r>
              <w:rPr>
                <w:b w:val="0"/>
                <w:color w:val="202A32"/>
                <w:sz w:val="21"/>
              </w:rPr>
              <w:t>Transmission, absorption, scattering and refractive index where supported by data.</w:t>
            </w:r>
          </w:p>
        </w:tc>
      </w:tr>
      <w:tr>
        <w:trPr>
          <w:cantSplit/>
        </w:trPr>
        <w:tc>
          <w:tcPr>
            <w:tcW w:type="dxa" w:w="2304"/>
            <w:vAlign w:val="center"/>
            <w:tcMar>
              <w:top w:w="135" w:type="dxa"/>
              <w:left w:w="135" w:type="dxa"/>
              <w:bottom w:w="135" w:type="dxa"/>
              <w:right w:w="135" w:type="dxa"/>
            </w:tcMar>
            <w:tcBorders>
              <w:top w:val="nil"/>
              <w:left w:val="nil"/>
              <w:bottom w:val="nil"/>
              <w:right w:val="nil"/>
            </w:tcBorders>
            <w:shd w:fill="EAF8F8"/>
          </w:tcPr>
          <w:p>
            <w:pPr>
              <w:spacing w:after="40" w:before="40"/>
            </w:pPr>
            <w:r>
              <w:rPr>
                <w:b/>
                <w:color w:val="006C73"/>
                <w:sz w:val="21"/>
              </w:rPr>
              <w:t>Detector and electronics</w:t>
            </w:r>
          </w:p>
        </w:tc>
        <w:tc>
          <w:tcPr>
            <w:tcW w:type="dxa" w:w="7776"/>
            <w:vAlign w:val="center"/>
            <w:tcMar>
              <w:top w:w="135" w:type="dxa"/>
              <w:left w:w="135" w:type="dxa"/>
              <w:bottom w:w="135" w:type="dxa"/>
              <w:right w:w="135" w:type="dxa"/>
            </w:tcMar>
            <w:tcBorders>
              <w:top w:val="nil"/>
              <w:left w:val="nil"/>
              <w:bottom w:val="nil"/>
              <w:right w:val="nil"/>
            </w:tcBorders>
            <w:shd w:fill="EAF8F8"/>
          </w:tcPr>
          <w:p>
            <w:pPr>
              <w:spacing w:after="40" w:before="40"/>
            </w:pPr>
            <w:r>
              <w:rPr>
                <w:b w:val="0"/>
                <w:color w:val="202A32"/>
                <w:sz w:val="21"/>
              </w:rPr>
              <w:t>Responsivity, dark current, gain, readout noise and calibration drift.</w:t>
            </w:r>
          </w:p>
        </w:tc>
      </w:tr>
      <w:tr>
        <w:trPr>
          <w:cantSplit/>
        </w:trPr>
        <w:tc>
          <w:tcPr>
            <w:tcW w:type="dxa" w:w="2304"/>
            <w:vAlign w:val="center"/>
            <w:tcMar>
              <w:top w:w="135" w:type="dxa"/>
              <w:left w:w="135" w:type="dxa"/>
              <w:bottom w:w="135" w:type="dxa"/>
              <w:right w:w="135" w:type="dxa"/>
            </w:tcMar>
            <w:tcBorders>
              <w:top w:val="nil"/>
              <w:left w:val="nil"/>
              <w:bottom w:val="nil"/>
              <w:right w:val="nil"/>
            </w:tcBorders>
            <w:shd w:fill="FFFFFF"/>
          </w:tcPr>
          <w:p>
            <w:pPr>
              <w:spacing w:after="40" w:before="40"/>
            </w:pPr>
            <w:r>
              <w:rPr>
                <w:b/>
                <w:color w:val="006C73"/>
                <w:sz w:val="21"/>
              </w:rPr>
              <w:t>Exposure scenario</w:t>
            </w:r>
          </w:p>
        </w:tc>
        <w:tc>
          <w:tcPr>
            <w:tcW w:type="dxa" w:w="7776"/>
            <w:vAlign w:val="center"/>
            <w:tcMar>
              <w:top w:w="135" w:type="dxa"/>
              <w:left w:w="135" w:type="dxa"/>
              <w:bottom w:w="135" w:type="dxa"/>
              <w:right w:w="135" w:type="dxa"/>
            </w:tcMar>
            <w:tcBorders>
              <w:top w:val="nil"/>
              <w:left w:val="nil"/>
              <w:bottom w:val="nil"/>
              <w:right w:val="nil"/>
            </w:tcBorders>
            <w:shd w:fill="FFFFFF"/>
          </w:tcPr>
          <w:p>
            <w:pPr>
              <w:spacing w:after="40" w:before="40"/>
            </w:pPr>
            <w:r>
              <w:rPr>
                <w:b w:val="0"/>
                <w:color w:val="202A32"/>
                <w:sz w:val="21"/>
              </w:rPr>
              <w:t>Accumulated dose and particle fluence, shielding, temperature, mission time and annealing if supported.</w:t>
            </w:r>
          </w:p>
        </w:tc>
      </w:tr>
    </w:tbl>
    <w:p/>
    <w:p>
      <w:r>
        <w:t>Do not assume a universal degradation law or equate elapsed time with dose. Map the exposure environment to component-specific changes and carry their uncertainty. Treat charging and transient events separately when a stationary noise spectrum is inappropriate; distinguish these effects from photon radiation pressure.</w:t>
      </w:r>
    </w:p>
    <w:p>
      <w:r>
        <w:rPr>
          <w:color w:val="006C73"/>
        </w:rPr>
        <w:t>Output: beginning- and end-of-mission noise budgets, intermediate exposure snapshots, sensitivity and SNR versus degradation, and the parameter value at which each science requirement fails.</w:t>
      </w:r>
    </w:p>
    <w:p>
      <w:pPr>
        <w:pStyle w:val="Heading1"/>
        <w:pageBreakBefore/>
      </w:pPr>
      <w:r>
        <w:rPr>
          <w:color w:val="007F86"/>
        </w:rPr>
        <w:t>Teviet paper reference</w:t>
      </w:r>
    </w:p>
    <w:p>
      <w:r>
        <w:t>Reproduce the 1 km iLILA example in LILAL-noise.pdf. Archive the manuscript with the model and request the numerical curves and mode table. [2]</w:t>
      </w:r>
    </w:p>
    <w:tbl>
      <w:tblPr>
        <w:tblW w:type="auto" w:w="0"/>
        <w:jc w:val="center"/>
        <w:tblLayout w:type="fixed"/>
        <w:tblLook w:firstColumn="1" w:firstRow="1" w:lastColumn="0" w:lastRow="0" w:noHBand="0" w:noVBand="1" w:val="04A0"/>
      </w:tblPr>
      <w:tblGrid>
        <w:gridCol w:w="2160"/>
        <w:gridCol w:w="7920"/>
      </w:tblGrid>
      <w:tr>
        <w:trPr>
          <w:cantSplit/>
          <w:tblHeader/>
        </w:trPr>
        <w:tc>
          <w:tcPr>
            <w:tcW w:type="dxa" w:w="2160"/>
            <w:vAlign w:val="center"/>
            <w:tcMar>
              <w:top w:w="135" w:type="dxa"/>
              <w:left w:w="135" w:type="dxa"/>
              <w:bottom w:w="135" w:type="dxa"/>
              <w:right w:w="135" w:type="dxa"/>
            </w:tcMar>
            <w:tcBorders>
              <w:top w:val="nil"/>
              <w:left w:val="nil"/>
              <w:bottom w:val="nil"/>
              <w:right w:val="nil"/>
            </w:tcBorders>
            <w:shd w:fill="007F86"/>
          </w:tcPr>
          <w:p>
            <w:pPr>
              <w:spacing w:after="40" w:before="40"/>
            </w:pPr>
            <w:r>
              <w:rPr>
                <w:b/>
                <w:color w:val="FFFFFF"/>
                <w:sz w:val="21"/>
              </w:rPr>
              <w:t>Reference item</w:t>
            </w:r>
          </w:p>
        </w:tc>
        <w:tc>
          <w:tcPr>
            <w:tcW w:type="dxa" w:w="7920"/>
            <w:vAlign w:val="center"/>
            <w:tcMar>
              <w:top w:w="135" w:type="dxa"/>
              <w:left w:w="135" w:type="dxa"/>
              <w:bottom w:w="135" w:type="dxa"/>
              <w:right w:w="135" w:type="dxa"/>
            </w:tcMar>
            <w:tcBorders>
              <w:top w:val="nil"/>
              <w:left w:val="nil"/>
              <w:bottom w:val="nil"/>
              <w:right w:val="nil"/>
            </w:tcBorders>
            <w:shd w:fill="007F86"/>
          </w:tcPr>
          <w:p>
            <w:pPr>
              <w:spacing w:after="40" w:before="40"/>
            </w:pPr>
            <w:r>
              <w:rPr>
                <w:b/>
                <w:color w:val="FFFFFF"/>
                <w:sz w:val="21"/>
              </w:rPr>
              <w:t>Assumption or reproduction task</w:t>
            </w:r>
          </w:p>
        </w:tc>
      </w:tr>
      <w:tr>
        <w:trPr>
          <w:cantSplit/>
        </w:trPr>
        <w:tc>
          <w:tcPr>
            <w:tcW w:type="dxa" w:w="2160"/>
            <w:vAlign w:val="center"/>
            <w:tcMar>
              <w:top w:w="135" w:type="dxa"/>
              <w:left w:w="135" w:type="dxa"/>
              <w:bottom w:w="135" w:type="dxa"/>
              <w:right w:w="135" w:type="dxa"/>
            </w:tcMar>
            <w:tcBorders>
              <w:top w:val="nil"/>
              <w:left w:val="nil"/>
              <w:bottom w:val="nil"/>
              <w:right w:val="nil"/>
            </w:tcBorders>
            <w:shd w:fill="EAF8F8"/>
          </w:tcPr>
          <w:p>
            <w:pPr>
              <w:spacing w:after="40" w:before="40"/>
            </w:pPr>
            <w:r>
              <w:rPr>
                <w:b/>
                <w:color w:val="006C73"/>
                <w:sz w:val="21"/>
              </w:rPr>
              <w:t>Optical configuration</w:t>
            </w:r>
          </w:p>
        </w:tc>
        <w:tc>
          <w:tcPr>
            <w:tcW w:type="dxa" w:w="7920"/>
            <w:vAlign w:val="center"/>
            <w:tcMar>
              <w:top w:w="135" w:type="dxa"/>
              <w:left w:w="135" w:type="dxa"/>
              <w:bottom w:w="135" w:type="dxa"/>
              <w:right w:w="135" w:type="dxa"/>
            </w:tcMar>
            <w:tcBorders>
              <w:top w:val="nil"/>
              <w:left w:val="nil"/>
              <w:bottom w:val="nil"/>
              <w:right w:val="nil"/>
            </w:tcBorders>
            <w:shd w:fill="EAF8F8"/>
          </w:tcPr>
          <w:p>
            <w:pPr>
              <w:spacing w:after="40" w:before="40"/>
            </w:pPr>
            <w:r>
              <w:rPr>
                <w:b w:val="0"/>
                <w:color w:val="202A32"/>
                <w:sz w:val="21"/>
              </w:rPr>
              <w:t>1 km arms, 90° geometry, unsuspended optics; reproduce the 1064 nm reference separately from the 1550 nm laboratory model.</w:t>
            </w:r>
          </w:p>
        </w:tc>
      </w:tr>
      <w:tr>
        <w:trPr>
          <w:cantSplit/>
        </w:trPr>
        <w:tc>
          <w:tcPr>
            <w:tcW w:type="dxa" w:w="2160"/>
            <w:vAlign w:val="center"/>
            <w:tcMar>
              <w:top w:w="135" w:type="dxa"/>
              <w:left w:w="135" w:type="dxa"/>
              <w:bottom w:w="135" w:type="dxa"/>
              <w:right w:w="135" w:type="dxa"/>
            </w:tcMar>
            <w:tcBorders>
              <w:top w:val="nil"/>
              <w:left w:val="nil"/>
              <w:bottom w:val="nil"/>
              <w:right w:val="nil"/>
            </w:tcBorders>
            <w:shd w:fill="FFFFFF"/>
          </w:tcPr>
          <w:p>
            <w:pPr>
              <w:spacing w:after="40" w:before="40"/>
            </w:pPr>
            <w:r>
              <w:rPr>
                <w:b/>
                <w:color w:val="006C73"/>
                <w:sz w:val="21"/>
              </w:rPr>
              <w:t>Fundamental noise</w:t>
            </w:r>
          </w:p>
        </w:tc>
        <w:tc>
          <w:tcPr>
            <w:tcW w:type="dxa" w:w="7920"/>
            <w:vAlign w:val="center"/>
            <w:tcMar>
              <w:top w:w="135" w:type="dxa"/>
              <w:left w:w="135" w:type="dxa"/>
              <w:bottom w:w="135" w:type="dxa"/>
              <w:right w:w="135" w:type="dxa"/>
            </w:tcMar>
            <w:tcBorders>
              <w:top w:val="nil"/>
              <w:left w:val="nil"/>
              <w:bottom w:val="nil"/>
              <w:right w:val="nil"/>
            </w:tcBorders>
            <w:shd w:fill="FFFFFF"/>
          </w:tcPr>
          <w:p>
            <w:pPr>
              <w:spacing w:after="40" w:before="40"/>
            </w:pPr>
            <w:r>
              <w:rPr>
                <w:b w:val="0"/>
                <w:color w:val="202A32"/>
                <w:sz w:val="21"/>
              </w:rPr>
              <w:t>Figure 3 uses coating-dominated thermal PSD of 1.2 × 10⁻³³ m²/Hz at 1 Hz and 500 mW photodiodes. Track effective detected power and losses explicitly.</w:t>
            </w:r>
          </w:p>
        </w:tc>
      </w:tr>
      <w:tr>
        <w:trPr>
          <w:cantSplit/>
        </w:trPr>
        <w:tc>
          <w:tcPr>
            <w:tcW w:type="dxa" w:w="2160"/>
            <w:vAlign w:val="center"/>
            <w:tcMar>
              <w:top w:w="135" w:type="dxa"/>
              <w:left w:w="135" w:type="dxa"/>
              <w:bottom w:w="135" w:type="dxa"/>
              <w:right w:w="135" w:type="dxa"/>
            </w:tcMar>
            <w:tcBorders>
              <w:top w:val="nil"/>
              <w:left w:val="nil"/>
              <w:bottom w:val="nil"/>
              <w:right w:val="nil"/>
            </w:tcBorders>
            <w:shd w:fill="EAF8F8"/>
          </w:tcPr>
          <w:p>
            <w:pPr>
              <w:spacing w:after="40" w:before="40"/>
            </w:pPr>
            <w:r>
              <w:rPr>
                <w:b/>
                <w:color w:val="006C73"/>
                <w:sz w:val="21"/>
              </w:rPr>
              <w:t>Lunar response</w:t>
            </w:r>
          </w:p>
        </w:tc>
        <w:tc>
          <w:tcPr>
            <w:tcW w:type="dxa" w:w="7920"/>
            <w:vAlign w:val="center"/>
            <w:tcMar>
              <w:top w:w="135" w:type="dxa"/>
              <w:left w:w="135" w:type="dxa"/>
              <w:bottom w:w="135" w:type="dxa"/>
              <w:right w:w="135" w:type="dxa"/>
            </w:tcMar>
            <w:tcBorders>
              <w:top w:val="nil"/>
              <w:left w:val="nil"/>
              <w:bottom w:val="nil"/>
              <w:right w:val="nil"/>
            </w:tcBorders>
            <w:shd w:fill="EAF8F8"/>
          </w:tcPr>
          <w:p>
            <w:pPr>
              <w:spacing w:after="40" w:before="40"/>
            </w:pPr>
            <w:r>
              <w:rPr>
                <w:b w:val="0"/>
                <w:color w:val="202A32"/>
                <w:sz w:val="21"/>
              </w:rPr>
              <w:t>Implement the complex mode sum, low-frequency cutoff and Q suppression from Eqs. 10–16. Request frequencies and Q values for the roughly 870 quadrupole modes.</w:t>
            </w:r>
          </w:p>
        </w:tc>
      </w:tr>
      <w:tr>
        <w:trPr>
          <w:cantSplit/>
        </w:trPr>
        <w:tc>
          <w:tcPr>
            <w:tcW w:type="dxa" w:w="2160"/>
            <w:vAlign w:val="center"/>
            <w:tcMar>
              <w:top w:w="135" w:type="dxa"/>
              <w:left w:w="135" w:type="dxa"/>
              <w:bottom w:w="135" w:type="dxa"/>
              <w:right w:w="135" w:type="dxa"/>
            </w:tcMar>
            <w:tcBorders>
              <w:top w:val="nil"/>
              <w:left w:val="nil"/>
              <w:bottom w:val="nil"/>
              <w:right w:val="nil"/>
            </w:tcBorders>
            <w:shd w:fill="FFFFFF"/>
          </w:tcPr>
          <w:p>
            <w:pPr>
              <w:spacing w:after="40" w:before="40"/>
            </w:pPr>
            <w:r>
              <w:rPr>
                <w:b/>
                <w:color w:val="006C73"/>
                <w:sz w:val="21"/>
              </w:rPr>
              <w:t>Curve conventions</w:t>
            </w:r>
          </w:p>
        </w:tc>
        <w:tc>
          <w:tcPr>
            <w:tcW w:type="dxa" w:w="7920"/>
            <w:vAlign w:val="center"/>
            <w:tcMar>
              <w:top w:w="135" w:type="dxa"/>
              <w:left w:w="135" w:type="dxa"/>
              <w:bottom w:w="135" w:type="dxa"/>
              <w:right w:w="135" w:type="dxa"/>
            </w:tcMar>
            <w:tcBorders>
              <w:top w:val="nil"/>
              <w:left w:val="nil"/>
              <w:bottom w:val="nil"/>
              <w:right w:val="nil"/>
            </w:tcBorders>
            <w:shd w:fill="FFFFFF"/>
          </w:tcPr>
          <w:p>
            <w:pPr>
              <w:spacing w:after="40" w:before="40"/>
            </w:pPr>
            <w:r>
              <w:rPr>
                <w:b w:val="0"/>
                <w:color w:val="202A32"/>
                <w:sz w:val="21"/>
              </w:rPr>
              <w:t>Figure 1 is displacement PSD; Figure 2 is inverse response; Figure 3 is characteristic strain √(f Sₕ). Convert explicitly before comparison.</w:t>
            </w:r>
          </w:p>
        </w:tc>
      </w:tr>
    </w:tbl>
    <w:p/>
    <w:p>
      <w:pPr>
        <w:pStyle w:val="Heading2"/>
      </w:pPr>
      <w:r>
        <w:rPr>
          <w:color w:val="006C73"/>
        </w:rPr>
        <w:t>Reproduction sequence</w:t>
      </w:r>
    </w:p>
    <w:p>
      <w:pPr>
        <w:pStyle w:val="ListBullet"/>
      </w:pPr>
      <w:r>
        <w:t>Reproduce thermal, shot and dust noise, then the lunar response. Use l(f) ≈ 30 m × (f/Hz)⁻² and the stated Q suppression above the 0.05 Hz scale.</w:t>
      </w:r>
    </w:p>
    <w:p>
      <w:pPr>
        <w:pStyle w:val="ListBullet"/>
      </w:pPr>
      <w:r>
        <w:t>Sum complex mode amplitudes before taking magnitude squared. Confirm the fundamental-mode treatment and magnitude conventions in Eqs. 12–16.</w:t>
      </w:r>
    </w:p>
    <w:p>
      <w:pPr>
        <w:pStyle w:val="ListBullet"/>
      </w:pPr>
      <w:r>
        <w:t>Compare curve residuals. The 5 km normalization in Eqs. 14–15 is a scaling convention; use the 1 km iLILA configuration.</w:t>
      </w:r>
    </w:p>
    <w:p>
      <w:pPr>
        <w:pStyle w:val="Heading2"/>
      </w:pPr>
      <w:r>
        <w:rPr>
          <w:color w:val="006C73"/>
        </w:rPr>
        <w:t>Questions to close with Teviet</w:t>
      </w:r>
    </w:p>
    <w:p>
      <w:pPr>
        <w:pStyle w:val="ListBullet"/>
      </w:pPr>
      <w:r>
        <w:t>Confirm detected-power and thermal assumptions, mode data and manuscript version. Re-derive Section 2.4 laser-stability and arm-equality estimates before setting hardware requirements.</w:t>
      </w:r>
    </w:p>
    <w:p>
      <w:pPr>
        <w:pStyle w:val="ListBullet"/>
      </w:pPr>
      <w:r>
        <w:t>Evaluate laser stability before comparing Michelson operation with independent strainmeters. Distinguish the preliminary 10⁻¹⁵ m/√Hz displacement goal from the strain curve.</w:t>
      </w:r>
    </w:p>
    <w:p>
      <w:pPr>
        <w:pStyle w:val="ListBullet"/>
      </w:pPr>
      <w:r>
        <w:t>Set source parameters, observing duration and required SNR; source overlays alone do not establish a detection threshold.</w:t>
      </w:r>
    </w:p>
    <w:p>
      <w:r>
        <w:rPr>
          <w:color w:val="006C73"/>
        </w:rPr>
        <w:t>Output: reference-curve reproduction, then a budget including technical noise, seismic coupling and degradation.</w:t>
      </w:r>
    </w:p>
    <w:p>
      <w:pPr>
        <w:pStyle w:val="Heading1"/>
        <w:pageBreakBefore/>
      </w:pPr>
      <w:r>
        <w:rPr>
          <w:color w:val="007F86"/>
        </w:rPr>
        <w:t>Seismic coupling and inverse requirements</w:t>
      </w:r>
    </w:p>
    <w:p>
      <w:r>
        <w:t>Treat seismic coupling as a primary research workstream. The supplied Creighton et al. manuscript omits a continuous lunar seismic background in the absence of direct measurements and treats GW-driven ground motion as a signal. It also sets technical noise aside as mitigable. Reproducing that curve therefore does not demonstrate a complete achievable noise budget. [2]</w:t>
      </w:r>
    </w:p>
    <w:p>
      <w:pPr>
        <w:pStyle w:val="Heading2"/>
      </w:pPr>
      <w:r>
        <w:rPr>
          <w:color w:val="006C73"/>
        </w:rPr>
        <w:t>Separate signal from disturbance</w:t>
      </w:r>
    </w:p>
    <w:p>
      <w:r>
        <w:t>GW-driven lunar deformation belongs in the signal response. Non-GW ground motion can be noise for an astrophysical search, while quake-excited modes can be signals for lunar interior science. Define the science channel before deciding what to subtract. Do not count the same lunar response as both signal amplification and noise reduction.</w:t>
      </w:r>
    </w:p>
    <w:p>
      <w:pPr>
        <w:pStyle w:val="Heading2"/>
      </w:pPr>
      <w:r>
        <w:rPr>
          <w:color w:val="006C73"/>
        </w:rPr>
        <w:t>Model the complete mechanical and optical path</w:t>
      </w:r>
    </w:p>
    <w:p>
      <w:pPr>
        <w:pStyle w:val="ListBullet"/>
      </w:pPr>
      <w:r>
        <w:t>Represent translation and rotation at the corner and end stations, including their frequency-dependent cross-spectra and spatial coherence across the actual geometry.</w:t>
      </w:r>
    </w:p>
    <w:p>
      <w:pPr>
        <w:pStyle w:val="ListBullet"/>
      </w:pPr>
      <w:r>
        <w:t>Propagate regolith motion through anchors, monuments, mounts and optical benches to the optical elements. Include uncertain mechanical resonances and local thermal deformation.</w:t>
      </w:r>
    </w:p>
    <w:p>
      <w:pPr>
        <w:pStyle w:val="ListBullet"/>
      </w:pPr>
      <w:r>
        <w:t>Use optical transfer functions to convert differential path motion, beam pointing and tilt-related path errors into the calibrated readout. Finesse supplies the optical stage; ground and support dynamics require separate models or measurements.</w:t>
      </w:r>
    </w:p>
    <w:p>
      <w:pPr>
        <w:pStyle w:val="ListBullet"/>
      </w:pPr>
      <w:r>
        <w:t>Add moving-scatterer paths where relevant. Separate stationary background scenarios from moonquakes, impacts and local operations; transients may limit usable observing time as well as sensitivity.</w:t>
      </w:r>
    </w:p>
    <w:p>
      <w:pPr>
        <w:pStyle w:val="Heading1"/>
        <w:pageBreakBefore/>
      </w:pPr>
      <w:r>
        <w:rPr>
          <w:color w:val="007F86"/>
        </w:rPr>
        <w:t>Working backward from science goals</w:t>
      </w:r>
    </w:p>
    <w:p>
      <w:pPr>
        <w:pStyle w:val="Heading2"/>
      </w:pPr>
      <w:r>
        <w:rPr>
          <w:color w:val="006C73"/>
        </w:rPr>
        <w:t>From target sensitivity to noise allocations</w:t>
      </w:r>
    </w:p>
    <w:p>
      <w:r>
        <w:t>First specify the target strain curve, lunar response, source cases and SNR thresholds. Convert the strain target into an allowable differential-displacement PSD using the same response and calibration as the forward model. Subtract the nonseismic PSD allocation only when the sources are independent; retain cross terms for correlated disturbances.</w:t>
      </w:r>
    </w:p>
    <w:p>
      <w:r>
        <w:t>The remaining positive allowance is the maximum residual seismic PSD. If the allowance is negative, the other terms already exceed the target. Sweep plausible ground spectra, coherence and support responses to solve for allowable coupling or required subtraction. A single total curve does not uniquely determine the individual allocations, so state the allocation rule and engineering margins.</w:t>
      </w:r>
    </w:p>
    <w:p>
      <w:pPr>
        <w:pStyle w:val="Heading2"/>
      </w:pPr>
      <w:r>
        <w:rPr>
          <w:color w:val="006C73"/>
        </w:rPr>
        <w:t>Required outputs and closure criteria</w:t>
      </w:r>
    </w:p>
    <w:p>
      <w:pPr>
        <w:pStyle w:val="ListBullet"/>
      </w:pPr>
      <w:r>
        <w:t>Seismic coupling register: input coordinate, input units, spectrum and source, transfer function, equivalent displacement, correlations, uncertainty, mitigation and validation method.</w:t>
      </w:r>
    </w:p>
    <w:p>
      <w:pPr>
        <w:pStyle w:val="ListBullet"/>
      </w:pPr>
      <w:r>
        <w:t>Plots of allowable versus predicted seismic displacement, SNR loss versus seismic level, and sensitivity to coherence and mount response. Show cases with and without subtraction.</w:t>
      </w:r>
    </w:p>
    <w:p>
      <w:pPr>
        <w:pStyle w:val="ListBullet"/>
      </w:pPr>
      <w:r>
        <w:t>For a seismic reference such as LOVBB, include sensor self-noise, calibration and readout coherence. Inject science signals to test subtraction bias and recoverability before claiming improvement.</w:t>
      </w:r>
    </w:p>
    <w:p>
      <w:r>
        <w:rPr>
          <w:color w:val="006C73"/>
        </w:rPr>
        <w:t>Closure means either demonstrating that credible seismic scenarios preserve the required science SNR, or quantifying the missing measurement or coupling reduction needed. Unconstrained spectra remain explicit unknowns; they are not set to zero.</w:t>
      </w:r>
    </w:p>
    <w:p>
      <w:pPr>
        <w:pStyle w:val="Heading1"/>
        <w:pageBreakBefore/>
      </w:pPr>
      <w:r>
        <w:rPr>
          <w:color w:val="007F86"/>
        </w:rPr>
        <w:t>Proposed six week sequence</w:t>
      </w:r>
    </w:p>
    <w:p>
      <w:r>
        <w:t>This is a planning sequence, not a committed delivery schedule. Begin Week 1 when the baseline inputs are available. Extend the physics validation or CAD work if a required input remains unresolved.</w:t>
      </w:r>
    </w:p>
    <w:tbl>
      <w:tblPr>
        <w:tblW w:type="auto" w:w="0"/>
        <w:jc w:val="center"/>
        <w:tblLayout w:type="fixed"/>
        <w:tblLook w:firstColumn="1" w:firstRow="1" w:lastColumn="0" w:lastRow="0" w:noHBand="0" w:noVBand="1" w:val="04A0"/>
      </w:tblPr>
      <w:tblGrid>
        <w:gridCol w:w="1152"/>
        <w:gridCol w:w="4536"/>
        <w:gridCol w:w="4392"/>
      </w:tblGrid>
      <w:tr>
        <w:trPr>
          <w:cantSplit/>
          <w:tblHeader/>
        </w:trPr>
        <w:tc>
          <w:tcPr>
            <w:tcW w:type="dxa" w:w="1152"/>
            <w:vAlign w:val="center"/>
            <w:tcMar>
              <w:top w:w="135" w:type="dxa"/>
              <w:left w:w="135" w:type="dxa"/>
              <w:bottom w:w="135" w:type="dxa"/>
              <w:right w:w="135" w:type="dxa"/>
            </w:tcMar>
            <w:tcBorders>
              <w:top w:val="nil"/>
              <w:left w:val="nil"/>
              <w:bottom w:val="nil"/>
              <w:right w:val="nil"/>
            </w:tcBorders>
            <w:shd w:fill="007F86"/>
          </w:tcPr>
          <w:p>
            <w:pPr>
              <w:spacing w:after="40" w:before="40"/>
            </w:pPr>
            <w:r>
              <w:rPr>
                <w:b/>
                <w:color w:val="FFFFFF"/>
                <w:sz w:val="21"/>
              </w:rPr>
              <w:t>Stage</w:t>
            </w:r>
          </w:p>
        </w:tc>
        <w:tc>
          <w:tcPr>
            <w:tcW w:type="dxa" w:w="4536"/>
            <w:vAlign w:val="center"/>
            <w:tcMar>
              <w:top w:w="135" w:type="dxa"/>
              <w:left w:w="135" w:type="dxa"/>
              <w:bottom w:w="135" w:type="dxa"/>
              <w:right w:w="135" w:type="dxa"/>
            </w:tcMar>
            <w:tcBorders>
              <w:top w:val="nil"/>
              <w:left w:val="nil"/>
              <w:bottom w:val="nil"/>
              <w:right w:val="nil"/>
            </w:tcBorders>
            <w:shd w:fill="007F86"/>
          </w:tcPr>
          <w:p>
            <w:pPr>
              <w:spacing w:after="40" w:before="40"/>
            </w:pPr>
            <w:r>
              <w:rPr>
                <w:b/>
                <w:color w:val="FFFFFF"/>
                <w:sz w:val="21"/>
              </w:rPr>
              <w:t>Main work</w:t>
            </w:r>
          </w:p>
        </w:tc>
        <w:tc>
          <w:tcPr>
            <w:tcW w:type="dxa" w:w="4392"/>
            <w:vAlign w:val="center"/>
            <w:tcMar>
              <w:top w:w="135" w:type="dxa"/>
              <w:left w:w="135" w:type="dxa"/>
              <w:bottom w:w="135" w:type="dxa"/>
              <w:right w:w="135" w:type="dxa"/>
            </w:tcMar>
            <w:tcBorders>
              <w:top w:val="nil"/>
              <w:left w:val="nil"/>
              <w:bottom w:val="nil"/>
              <w:right w:val="nil"/>
            </w:tcBorders>
            <w:shd w:fill="007F86"/>
          </w:tcPr>
          <w:p>
            <w:pPr>
              <w:spacing w:after="40" w:before="40"/>
            </w:pPr>
            <w:r>
              <w:rPr>
                <w:b/>
                <w:color w:val="FFFFFF"/>
                <w:sz w:val="21"/>
              </w:rPr>
              <w:t>Reviewable completion</w:t>
            </w:r>
          </w:p>
        </w:tc>
      </w:tr>
      <w:tr>
        <w:trPr>
          <w:cantSplit/>
        </w:trPr>
        <w:tc>
          <w:tcPr>
            <w:tcW w:type="dxa" w:w="1152"/>
            <w:vAlign w:val="center"/>
            <w:tcMar>
              <w:top w:w="135" w:type="dxa"/>
              <w:left w:w="135" w:type="dxa"/>
              <w:bottom w:w="135" w:type="dxa"/>
              <w:right w:w="135" w:type="dxa"/>
            </w:tcMar>
            <w:tcBorders>
              <w:top w:val="nil"/>
              <w:left w:val="nil"/>
              <w:bottom w:val="nil"/>
              <w:right w:val="nil"/>
            </w:tcBorders>
            <w:shd w:fill="EAF8F8"/>
          </w:tcPr>
          <w:p>
            <w:pPr>
              <w:spacing w:after="40" w:before="40"/>
            </w:pPr>
            <w:r>
              <w:rPr>
                <w:b/>
                <w:color w:val="006C73"/>
                <w:sz w:val="21"/>
              </w:rPr>
              <w:t>Week 1</w:t>
            </w:r>
          </w:p>
        </w:tc>
        <w:tc>
          <w:tcPr>
            <w:tcW w:type="dxa" w:w="4536"/>
            <w:vAlign w:val="center"/>
            <w:tcMar>
              <w:top w:w="135" w:type="dxa"/>
              <w:left w:w="135" w:type="dxa"/>
              <w:bottom w:w="135" w:type="dxa"/>
              <w:right w:w="135" w:type="dxa"/>
            </w:tcMar>
            <w:tcBorders>
              <w:top w:val="nil"/>
              <w:left w:val="nil"/>
              <w:bottom w:val="nil"/>
              <w:right w:val="nil"/>
            </w:tcBorders>
            <w:shd w:fill="EAF8F8"/>
          </w:tcPr>
          <w:p>
            <w:pPr>
              <w:spacing w:after="40" w:before="40"/>
            </w:pPr>
            <w:r>
              <w:rPr>
                <w:b w:val="0"/>
                <w:color w:val="202A32"/>
                <w:sz w:val="21"/>
              </w:rPr>
              <w:t>Fix reference curves and science SNR cases; recover optical model; map seismic paths.</w:t>
            </w:r>
          </w:p>
        </w:tc>
        <w:tc>
          <w:tcPr>
            <w:tcW w:type="dxa" w:w="4392"/>
            <w:vAlign w:val="center"/>
            <w:tcMar>
              <w:top w:w="135" w:type="dxa"/>
              <w:left w:w="135" w:type="dxa"/>
              <w:bottom w:w="135" w:type="dxa"/>
              <w:right w:w="135" w:type="dxa"/>
            </w:tcMar>
            <w:tcBorders>
              <w:top w:val="nil"/>
              <w:left w:val="nil"/>
              <w:bottom w:val="nil"/>
              <w:right w:val="nil"/>
            </w:tcBorders>
            <w:shd w:fill="EAF8F8"/>
          </w:tcPr>
          <w:p>
            <w:pPr>
              <w:spacing w:after="40" w:before="40"/>
            </w:pPr>
            <w:r>
              <w:rPr>
                <w:b w:val="0"/>
                <w:color w:val="202A32"/>
                <w:sz w:val="21"/>
              </w:rPr>
              <w:t>Reference assumptions, science requirements and initial coupling register.</w:t>
            </w:r>
          </w:p>
        </w:tc>
      </w:tr>
      <w:tr>
        <w:trPr>
          <w:cantSplit/>
        </w:trPr>
        <w:tc>
          <w:tcPr>
            <w:tcW w:type="dxa" w:w="1152"/>
            <w:vAlign w:val="center"/>
            <w:tcMar>
              <w:top w:w="135" w:type="dxa"/>
              <w:left w:w="135" w:type="dxa"/>
              <w:bottom w:w="135" w:type="dxa"/>
              <w:right w:w="135" w:type="dxa"/>
            </w:tcMar>
            <w:tcBorders>
              <w:top w:val="nil"/>
              <w:left w:val="nil"/>
              <w:bottom w:val="nil"/>
              <w:right w:val="nil"/>
            </w:tcBorders>
            <w:shd w:fill="FFFFFF"/>
          </w:tcPr>
          <w:p>
            <w:pPr>
              <w:spacing w:after="40" w:before="40"/>
            </w:pPr>
            <w:r>
              <w:rPr>
                <w:b/>
                <w:color w:val="006C73"/>
                <w:sz w:val="21"/>
              </w:rPr>
              <w:t>Week 2</w:t>
            </w:r>
          </w:p>
        </w:tc>
        <w:tc>
          <w:tcPr>
            <w:tcW w:type="dxa" w:w="4536"/>
            <w:vAlign w:val="center"/>
            <w:tcMar>
              <w:top w:w="135" w:type="dxa"/>
              <w:left w:w="135" w:type="dxa"/>
              <w:bottom w:w="135" w:type="dxa"/>
              <w:right w:w="135" w:type="dxa"/>
            </w:tcMar>
            <w:tcBorders>
              <w:top w:val="nil"/>
              <w:left w:val="nil"/>
              <w:bottom w:val="nil"/>
              <w:right w:val="nil"/>
            </w:tcBorders>
            <w:shd w:fill="FFFFFF"/>
          </w:tcPr>
          <w:p>
            <w:pPr>
              <w:spacing w:after="40" w:before="40"/>
            </w:pPr>
            <w:r>
              <w:rPr>
                <w:b w:val="0"/>
                <w:color w:val="202A32"/>
                <w:sz w:val="21"/>
              </w:rPr>
              <w:t>Reproduce paper curves in their original configurations; validate optical response and link budget.</w:t>
            </w:r>
          </w:p>
        </w:tc>
        <w:tc>
          <w:tcPr>
            <w:tcW w:type="dxa" w:w="4392"/>
            <w:vAlign w:val="center"/>
            <w:tcMar>
              <w:top w:w="135" w:type="dxa"/>
              <w:left w:w="135" w:type="dxa"/>
              <w:bottom w:w="135" w:type="dxa"/>
              <w:right w:w="135" w:type="dxa"/>
            </w:tcMar>
            <w:tcBorders>
              <w:top w:val="nil"/>
              <w:left w:val="nil"/>
              <w:bottom w:val="nil"/>
              <w:right w:val="nil"/>
            </w:tcBorders>
            <w:shd w:fill="FFFFFF"/>
          </w:tcPr>
          <w:p>
            <w:pPr>
              <w:spacing w:after="40" w:before="40"/>
            </w:pPr>
            <w:r>
              <w:rPr>
                <w:b w:val="0"/>
                <w:color w:val="202A32"/>
                <w:sz w:val="21"/>
              </w:rPr>
              <w:t>Reference reproduction and documented changes needed for 1 km iLILA.</w:t>
            </w:r>
          </w:p>
        </w:tc>
      </w:tr>
      <w:tr>
        <w:trPr>
          <w:cantSplit/>
        </w:trPr>
        <w:tc>
          <w:tcPr>
            <w:tcW w:type="dxa" w:w="1152"/>
            <w:vAlign w:val="center"/>
            <w:tcMar>
              <w:top w:w="135" w:type="dxa"/>
              <w:left w:w="135" w:type="dxa"/>
              <w:bottom w:w="135" w:type="dxa"/>
              <w:right w:w="135" w:type="dxa"/>
            </w:tcMar>
            <w:tcBorders>
              <w:top w:val="nil"/>
              <w:left w:val="nil"/>
              <w:bottom w:val="nil"/>
              <w:right w:val="nil"/>
            </w:tcBorders>
            <w:shd w:fill="EAF8F8"/>
          </w:tcPr>
          <w:p>
            <w:pPr>
              <w:spacing w:after="40" w:before="40"/>
            </w:pPr>
            <w:r>
              <w:rPr>
                <w:b/>
                <w:color w:val="006C73"/>
                <w:sz w:val="21"/>
              </w:rPr>
              <w:t>Week 3</w:t>
            </w:r>
          </w:p>
        </w:tc>
        <w:tc>
          <w:tcPr>
            <w:tcW w:type="dxa" w:w="4536"/>
            <w:vAlign w:val="center"/>
            <w:tcMar>
              <w:top w:w="135" w:type="dxa"/>
              <w:left w:w="135" w:type="dxa"/>
              <w:bottom w:w="135" w:type="dxa"/>
              <w:right w:w="135" w:type="dxa"/>
            </w:tcMar>
            <w:tcBorders>
              <w:top w:val="nil"/>
              <w:left w:val="nil"/>
              <w:bottom w:val="nil"/>
              <w:right w:val="nil"/>
            </w:tcBorders>
            <w:shd w:fill="EAF8F8"/>
          </w:tcPr>
          <w:p>
            <w:pPr>
              <w:spacing w:after="40" w:before="40"/>
            </w:pPr>
            <w:r>
              <w:rPr>
                <w:b w:val="0"/>
                <w:color w:val="202A32"/>
                <w:sz w:val="21"/>
              </w:rPr>
              <w:t>Add technical noise, wavelength drift and radiation switches; model seismic coupling.</w:t>
            </w:r>
          </w:p>
        </w:tc>
        <w:tc>
          <w:tcPr>
            <w:tcW w:type="dxa" w:w="4392"/>
            <w:vAlign w:val="center"/>
            <w:tcMar>
              <w:top w:w="135" w:type="dxa"/>
              <w:left w:w="135" w:type="dxa"/>
              <w:bottom w:w="135" w:type="dxa"/>
              <w:right w:w="135" w:type="dxa"/>
            </w:tcMar>
            <w:tcBorders>
              <w:top w:val="nil"/>
              <w:left w:val="nil"/>
              <w:bottom w:val="nil"/>
              <w:right w:val="nil"/>
            </w:tcBorders>
            <w:shd w:fill="EAF8F8"/>
          </w:tcPr>
          <w:p>
            <w:pPr>
              <w:spacing w:after="40" w:before="40"/>
            </w:pPr>
            <w:r>
              <w:rPr>
                <w:b w:val="0"/>
                <w:color w:val="202A32"/>
                <w:sz w:val="21"/>
              </w:rPr>
              <w:t>Noise budget with environmental and seismic scenarios and uncertainty.</w:t>
            </w:r>
          </w:p>
        </w:tc>
      </w:tr>
      <w:tr>
        <w:trPr>
          <w:cantSplit/>
        </w:trPr>
        <w:tc>
          <w:tcPr>
            <w:tcW w:type="dxa" w:w="1152"/>
            <w:vAlign w:val="center"/>
            <w:tcMar>
              <w:top w:w="135" w:type="dxa"/>
              <w:left w:w="135" w:type="dxa"/>
              <w:bottom w:w="135" w:type="dxa"/>
              <w:right w:w="135" w:type="dxa"/>
            </w:tcMar>
            <w:tcBorders>
              <w:top w:val="nil"/>
              <w:left w:val="nil"/>
              <w:bottom w:val="nil"/>
              <w:right w:val="nil"/>
            </w:tcBorders>
            <w:shd w:fill="FFFFFF"/>
          </w:tcPr>
          <w:p>
            <w:pPr>
              <w:spacing w:after="40" w:before="40"/>
            </w:pPr>
            <w:r>
              <w:rPr>
                <w:b/>
                <w:color w:val="006C73"/>
                <w:sz w:val="21"/>
              </w:rPr>
              <w:t>Week 4</w:t>
            </w:r>
          </w:p>
        </w:tc>
        <w:tc>
          <w:tcPr>
            <w:tcW w:type="dxa" w:w="4536"/>
            <w:vAlign w:val="center"/>
            <w:tcMar>
              <w:top w:w="135" w:type="dxa"/>
              <w:left w:w="135" w:type="dxa"/>
              <w:bottom w:w="135" w:type="dxa"/>
              <w:right w:w="135" w:type="dxa"/>
            </w:tcMar>
            <w:tcBorders>
              <w:top w:val="nil"/>
              <w:left w:val="nil"/>
              <w:bottom w:val="nil"/>
              <w:right w:val="nil"/>
            </w:tcBorders>
            <w:shd w:fill="FFFFFF"/>
          </w:tcPr>
          <w:p>
            <w:pPr>
              <w:spacing w:after="40" w:before="40"/>
            </w:pPr>
            <w:r>
              <w:rPr>
                <w:b w:val="0"/>
                <w:color w:val="202A32"/>
                <w:sz w:val="21"/>
              </w:rPr>
              <w:t>Apply lunar response; compute science SNR; work backward to noise allocations.</w:t>
            </w:r>
          </w:p>
        </w:tc>
        <w:tc>
          <w:tcPr>
            <w:tcW w:type="dxa" w:w="4392"/>
            <w:vAlign w:val="center"/>
            <w:tcMar>
              <w:top w:w="135" w:type="dxa"/>
              <w:left w:w="135" w:type="dxa"/>
              <w:bottom w:w="135" w:type="dxa"/>
              <w:right w:w="135" w:type="dxa"/>
            </w:tcMar>
            <w:tcBorders>
              <w:top w:val="nil"/>
              <w:left w:val="nil"/>
              <w:bottom w:val="nil"/>
              <w:right w:val="nil"/>
            </w:tcBorders>
            <w:shd w:fill="FFFFFF"/>
          </w:tcPr>
          <w:p>
            <w:pPr>
              <w:spacing w:after="40" w:before="40"/>
            </w:pPr>
            <w:r>
              <w:rPr>
                <w:b w:val="0"/>
                <w:color w:val="202A32"/>
                <w:sz w:val="21"/>
              </w:rPr>
              <w:t>SNR comparison and allowable seismic residual and coupling limits.</w:t>
            </w:r>
          </w:p>
        </w:tc>
      </w:tr>
      <w:tr>
        <w:trPr>
          <w:cantSplit/>
        </w:trPr>
        <w:tc>
          <w:tcPr>
            <w:tcW w:type="dxa" w:w="1152"/>
            <w:vAlign w:val="center"/>
            <w:tcMar>
              <w:top w:w="135" w:type="dxa"/>
              <w:left w:w="135" w:type="dxa"/>
              <w:bottom w:w="135" w:type="dxa"/>
              <w:right w:w="135" w:type="dxa"/>
            </w:tcMar>
            <w:tcBorders>
              <w:top w:val="nil"/>
              <w:left w:val="nil"/>
              <w:bottom w:val="nil"/>
              <w:right w:val="nil"/>
            </w:tcBorders>
            <w:shd w:fill="EAF8F8"/>
          </w:tcPr>
          <w:p>
            <w:pPr>
              <w:spacing w:after="40" w:before="40"/>
            </w:pPr>
            <w:r>
              <w:rPr>
                <w:b/>
                <w:color w:val="006C73"/>
                <w:sz w:val="21"/>
              </w:rPr>
              <w:t>Week 5</w:t>
            </w:r>
          </w:p>
        </w:tc>
        <w:tc>
          <w:tcPr>
            <w:tcW w:type="dxa" w:w="4536"/>
            <w:vAlign w:val="center"/>
            <w:tcMar>
              <w:top w:w="135" w:type="dxa"/>
              <w:left w:w="135" w:type="dxa"/>
              <w:bottom w:w="135" w:type="dxa"/>
              <w:right w:w="135" w:type="dxa"/>
            </w:tcMar>
            <w:tcBorders>
              <w:top w:val="nil"/>
              <w:left w:val="nil"/>
              <w:bottom w:val="nil"/>
              <w:right w:val="nil"/>
            </w:tcBorders>
            <w:shd w:fill="EAF8F8"/>
          </w:tcPr>
          <w:p>
            <w:pPr>
              <w:spacing w:after="40" w:before="40"/>
            </w:pPr>
            <w:r>
              <w:rPr>
                <w:b w:val="0"/>
                <w:color w:val="202A32"/>
                <w:sz w:val="21"/>
              </w:rPr>
              <w:t>Test mitigation and signal preservation; sweep uncertain couplings; develop CAD.</w:t>
            </w:r>
          </w:p>
        </w:tc>
        <w:tc>
          <w:tcPr>
            <w:tcW w:type="dxa" w:w="4392"/>
            <w:vAlign w:val="center"/>
            <w:tcMar>
              <w:top w:w="135" w:type="dxa"/>
              <w:left w:w="135" w:type="dxa"/>
              <w:bottom w:w="135" w:type="dxa"/>
              <w:right w:w="135" w:type="dxa"/>
            </w:tcMar>
            <w:tcBorders>
              <w:top w:val="nil"/>
              <w:left w:val="nil"/>
              <w:bottom w:val="nil"/>
              <w:right w:val="nil"/>
            </w:tcBorders>
            <w:shd w:fill="EAF8F8"/>
          </w:tcPr>
          <w:p>
            <w:pPr>
              <w:spacing w:after="40" w:before="40"/>
            </w:pPr>
            <w:r>
              <w:rPr>
                <w:b w:val="0"/>
                <w:color w:val="202A32"/>
                <w:sz w:val="21"/>
              </w:rPr>
              <w:t>Feasibility boundaries, measurement priorities and preliminary assembly.</w:t>
            </w:r>
          </w:p>
        </w:tc>
      </w:tr>
      <w:tr>
        <w:trPr>
          <w:cantSplit/>
        </w:trPr>
        <w:tc>
          <w:tcPr>
            <w:tcW w:type="dxa" w:w="1152"/>
            <w:vAlign w:val="center"/>
            <w:tcMar>
              <w:top w:w="135" w:type="dxa"/>
              <w:left w:w="135" w:type="dxa"/>
              <w:bottom w:w="135" w:type="dxa"/>
              <w:right w:w="135" w:type="dxa"/>
            </w:tcMar>
            <w:tcBorders>
              <w:top w:val="nil"/>
              <w:left w:val="nil"/>
              <w:bottom w:val="nil"/>
              <w:right w:val="nil"/>
            </w:tcBorders>
            <w:shd w:fill="FFFFFF"/>
          </w:tcPr>
          <w:p>
            <w:pPr>
              <w:spacing w:after="40" w:before="40"/>
            </w:pPr>
            <w:r>
              <w:rPr>
                <w:b/>
                <w:color w:val="006C73"/>
                <w:sz w:val="21"/>
              </w:rPr>
              <w:t>Week 6</w:t>
            </w:r>
          </w:p>
        </w:tc>
        <w:tc>
          <w:tcPr>
            <w:tcW w:type="dxa" w:w="4536"/>
            <w:vAlign w:val="center"/>
            <w:tcMar>
              <w:top w:w="135" w:type="dxa"/>
              <w:left w:w="135" w:type="dxa"/>
              <w:bottom w:w="135" w:type="dxa"/>
              <w:right w:w="135" w:type="dxa"/>
            </w:tcMar>
            <w:tcBorders>
              <w:top w:val="nil"/>
              <w:left w:val="nil"/>
              <w:bottom w:val="nil"/>
              <w:right w:val="nil"/>
            </w:tcBorders>
            <w:shd w:fill="FFFFFF"/>
          </w:tcPr>
          <w:p>
            <w:pPr>
              <w:spacing w:after="40" w:before="40"/>
            </w:pPr>
            <w:r>
              <w:rPr>
                <w:b w:val="0"/>
                <w:color w:val="202A32"/>
                <w:sz w:val="21"/>
              </w:rPr>
              <w:t>Close achievable requirements and remaining gaps; prepare collaboration and proposal inputs.</w:t>
            </w:r>
          </w:p>
        </w:tc>
        <w:tc>
          <w:tcPr>
            <w:tcW w:type="dxa" w:w="4392"/>
            <w:vAlign w:val="center"/>
            <w:tcMar>
              <w:top w:w="135" w:type="dxa"/>
              <w:left w:w="135" w:type="dxa"/>
              <w:bottom w:w="135" w:type="dxa"/>
              <w:right w:w="135" w:type="dxa"/>
            </w:tcMar>
            <w:tcBorders>
              <w:top w:val="nil"/>
              <w:left w:val="nil"/>
              <w:bottom w:val="nil"/>
              <w:right w:val="nil"/>
            </w:tcBorders>
            <w:shd w:fill="FFFFFF"/>
          </w:tcPr>
          <w:p>
            <w:pPr>
              <w:spacing w:after="40" w:before="40"/>
            </w:pPr>
            <w:r>
              <w:rPr>
                <w:b w:val="0"/>
                <w:color w:val="202A32"/>
                <w:sz w:val="21"/>
              </w:rPr>
              <w:t>Optical model, noise and coupling budget, sensitivity, SNR and requirements.</w:t>
            </w:r>
          </w:p>
        </w:tc>
      </w:tr>
    </w:tbl>
    <w:p/>
    <w:p>
      <w:pPr>
        <w:pStyle w:val="Heading2"/>
      </w:pPr>
      <w:r>
        <w:rPr>
          <w:color w:val="006C73"/>
        </w:rPr>
        <w:t>Minimum package for the next review</w:t>
      </w:r>
    </w:p>
    <w:p>
      <w:r>
        <w:t>Bring the reference curve and its assumptions, the science SNR requirements, one optical schematic and response plot, and a seismic coupling map with ranked missing inputs. Track each requirement through to a test or model output.</w:t>
      </w:r>
    </w:p>
    <w:p>
      <w:pPr>
        <w:pStyle w:val="Heading1"/>
        <w:pageBreakBefore/>
      </w:pPr>
      <w:r>
        <w:rPr>
          <w:color w:val="007F86"/>
        </w:rPr>
        <w:t>Validation checks</w:t>
      </w:r>
    </w:p>
    <w:p>
      <w:pPr>
        <w:pStyle w:val="Heading2"/>
      </w:pPr>
      <w:r>
        <w:rPr>
          <w:color w:val="006C73"/>
        </w:rPr>
        <w:t>Checks that make the sensitivity result defensible</w:t>
      </w:r>
    </w:p>
    <w:p>
      <w:pPr>
        <w:pStyle w:val="ListBullet"/>
      </w:pPr>
      <w:r>
        <w:t>Define differential displacement, one-way versus round-trip path conventions, and readout units. Compare simulated response with the analytic Michelson limit.</w:t>
      </w:r>
    </w:p>
    <w:p>
      <w:pPr>
        <w:pStyle w:val="ListBullet"/>
      </w:pPr>
      <w:r>
        <w:t>Convert each noise input through its transfer function into equivalent displacement. Combine independent terms in PSD; include cross-spectra when correlations matter.</w:t>
      </w:r>
    </w:p>
    <w:p>
      <w:pPr>
        <w:pStyle w:val="ListBullet"/>
      </w:pPr>
      <w:r>
        <w:t>Keep displacement ASD, strain ASD and characteristic strain distinct. Convert displacement noise using the full frequency-dependent lunar and detector response.</w:t>
      </w:r>
    </w:p>
    <w:p>
      <w:pPr>
        <w:pStyle w:val="ListBullet"/>
      </w:pPr>
      <w:r>
        <w:t>Compute matched-filter SNR from a consistently normalized waveform and one-sided PSD, with explicit integration limits and observing time. Resolve narrow resonances and test numerical convergence.</w:t>
      </w:r>
    </w:p>
    <w:p>
      <w:pPr>
        <w:pStyle w:val="ListBullet"/>
      </w:pPr>
      <w:r>
        <w:t>For normal-mode detection, specify excitation amplitude and damping as well as instrument noise. A mode frequency and quality factor alone do not set the SNR.</w:t>
      </w:r>
    </w:p>
    <w:p>
      <w:pPr>
        <w:pStyle w:val="ListBullet"/>
      </w:pPr>
      <w:r>
        <w:t>For seismic subtraction, establish ground-motion spectra, spatial coherence and sensor response. Verify that subtraction preserves injected science signals; a reference sensor floor is not the lunar background.</w:t>
      </w:r>
    </w:p>
    <w:p>
      <w:pPr>
        <w:pStyle w:val="Heading1"/>
        <w:pageBreakBefore/>
      </w:pPr>
      <w:r>
        <w:rPr>
          <w:color w:val="007F86"/>
        </w:rPr>
        <w:t>Collaboration and weekly reviews</w:t>
      </w:r>
    </w:p>
    <w:p>
      <w:pPr>
        <w:pStyle w:val="Heading2"/>
      </w:pPr>
      <w:r>
        <w:rPr>
          <w:color w:val="006C73"/>
        </w:rPr>
        <w:t>Collaboration map</w:t>
      </w:r>
    </w:p>
    <w:p>
      <w:r>
        <w:t>The roles below organize the notes; suggested review contributions are not new assignments or commitments.</w:t>
      </w:r>
    </w:p>
    <w:tbl>
      <w:tblPr>
        <w:tblW w:type="auto" w:w="0"/>
        <w:jc w:val="center"/>
        <w:tblLayout w:type="fixed"/>
        <w:tblLook w:firstColumn="1" w:firstRow="1" w:lastColumn="0" w:lastRow="0" w:noHBand="0" w:noVBand="1" w:val="04A0"/>
      </w:tblPr>
      <w:tblGrid>
        <w:gridCol w:w="1944"/>
        <w:gridCol w:w="8136"/>
      </w:tblGrid>
      <w:tr>
        <w:trPr>
          <w:cantSplit/>
          <w:tblHeader/>
        </w:trPr>
        <w:tc>
          <w:tcPr>
            <w:tcW w:type="dxa" w:w="1944"/>
            <w:vAlign w:val="center"/>
            <w:tcMar>
              <w:top w:w="135" w:type="dxa"/>
              <w:left w:w="135" w:type="dxa"/>
              <w:bottom w:w="135" w:type="dxa"/>
              <w:right w:w="135" w:type="dxa"/>
            </w:tcMar>
            <w:tcBorders>
              <w:top w:val="nil"/>
              <w:left w:val="nil"/>
              <w:bottom w:val="nil"/>
              <w:right w:val="nil"/>
            </w:tcBorders>
            <w:shd w:fill="007F86"/>
          </w:tcPr>
          <w:p>
            <w:pPr>
              <w:spacing w:after="40" w:before="40"/>
            </w:pPr>
            <w:r>
              <w:rPr>
                <w:b/>
                <w:color w:val="FFFFFF"/>
                <w:sz w:val="21"/>
              </w:rPr>
              <w:t>Person</w:t>
            </w:r>
          </w:p>
        </w:tc>
        <w:tc>
          <w:tcPr>
            <w:tcW w:type="dxa" w:w="8136"/>
            <w:vAlign w:val="center"/>
            <w:tcMar>
              <w:top w:w="135" w:type="dxa"/>
              <w:left w:w="135" w:type="dxa"/>
              <w:bottom w:w="135" w:type="dxa"/>
              <w:right w:w="135" w:type="dxa"/>
            </w:tcMar>
            <w:tcBorders>
              <w:top w:val="nil"/>
              <w:left w:val="nil"/>
              <w:bottom w:val="nil"/>
              <w:right w:val="nil"/>
            </w:tcBorders>
            <w:shd w:fill="007F86"/>
          </w:tcPr>
          <w:p>
            <w:pPr>
              <w:spacing w:after="40" w:before="40"/>
            </w:pPr>
            <w:r>
              <w:rPr>
                <w:b/>
                <w:color w:val="FFFFFF"/>
                <w:sz w:val="21"/>
              </w:rPr>
              <w:t>Working role or discussion</w:t>
            </w:r>
          </w:p>
        </w:tc>
      </w:tr>
      <w:tr>
        <w:trPr>
          <w:cantSplit/>
        </w:trPr>
        <w:tc>
          <w:tcPr>
            <w:tcW w:type="dxa" w:w="1944"/>
            <w:vAlign w:val="center"/>
            <w:tcMar>
              <w:top w:w="135" w:type="dxa"/>
              <w:left w:w="135" w:type="dxa"/>
              <w:bottom w:w="135" w:type="dxa"/>
              <w:right w:w="135" w:type="dxa"/>
            </w:tcMar>
            <w:tcBorders>
              <w:top w:val="nil"/>
              <w:left w:val="nil"/>
              <w:bottom w:val="nil"/>
              <w:right w:val="nil"/>
            </w:tcBorders>
            <w:shd w:fill="EAF8F8"/>
          </w:tcPr>
          <w:p>
            <w:pPr>
              <w:spacing w:after="40" w:before="40"/>
            </w:pPr>
            <w:r>
              <w:rPr>
                <w:b/>
                <w:color w:val="006C73"/>
                <w:sz w:val="21"/>
              </w:rPr>
              <w:t>Kaylah</w:t>
            </w:r>
          </w:p>
        </w:tc>
        <w:tc>
          <w:tcPr>
            <w:tcW w:type="dxa" w:w="8136"/>
            <w:vAlign w:val="center"/>
            <w:tcMar>
              <w:top w:w="135" w:type="dxa"/>
              <w:left w:w="135" w:type="dxa"/>
              <w:bottom w:w="135" w:type="dxa"/>
              <w:right w:w="135" w:type="dxa"/>
            </w:tcMar>
            <w:tcBorders>
              <w:top w:val="nil"/>
              <w:left w:val="nil"/>
              <w:bottom w:val="nil"/>
              <w:right w:val="nil"/>
            </w:tcBorders>
            <w:shd w:fill="EAF8F8"/>
          </w:tcPr>
          <w:p>
            <w:pPr>
              <w:spacing w:after="40" w:before="40"/>
            </w:pPr>
            <w:r>
              <w:rPr>
                <w:b w:val="0"/>
                <w:color w:val="202A32"/>
                <w:sz w:val="21"/>
              </w:rPr>
              <w:t>Integrate optical model, technical noise, sensitivity, limits and science outputs.</w:t>
            </w:r>
          </w:p>
        </w:tc>
      </w:tr>
      <w:tr>
        <w:trPr>
          <w:cantSplit/>
        </w:trPr>
        <w:tc>
          <w:tcPr>
            <w:tcW w:type="dxa" w:w="1944"/>
            <w:vAlign w:val="center"/>
            <w:tcMar>
              <w:top w:w="135" w:type="dxa"/>
              <w:left w:w="135" w:type="dxa"/>
              <w:bottom w:w="135" w:type="dxa"/>
              <w:right w:w="135" w:type="dxa"/>
            </w:tcMar>
            <w:tcBorders>
              <w:top w:val="nil"/>
              <w:left w:val="nil"/>
              <w:bottom w:val="nil"/>
              <w:right w:val="nil"/>
            </w:tcBorders>
            <w:shd w:fill="FFFFFF"/>
          </w:tcPr>
          <w:p>
            <w:pPr>
              <w:spacing w:after="40" w:before="40"/>
            </w:pPr>
            <w:r>
              <w:rPr>
                <w:b/>
                <w:color w:val="006C73"/>
                <w:sz w:val="21"/>
              </w:rPr>
              <w:t>Remington or Remmy</w:t>
            </w:r>
          </w:p>
        </w:tc>
        <w:tc>
          <w:tcPr>
            <w:tcW w:type="dxa" w:w="8136"/>
            <w:vAlign w:val="center"/>
            <w:tcMar>
              <w:top w:w="135" w:type="dxa"/>
              <w:left w:w="135" w:type="dxa"/>
              <w:bottom w:w="135" w:type="dxa"/>
              <w:right w:w="135" w:type="dxa"/>
            </w:tcMar>
            <w:tcBorders>
              <w:top w:val="nil"/>
              <w:left w:val="nil"/>
              <w:bottom w:val="nil"/>
              <w:right w:val="nil"/>
            </w:tcBorders>
            <w:shd w:fill="FFFFFF"/>
          </w:tcPr>
          <w:p>
            <w:pPr>
              <w:spacing w:after="40" w:before="40"/>
            </w:pPr>
            <w:r>
              <w:rPr>
                <w:b w:val="0"/>
                <w:color w:val="202A32"/>
                <w:sz w:val="21"/>
              </w:rPr>
              <w:t>Gaussian-mode work together; APRA work as stated in the notes. Supply reviewed model outputs for that effort.</w:t>
            </w:r>
          </w:p>
        </w:tc>
      </w:tr>
      <w:tr>
        <w:trPr>
          <w:cantSplit/>
        </w:trPr>
        <w:tc>
          <w:tcPr>
            <w:tcW w:type="dxa" w:w="1944"/>
            <w:vAlign w:val="center"/>
            <w:tcMar>
              <w:top w:w="135" w:type="dxa"/>
              <w:left w:w="135" w:type="dxa"/>
              <w:bottom w:w="135" w:type="dxa"/>
              <w:right w:w="135" w:type="dxa"/>
            </w:tcMar>
            <w:tcBorders>
              <w:top w:val="nil"/>
              <w:left w:val="nil"/>
              <w:bottom w:val="nil"/>
              <w:right w:val="nil"/>
            </w:tcBorders>
            <w:shd w:fill="EAF8F8"/>
          </w:tcPr>
          <w:p>
            <w:pPr>
              <w:spacing w:after="40" w:before="40"/>
            </w:pPr>
            <w:r>
              <w:rPr>
                <w:b/>
                <w:color w:val="006C73"/>
                <w:sz w:val="21"/>
              </w:rPr>
              <w:t>Volker</w:t>
            </w:r>
          </w:p>
        </w:tc>
        <w:tc>
          <w:tcPr>
            <w:tcW w:type="dxa" w:w="8136"/>
            <w:vAlign w:val="center"/>
            <w:tcMar>
              <w:top w:w="135" w:type="dxa"/>
              <w:left w:w="135" w:type="dxa"/>
              <w:bottom w:w="135" w:type="dxa"/>
              <w:right w:w="135" w:type="dxa"/>
            </w:tcMar>
            <w:tcBorders>
              <w:top w:val="nil"/>
              <w:left w:val="nil"/>
              <w:bottom w:val="nil"/>
              <w:right w:val="nil"/>
            </w:tcBorders>
            <w:shd w:fill="EAF8F8"/>
          </w:tcPr>
          <w:p>
            <w:pPr>
              <w:spacing w:after="40" w:before="40"/>
            </w:pPr>
            <w:r>
              <w:rPr>
                <w:b w:val="0"/>
                <w:color w:val="202A32"/>
                <w:sz w:val="21"/>
              </w:rPr>
              <w:t>Review the conventional optical-model approach, readout, asymmetry and future cavity architecture.</w:t>
            </w:r>
          </w:p>
        </w:tc>
      </w:tr>
      <w:tr>
        <w:trPr>
          <w:cantSplit/>
        </w:trPr>
        <w:tc>
          <w:tcPr>
            <w:tcW w:type="dxa" w:w="1944"/>
            <w:vAlign w:val="center"/>
            <w:tcMar>
              <w:top w:w="135" w:type="dxa"/>
              <w:left w:w="135" w:type="dxa"/>
              <w:bottom w:w="135" w:type="dxa"/>
              <w:right w:w="135" w:type="dxa"/>
            </w:tcMar>
            <w:tcBorders>
              <w:top w:val="nil"/>
              <w:left w:val="nil"/>
              <w:bottom w:val="nil"/>
              <w:right w:val="nil"/>
            </w:tcBorders>
            <w:shd w:fill="FFFFFF"/>
          </w:tcPr>
          <w:p>
            <w:pPr>
              <w:spacing w:after="40" w:before="40"/>
            </w:pPr>
            <w:r>
              <w:rPr>
                <w:b/>
                <w:color w:val="006C73"/>
                <w:sz w:val="21"/>
              </w:rPr>
              <w:t>Teviet</w:t>
            </w:r>
          </w:p>
        </w:tc>
        <w:tc>
          <w:tcPr>
            <w:tcW w:type="dxa" w:w="8136"/>
            <w:vAlign w:val="center"/>
            <w:tcMar>
              <w:top w:w="135" w:type="dxa"/>
              <w:left w:w="135" w:type="dxa"/>
              <w:bottom w:w="135" w:type="dxa"/>
              <w:right w:w="135" w:type="dxa"/>
            </w:tcMar>
            <w:tcBorders>
              <w:top w:val="nil"/>
              <w:left w:val="nil"/>
              <w:bottom w:val="nil"/>
              <w:right w:val="nil"/>
            </w:tcBorders>
            <w:shd w:fill="FFFFFF"/>
          </w:tcPr>
          <w:p>
            <w:pPr>
              <w:spacing w:after="40" w:before="40"/>
            </w:pPr>
            <w:r>
              <w:rPr>
                <w:b w:val="0"/>
                <w:color w:val="202A32"/>
                <w:sz w:val="21"/>
              </w:rPr>
              <w:t>Review reproduction of the supplied manuscript; provide curve and mode data and clarify response, laser-stability and target conventions.</w:t>
            </w:r>
          </w:p>
        </w:tc>
      </w:tr>
      <w:tr>
        <w:trPr>
          <w:cantSplit/>
        </w:trPr>
        <w:tc>
          <w:tcPr>
            <w:tcW w:type="dxa" w:w="1944"/>
            <w:vAlign w:val="center"/>
            <w:tcMar>
              <w:top w:w="135" w:type="dxa"/>
              <w:left w:w="135" w:type="dxa"/>
              <w:bottom w:w="135" w:type="dxa"/>
              <w:right w:w="135" w:type="dxa"/>
            </w:tcMar>
            <w:tcBorders>
              <w:top w:val="nil"/>
              <w:left w:val="nil"/>
              <w:bottom w:val="nil"/>
              <w:right w:val="nil"/>
            </w:tcBorders>
            <w:shd w:fill="EAF8F8"/>
          </w:tcPr>
          <w:p>
            <w:pPr>
              <w:spacing w:after="40" w:before="40"/>
            </w:pPr>
            <w:r>
              <w:rPr>
                <w:b/>
                <w:color w:val="006C73"/>
                <w:sz w:val="21"/>
              </w:rPr>
              <w:t>Phoenix</w:t>
            </w:r>
          </w:p>
        </w:tc>
        <w:tc>
          <w:tcPr>
            <w:tcW w:type="dxa" w:w="8136"/>
            <w:vAlign w:val="center"/>
            <w:tcMar>
              <w:top w:w="135" w:type="dxa"/>
              <w:left w:w="135" w:type="dxa"/>
              <w:bottom w:w="135" w:type="dxa"/>
              <w:right w:w="135" w:type="dxa"/>
            </w:tcMar>
            <w:tcBorders>
              <w:top w:val="nil"/>
              <w:left w:val="nil"/>
              <w:bottom w:val="nil"/>
              <w:right w:val="nil"/>
            </w:tcBorders>
            <w:shd w:fill="EAF8F8"/>
          </w:tcPr>
          <w:p>
            <w:pPr>
              <w:spacing w:after="40" w:before="40"/>
            </w:pPr>
            <w:r>
              <w:rPr>
                <w:b w:val="0"/>
                <w:color w:val="202A32"/>
                <w:sz w:val="21"/>
              </w:rPr>
              <w:t>Potential dust-scattering collaboration: grain population, geometry, motion and optical coupling.</w:t>
            </w:r>
          </w:p>
        </w:tc>
      </w:tr>
      <w:tr>
        <w:trPr>
          <w:cantSplit/>
        </w:trPr>
        <w:tc>
          <w:tcPr>
            <w:tcW w:type="dxa" w:w="1944"/>
            <w:vAlign w:val="center"/>
            <w:tcMar>
              <w:top w:w="135" w:type="dxa"/>
              <w:left w:w="135" w:type="dxa"/>
              <w:bottom w:w="135" w:type="dxa"/>
              <w:right w:w="135" w:type="dxa"/>
            </w:tcMar>
            <w:tcBorders>
              <w:top w:val="nil"/>
              <w:left w:val="nil"/>
              <w:bottom w:val="nil"/>
              <w:right w:val="nil"/>
            </w:tcBorders>
            <w:shd w:fill="FFFFFF"/>
          </w:tcPr>
          <w:p>
            <w:pPr>
              <w:spacing w:after="40" w:before="40"/>
            </w:pPr>
            <w:r>
              <w:rPr>
                <w:b/>
                <w:color w:val="006C73"/>
                <w:sz w:val="21"/>
              </w:rPr>
              <w:t>Joseph</w:t>
            </w:r>
          </w:p>
        </w:tc>
        <w:tc>
          <w:tcPr>
            <w:tcW w:type="dxa" w:w="8136"/>
            <w:vAlign w:val="center"/>
            <w:tcMar>
              <w:top w:w="135" w:type="dxa"/>
              <w:left w:w="135" w:type="dxa"/>
              <w:bottom w:w="135" w:type="dxa"/>
              <w:right w:w="135" w:type="dxa"/>
            </w:tcMar>
            <w:tcBorders>
              <w:top w:val="nil"/>
              <w:left w:val="nil"/>
              <w:bottom w:val="nil"/>
              <w:right w:val="nil"/>
            </w:tcBorders>
            <w:shd w:fill="FFFFFF"/>
          </w:tcPr>
          <w:p>
            <w:pPr>
              <w:spacing w:after="40" w:before="40"/>
            </w:pPr>
            <w:r>
              <w:rPr>
                <w:b w:val="0"/>
                <w:color w:val="202A32"/>
                <w:sz w:val="21"/>
              </w:rPr>
              <w:t>Identify the exact LILA paper and its role in the science justification.</w:t>
            </w:r>
          </w:p>
        </w:tc>
      </w:tr>
    </w:tbl>
    <w:p/>
    <w:p>
      <w:pPr>
        <w:pStyle w:val="Heading2"/>
      </w:pPr>
      <w:r>
        <w:rPr>
          <w:color w:val="006C73"/>
        </w:rPr>
        <w:t>Thursday iLILA research meeting</w:t>
      </w:r>
    </w:p>
    <w:p>
      <w:r>
        <w:t>Use the weekly Thursday iLILA research meeting to review progress and plots, close optical configuration and calibration decisions, and discuss reference curves, science SNR targets, seismic assumptions and missing measurements. Use the weekly update deck to capture results, questions, blockers and next steps. Record decisions and owners in the project log.</w:t>
      </w:r>
    </w:p>
    <w:p>
      <w:pPr>
        <w:pStyle w:val="Heading1"/>
        <w:pageBreakBefore/>
      </w:pPr>
      <w:r>
        <w:rPr>
          <w:color w:val="007F86"/>
        </w:rPr>
        <w:t>Reading sequence and decision register</w:t>
      </w:r>
    </w:p>
    <w:p>
      <w:pPr>
        <w:pStyle w:val="Heading2"/>
      </w:pPr>
      <w:r>
        <w:rPr>
          <w:color w:val="006C73"/>
        </w:rPr>
        <w:t>Reading tied to modeling</w:t>
      </w:r>
    </w:p>
    <w:tbl>
      <w:tblPr>
        <w:tblW w:type="auto" w:w="0"/>
        <w:jc w:val="center"/>
        <w:tblLayout w:type="fixed"/>
        <w:tblLook w:firstColumn="1" w:firstRow="1" w:lastColumn="0" w:lastRow="0" w:noHBand="0" w:noVBand="1" w:val="04A0"/>
      </w:tblPr>
      <w:tblGrid>
        <w:gridCol w:w="720"/>
        <w:gridCol w:w="5040"/>
        <w:gridCol w:w="4320"/>
      </w:tblGrid>
      <w:tr>
        <w:trPr>
          <w:cantSplit/>
          <w:tblHeader/>
        </w:trPr>
        <w:tc>
          <w:tcPr>
            <w:tcW w:type="dxa" w:w="720"/>
            <w:vAlign w:val="center"/>
            <w:tcMar>
              <w:top w:w="135" w:type="dxa"/>
              <w:left w:w="135" w:type="dxa"/>
              <w:bottom w:w="135" w:type="dxa"/>
              <w:right w:w="135" w:type="dxa"/>
            </w:tcMar>
            <w:tcBorders>
              <w:top w:val="nil"/>
              <w:left w:val="nil"/>
              <w:bottom w:val="nil"/>
              <w:right w:val="nil"/>
            </w:tcBorders>
            <w:shd w:fill="007F86"/>
          </w:tcPr>
          <w:p>
            <w:pPr>
              <w:spacing w:after="40" w:before="40"/>
            </w:pPr>
            <w:r>
              <w:rPr>
                <w:b/>
                <w:color w:val="FFFFFF"/>
                <w:sz w:val="21"/>
              </w:rPr>
              <w:t>#</w:t>
            </w:r>
          </w:p>
        </w:tc>
        <w:tc>
          <w:tcPr>
            <w:tcW w:type="dxa" w:w="5040"/>
            <w:vAlign w:val="center"/>
            <w:tcMar>
              <w:top w:w="135" w:type="dxa"/>
              <w:left w:w="135" w:type="dxa"/>
              <w:bottom w:w="135" w:type="dxa"/>
              <w:right w:w="135" w:type="dxa"/>
            </w:tcMar>
            <w:tcBorders>
              <w:top w:val="nil"/>
              <w:left w:val="nil"/>
              <w:bottom w:val="nil"/>
              <w:right w:val="nil"/>
            </w:tcBorders>
            <w:shd w:fill="007F86"/>
          </w:tcPr>
          <w:p>
            <w:pPr>
              <w:spacing w:after="40" w:before="40"/>
            </w:pPr>
            <w:r>
              <w:rPr>
                <w:b/>
                <w:color w:val="FFFFFF"/>
                <w:sz w:val="21"/>
              </w:rPr>
              <w:t>Reading</w:t>
            </w:r>
          </w:p>
        </w:tc>
        <w:tc>
          <w:tcPr>
            <w:tcW w:type="dxa" w:w="4320"/>
            <w:vAlign w:val="center"/>
            <w:tcMar>
              <w:top w:w="135" w:type="dxa"/>
              <w:left w:w="135" w:type="dxa"/>
              <w:bottom w:w="135" w:type="dxa"/>
              <w:right w:w="135" w:type="dxa"/>
            </w:tcMar>
            <w:tcBorders>
              <w:top w:val="nil"/>
              <w:left w:val="nil"/>
              <w:bottom w:val="nil"/>
              <w:right w:val="nil"/>
            </w:tcBorders>
            <w:shd w:fill="007F86"/>
          </w:tcPr>
          <w:p>
            <w:pPr>
              <w:spacing w:after="40" w:before="40"/>
            </w:pPr>
            <w:r>
              <w:rPr>
                <w:b/>
                <w:color w:val="FFFFFF"/>
                <w:sz w:val="21"/>
              </w:rPr>
              <w:t>Apply it to</w:t>
            </w:r>
          </w:p>
        </w:tc>
      </w:tr>
      <w:tr>
        <w:trPr>
          <w:cantSplit/>
        </w:trPr>
        <w:tc>
          <w:tcPr>
            <w:tcW w:type="dxa" w:w="720"/>
            <w:vAlign w:val="center"/>
            <w:tcMar>
              <w:top w:w="135" w:type="dxa"/>
              <w:left w:w="135" w:type="dxa"/>
              <w:bottom w:w="135" w:type="dxa"/>
              <w:right w:w="135" w:type="dxa"/>
            </w:tcMar>
            <w:tcBorders>
              <w:top w:val="nil"/>
              <w:left w:val="nil"/>
              <w:bottom w:val="nil"/>
              <w:right w:val="nil"/>
            </w:tcBorders>
            <w:shd w:fill="EAF8F8"/>
          </w:tcPr>
          <w:p>
            <w:pPr>
              <w:spacing w:after="40" w:before="40"/>
            </w:pPr>
            <w:r>
              <w:rPr>
                <w:b/>
                <w:color w:val="006C73"/>
                <w:sz w:val="21"/>
              </w:rPr>
              <w:t>1</w:t>
            </w:r>
          </w:p>
        </w:tc>
        <w:tc>
          <w:tcPr>
            <w:tcW w:type="dxa" w:w="5040"/>
            <w:vAlign w:val="center"/>
            <w:tcMar>
              <w:top w:w="135" w:type="dxa"/>
              <w:left w:w="135" w:type="dxa"/>
              <w:bottom w:w="135" w:type="dxa"/>
              <w:right w:w="135" w:type="dxa"/>
            </w:tcMar>
            <w:tcBorders>
              <w:top w:val="nil"/>
              <w:left w:val="nil"/>
              <w:bottom w:val="nil"/>
              <w:right w:val="nil"/>
            </w:tcBorders>
            <w:shd w:fill="EAF8F8"/>
          </w:tcPr>
          <w:p>
            <w:pPr>
              <w:spacing w:after="40" w:before="40"/>
            </w:pPr>
            <w:r>
              <w:rPr>
                <w:b w:val="0"/>
                <w:color w:val="202A32"/>
                <w:sz w:val="21"/>
              </w:rPr>
              <w:t>Siegman, Lasers (1986), first half as assigned.</w:t>
            </w:r>
          </w:p>
        </w:tc>
        <w:tc>
          <w:tcPr>
            <w:tcW w:type="dxa" w:w="4320"/>
            <w:vAlign w:val="center"/>
            <w:tcMar>
              <w:top w:w="135" w:type="dxa"/>
              <w:left w:w="135" w:type="dxa"/>
              <w:bottom w:w="135" w:type="dxa"/>
              <w:right w:w="135" w:type="dxa"/>
            </w:tcMar>
            <w:tcBorders>
              <w:top w:val="nil"/>
              <w:left w:val="nil"/>
              <w:bottom w:val="nil"/>
              <w:right w:val="nil"/>
            </w:tcBorders>
            <w:shd w:fill="EAF8F8"/>
          </w:tcPr>
          <w:p>
            <w:pPr>
              <w:spacing w:after="40" w:before="40"/>
            </w:pPr>
            <w:r>
              <w:rPr>
                <w:b w:val="0"/>
                <w:color w:val="202A32"/>
                <w:sz w:val="21"/>
              </w:rPr>
              <w:t>Gaussian beams, complex beam parameter, propagation and transverse modes.</w:t>
            </w:r>
          </w:p>
        </w:tc>
      </w:tr>
      <w:tr>
        <w:trPr>
          <w:cantSplit/>
        </w:trPr>
        <w:tc>
          <w:tcPr>
            <w:tcW w:type="dxa" w:w="720"/>
            <w:vAlign w:val="center"/>
            <w:tcMar>
              <w:top w:w="135" w:type="dxa"/>
              <w:left w:w="135" w:type="dxa"/>
              <w:bottom w:w="135" w:type="dxa"/>
              <w:right w:w="135" w:type="dxa"/>
            </w:tcMar>
            <w:tcBorders>
              <w:top w:val="nil"/>
              <w:left w:val="nil"/>
              <w:bottom w:val="nil"/>
              <w:right w:val="nil"/>
            </w:tcBorders>
            <w:shd w:fill="FFFFFF"/>
          </w:tcPr>
          <w:p>
            <w:pPr>
              <w:spacing w:after="40" w:before="40"/>
            </w:pPr>
            <w:r>
              <w:rPr>
                <w:b/>
                <w:color w:val="006C73"/>
                <w:sz w:val="21"/>
              </w:rPr>
              <w:t>2</w:t>
            </w:r>
          </w:p>
        </w:tc>
        <w:tc>
          <w:tcPr>
            <w:tcW w:type="dxa" w:w="5040"/>
            <w:vAlign w:val="center"/>
            <w:tcMar>
              <w:top w:w="135" w:type="dxa"/>
              <w:left w:w="135" w:type="dxa"/>
              <w:bottom w:w="135" w:type="dxa"/>
              <w:right w:w="135" w:type="dxa"/>
            </w:tcMar>
            <w:tcBorders>
              <w:top w:val="nil"/>
              <w:left w:val="nil"/>
              <w:bottom w:val="nil"/>
              <w:right w:val="nil"/>
            </w:tcBorders>
            <w:shd w:fill="FFFFFF"/>
          </w:tcPr>
          <w:p>
            <w:pPr>
              <w:spacing w:after="40" w:before="40"/>
            </w:pPr>
            <w:r>
              <w:rPr>
                <w:b w:val="0"/>
                <w:color w:val="202A32"/>
                <w:sz w:val="21"/>
              </w:rPr>
              <w:t>Kogelnik and Li, Laser Beams and Resonators (1966), supplied Optica link.</w:t>
            </w:r>
          </w:p>
        </w:tc>
        <w:tc>
          <w:tcPr>
            <w:tcW w:type="dxa" w:w="4320"/>
            <w:vAlign w:val="center"/>
            <w:tcMar>
              <w:top w:w="135" w:type="dxa"/>
              <w:left w:w="135" w:type="dxa"/>
              <w:bottom w:w="135" w:type="dxa"/>
              <w:right w:w="135" w:type="dxa"/>
            </w:tcMar>
            <w:tcBorders>
              <w:top w:val="nil"/>
              <w:left w:val="nil"/>
              <w:bottom w:val="nil"/>
              <w:right w:val="nil"/>
            </w:tcBorders>
            <w:shd w:fill="FFFFFF"/>
          </w:tcPr>
          <w:p>
            <w:pPr>
              <w:spacing w:after="40" w:before="40"/>
            </w:pPr>
            <w:r>
              <w:rPr>
                <w:b w:val="0"/>
                <w:color w:val="202A32"/>
                <w:sz w:val="21"/>
              </w:rPr>
              <w:t>ABCD propagation, resonators and mode calculations.</w:t>
            </w:r>
          </w:p>
        </w:tc>
      </w:tr>
      <w:tr>
        <w:trPr>
          <w:cantSplit/>
        </w:trPr>
        <w:tc>
          <w:tcPr>
            <w:tcW w:type="dxa" w:w="720"/>
            <w:vAlign w:val="center"/>
            <w:tcMar>
              <w:top w:w="135" w:type="dxa"/>
              <w:left w:w="135" w:type="dxa"/>
              <w:bottom w:w="135" w:type="dxa"/>
              <w:right w:w="135" w:type="dxa"/>
            </w:tcMar>
            <w:tcBorders>
              <w:top w:val="nil"/>
              <w:left w:val="nil"/>
              <w:bottom w:val="nil"/>
              <w:right w:val="nil"/>
            </w:tcBorders>
            <w:shd w:fill="EAF8F8"/>
          </w:tcPr>
          <w:p>
            <w:pPr>
              <w:spacing w:after="40" w:before="40"/>
            </w:pPr>
            <w:r>
              <w:rPr>
                <w:b/>
                <w:color w:val="006C73"/>
                <w:sz w:val="21"/>
              </w:rPr>
              <w:t>3</w:t>
            </w:r>
          </w:p>
        </w:tc>
        <w:tc>
          <w:tcPr>
            <w:tcW w:type="dxa" w:w="5040"/>
            <w:vAlign w:val="center"/>
            <w:tcMar>
              <w:top w:w="135" w:type="dxa"/>
              <w:left w:w="135" w:type="dxa"/>
              <w:bottom w:w="135" w:type="dxa"/>
              <w:right w:w="135" w:type="dxa"/>
            </w:tcMar>
            <w:tcBorders>
              <w:top w:val="nil"/>
              <w:left w:val="nil"/>
              <w:bottom w:val="nil"/>
              <w:right w:val="nil"/>
            </w:tcBorders>
            <w:shd w:fill="EAF8F8"/>
          </w:tcPr>
          <w:p>
            <w:pPr>
              <w:spacing w:after="40" w:before="40"/>
            </w:pPr>
            <w:r>
              <w:rPr>
                <w:b w:val="0"/>
                <w:color w:val="202A32"/>
                <w:sz w:val="21"/>
              </w:rPr>
              <w:t>Finesse manual matched to the installed version.</w:t>
            </w:r>
          </w:p>
        </w:tc>
        <w:tc>
          <w:tcPr>
            <w:tcW w:type="dxa" w:w="4320"/>
            <w:vAlign w:val="center"/>
            <w:tcMar>
              <w:top w:w="135" w:type="dxa"/>
              <w:left w:w="135" w:type="dxa"/>
              <w:bottom w:w="135" w:type="dxa"/>
              <w:right w:w="135" w:type="dxa"/>
            </w:tcMar>
            <w:tcBorders>
              <w:top w:val="nil"/>
              <w:left w:val="nil"/>
              <w:bottom w:val="nil"/>
              <w:right w:val="nil"/>
            </w:tcBorders>
            <w:shd w:fill="EAF8F8"/>
          </w:tcPr>
          <w:p>
            <w:pPr>
              <w:spacing w:after="40" w:before="40"/>
            </w:pPr>
            <w:r>
              <w:rPr>
                <w:b w:val="0"/>
                <w:color w:val="202A32"/>
                <w:sz w:val="21"/>
              </w:rPr>
              <w:t>Michelson readout, transfer functions, Gaussian modes and perturbations.</w:t>
            </w:r>
          </w:p>
        </w:tc>
      </w:tr>
      <w:tr>
        <w:trPr>
          <w:cantSplit/>
        </w:trPr>
        <w:tc>
          <w:tcPr>
            <w:tcW w:type="dxa" w:w="720"/>
            <w:vAlign w:val="center"/>
            <w:tcMar>
              <w:top w:w="135" w:type="dxa"/>
              <w:left w:w="135" w:type="dxa"/>
              <w:bottom w:w="135" w:type="dxa"/>
              <w:right w:w="135" w:type="dxa"/>
            </w:tcMar>
            <w:tcBorders>
              <w:top w:val="nil"/>
              <w:left w:val="nil"/>
              <w:bottom w:val="nil"/>
              <w:right w:val="nil"/>
            </w:tcBorders>
            <w:shd w:fill="FFFFFF"/>
          </w:tcPr>
          <w:p>
            <w:pPr>
              <w:spacing w:after="40" w:before="40"/>
            </w:pPr>
            <w:r>
              <w:rPr>
                <w:b/>
                <w:color w:val="006C73"/>
                <w:sz w:val="21"/>
              </w:rPr>
              <w:t>4</w:t>
            </w:r>
          </w:p>
        </w:tc>
        <w:tc>
          <w:tcPr>
            <w:tcW w:type="dxa" w:w="5040"/>
            <w:vAlign w:val="center"/>
            <w:tcMar>
              <w:top w:w="135" w:type="dxa"/>
              <w:left w:w="135" w:type="dxa"/>
              <w:bottom w:w="135" w:type="dxa"/>
              <w:right w:w="135" w:type="dxa"/>
            </w:tcMar>
            <w:tcBorders>
              <w:top w:val="nil"/>
              <w:left w:val="nil"/>
              <w:bottom w:val="nil"/>
              <w:right w:val="nil"/>
            </w:tcBorders>
            <w:shd w:fill="FFFFFF"/>
          </w:tcPr>
          <w:p>
            <w:pPr>
              <w:spacing w:after="40" w:before="40"/>
            </w:pPr>
            <w:r>
              <w:rPr>
                <w:b w:val="0"/>
                <w:color w:val="202A32"/>
                <w:sz w:val="21"/>
              </w:rPr>
              <w:t>Supplied LILAL-noise.pdf by Creighton et al.; lunar interior paper.</w:t>
            </w:r>
          </w:p>
        </w:tc>
        <w:tc>
          <w:tcPr>
            <w:tcW w:type="dxa" w:w="4320"/>
            <w:vAlign w:val="center"/>
            <w:tcMar>
              <w:top w:w="135" w:type="dxa"/>
              <w:left w:w="135" w:type="dxa"/>
              <w:bottom w:w="135" w:type="dxa"/>
              <w:right w:w="135" w:type="dxa"/>
            </w:tcMar>
            <w:tcBorders>
              <w:top w:val="nil"/>
              <w:left w:val="nil"/>
              <w:bottom w:val="nil"/>
              <w:right w:val="nil"/>
            </w:tcBorders>
            <w:shd w:fill="FFFFFF"/>
          </w:tcPr>
          <w:p>
            <w:pPr>
              <w:spacing w:after="40" w:before="40"/>
            </w:pPr>
            <w:r>
              <w:rPr>
                <w:b w:val="0"/>
                <w:color w:val="202A32"/>
                <w:sz w:val="21"/>
              </w:rPr>
              <w:t>Reproduce the 1 km curve, complex lunar response and noise assumptions.</w:t>
            </w:r>
          </w:p>
        </w:tc>
      </w:tr>
      <w:tr>
        <w:trPr>
          <w:cantSplit/>
        </w:trPr>
        <w:tc>
          <w:tcPr>
            <w:tcW w:type="dxa" w:w="720"/>
            <w:vAlign w:val="center"/>
            <w:tcMar>
              <w:top w:w="135" w:type="dxa"/>
              <w:left w:w="135" w:type="dxa"/>
              <w:bottom w:w="135" w:type="dxa"/>
              <w:right w:w="135" w:type="dxa"/>
            </w:tcMar>
            <w:tcBorders>
              <w:top w:val="nil"/>
              <w:left w:val="nil"/>
              <w:bottom w:val="nil"/>
              <w:right w:val="nil"/>
            </w:tcBorders>
            <w:shd w:fill="EAF8F8"/>
          </w:tcPr>
          <w:p>
            <w:pPr>
              <w:spacing w:after="40" w:before="40"/>
            </w:pPr>
            <w:r>
              <w:rPr>
                <w:b/>
                <w:color w:val="006C73"/>
                <w:sz w:val="21"/>
              </w:rPr>
              <w:t>5</w:t>
            </w:r>
          </w:p>
        </w:tc>
        <w:tc>
          <w:tcPr>
            <w:tcW w:type="dxa" w:w="5040"/>
            <w:vAlign w:val="center"/>
            <w:tcMar>
              <w:top w:w="135" w:type="dxa"/>
              <w:left w:w="135" w:type="dxa"/>
              <w:bottom w:w="135" w:type="dxa"/>
              <w:right w:w="135" w:type="dxa"/>
            </w:tcMar>
            <w:tcBorders>
              <w:top w:val="nil"/>
              <w:left w:val="nil"/>
              <w:bottom w:val="nil"/>
              <w:right w:val="nil"/>
            </w:tcBorders>
            <w:shd w:fill="EAF8F8"/>
          </w:tcPr>
          <w:p>
            <w:pPr>
              <w:spacing w:after="40" w:before="40"/>
            </w:pPr>
            <w:r>
              <w:rPr>
                <w:b w:val="0"/>
                <w:color w:val="202A32"/>
                <w:sz w:val="21"/>
              </w:rPr>
              <w:t>Joseph’s exact paper once identified.</w:t>
            </w:r>
          </w:p>
        </w:tc>
        <w:tc>
          <w:tcPr>
            <w:tcW w:type="dxa" w:w="4320"/>
            <w:vAlign w:val="center"/>
            <w:tcMar>
              <w:top w:w="135" w:type="dxa"/>
              <w:left w:w="135" w:type="dxa"/>
              <w:bottom w:w="135" w:type="dxa"/>
              <w:right w:w="135" w:type="dxa"/>
            </w:tcMar>
            <w:tcBorders>
              <w:top w:val="nil"/>
              <w:left w:val="nil"/>
              <w:bottom w:val="nil"/>
              <w:right w:val="nil"/>
            </w:tcBorders>
            <w:shd w:fill="EAF8F8"/>
          </w:tcPr>
          <w:p>
            <w:pPr>
              <w:spacing w:after="40" w:before="40"/>
            </w:pPr>
            <w:r>
              <w:rPr>
                <w:b w:val="0"/>
                <w:color w:val="202A32"/>
                <w:sz w:val="21"/>
              </w:rPr>
              <w:t>Astrophysical motivation and source selection.</w:t>
            </w:r>
          </w:p>
        </w:tc>
      </w:tr>
    </w:tbl>
    <w:p/>
    <w:p>
      <w:pPr>
        <w:pStyle w:val="Heading2"/>
      </w:pPr>
      <w:r>
        <w:rPr>
          <w:color w:val="006C73"/>
        </w:rPr>
        <w:t>Decisions to close</w:t>
      </w:r>
    </w:p>
    <w:p>
      <w:pPr>
        <w:pStyle w:val="ListBullet"/>
      </w:pPr>
      <w:r>
        <w:t>Select the exact reference curves and science SNR targets for inverse requirements. Record configuration, response assumptions, observing time and frequency range for each case.</w:t>
      </w:r>
    </w:p>
    <w:p>
      <w:pPr>
        <w:pStyle w:val="ListBullet"/>
      </w:pPr>
      <w:r>
        <w:t>Confirm which cavities are excluded from iLILA. The working interpretation excludes arm cavities while tracking any stabilization or mode-cleaning cavities separately.</w:t>
      </w:r>
    </w:p>
    <w:p>
      <w:pPr>
        <w:pStyle w:val="ListBullet"/>
      </w:pPr>
      <w:r>
        <w:t>Approve the wavelength, beam-size convention, readout, arm mismatch and operating temperature for each model. Replace assumed detected power with the link-budget result.</w:t>
      </w:r>
    </w:p>
    <w:p>
      <w:pPr>
        <w:pStyle w:val="ListBullet"/>
      </w:pPr>
      <w:r>
        <w:t>Define “radiation noise,” target source classes, SNR thresholds and observing time. Review open decisions and next steps at the weekly Thursday iLILA research meeting.</w:t>
      </w:r>
    </w:p>
    <w:p>
      <w:pPr>
        <w:pStyle w:val="Heading1"/>
        <w:pageBreakBefore/>
      </w:pPr>
      <w:r>
        <w:rPr>
          <w:color w:val="007F86"/>
        </w:rPr>
        <w:t>Reference register</w:t>
      </w:r>
    </w:p>
    <w:p>
      <w:r>
        <w:t>[1] Internal baseline: LILA Templeton proposal, August 2026, and LILA_Pioneer_Noise_Budget_README_V2.md. The preliminary target and earlier illustrative budgets require validation against the final configuration.</w:t>
      </w:r>
    </w:p>
    <w:p>
      <w:r>
        <w:t>[2] Creighton et al., Fundamental Noise and Gravitational-Wave Sensitivity of the Laser Interferometer Lunar Antenna (LILA), supplied manuscript LILAL-noise.pdf, received 24 September 2026. Primary reproduction reference: Sections 2–4 and Figures 1–3. Confirm version with the authors; retain public arXiv:2508.18437 as publication history. https://arxiv.org/abs/2508.18437</w:t>
      </w:r>
    </w:p>
    <w:p>
      <w:r>
        <w:t>[3] Panning et al., Potential for Lunar Interior Science by the Gravitational-Wave Detector LILA, arXiv:2509.15452. https://arxiv.org/abs/2509.15452</w:t>
      </w:r>
    </w:p>
    <w:p>
      <w:r>
        <w:t>[4] Finesse documentation. https://finesse.ifosim.org/docs/latest/</w:t>
      </w:r>
    </w:p>
    <w:p>
      <w:r>
        <w:t>[5] pygwinc documentation and custom budget interface. https://pypi.org/project/gwinc/</w:t>
      </w:r>
    </w:p>
    <w:p>
      <w:r>
        <w:t>[6] Kogelnik and Li, Applied Optics 5, 1550–1567 (1966). https://doi.org/10.1364/AO.5.001550</w:t>
      </w:r>
    </w:p>
    <w:sectPr w:rsidR="00FC693F" w:rsidRPr="0006063C" w:rsidSect="00034616">
      <w:footerReference w:type="default" r:id="rId9"/>
      <w:pgSz w:w="12240" w:h="15840"/>
      <w:pgMar w:top="1152" w:right="1080" w:bottom="1152" w:left="1080" w:header="720" w:footer="50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color w:val="007F86"/>
        <w:sz w:val="16"/>
      </w:rPr>
      <w:t xml:space="preserve">iLILA  |  PROJECT PLAN    </w:t>
    </w:r>
    <w:r>
      <w:rPr>
        <w:color w:val="007F86"/>
        <w:sz w:val="16"/>
      </w:rPr>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80" w:line="269" w:lineRule="auto"/>
    </w:pPr>
    <w:rPr>
      <w:rFonts w:ascii="Calibri" w:hAnsi="Calibri"/>
      <w:color w:val="000000"/>
      <w:sz w:val="23"/>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360"/>
      <w:outlineLvl w:val="0"/>
    </w:pPr>
    <w:rPr>
      <w:rFonts w:asciiTheme="majorHAnsi" w:eastAsiaTheme="majorEastAsia" w:hAnsiTheme="majorHAnsi" w:cstheme="majorBidi" w:ascii="Calibri" w:hAnsi="Calibri"/>
      <w:b/>
      <w:bCs/>
      <w:color w:val="007F86"/>
      <w:sz w:val="46"/>
      <w:szCs w:val="28"/>
    </w:rPr>
  </w:style>
  <w:style w:type="paragraph" w:styleId="Heading2">
    <w:name w:val="heading 2"/>
    <w:basedOn w:val="Normal"/>
    <w:next w:val="Normal"/>
    <w:link w:val="Heading2Char"/>
    <w:uiPriority w:val="9"/>
    <w:unhideWhenUsed/>
    <w:qFormat/>
    <w:rsid w:val="00FC693F"/>
    <w:pPr>
      <w:keepNext/>
      <w:keepLines/>
      <w:spacing w:before="320" w:after="140"/>
      <w:outlineLvl w:val="1"/>
    </w:pPr>
    <w:rPr>
      <w:rFonts w:asciiTheme="majorHAnsi" w:eastAsiaTheme="majorEastAsia" w:hAnsiTheme="majorHAnsi" w:cstheme="majorBidi" w:ascii="Calibri" w:hAnsi="Calibri"/>
      <w:b/>
      <w:bCs/>
      <w:color w:val="006C73"/>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ascii="Calibri" w:hAnsi="Calibri"/>
      <w:b/>
      <w:color w:val="007F86"/>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Calibri" w:hAnsi="Calibri"/>
      <w:i w:val="0"/>
      <w:iCs/>
      <w:color w:val="006C73"/>
      <w:spacing w:val="15"/>
      <w:sz w:val="22"/>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160"/>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iLILA Optical Sensitivity Project Plan</dc:title>
  <dc:subject/>
  <dc:creator>Kaylah McGowan</dc:creator>
  <cp:keywords/>
  <dc:description>generated by python-docx</dc:description>
  <cp:lastModifiedBy/>
  <cp:revision>1</cp:revision>
  <dcterms:created xsi:type="dcterms:W3CDTF">2013-12-23T23:15:00Z</dcterms:created>
  <dcterms:modified xsi:type="dcterms:W3CDTF">2013-12-23T23:15:00Z</dcterms:modified>
  <cp:category/>
</cp:coreProperties>
</file>