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D79E9" w14:textId="475F3DE3" w:rsidR="00A8203C" w:rsidRDefault="00424FF7" w:rsidP="004E75B7">
      <w:pPr>
        <w:pStyle w:val="Heading1"/>
        <w:spacing w:line="480" w:lineRule="auto"/>
      </w:pPr>
      <w:r>
        <w:t>Literature data</w:t>
      </w:r>
    </w:p>
    <w:p w14:paraId="75F041E2" w14:textId="1A5F09B3" w:rsidR="00424FF7" w:rsidRDefault="00EC489C" w:rsidP="004E75B7">
      <w:pPr>
        <w:spacing w:line="480" w:lineRule="auto"/>
      </w:pPr>
      <w:r>
        <w:t xml:space="preserve">Compositional, intrinsic thermodynamic (P, T, fO2 if buffered or known), and experimental (run apparatus, capsule material, run time) </w:t>
      </w:r>
      <w:r w:rsidR="00CC1939">
        <w:t xml:space="preserve">data </w:t>
      </w:r>
      <w:r>
        <w:t>were digitized from 52 experimental studies conducted at relatively low fO2 (&lt;IW) that produced silicate melt and a co-existing Si-bearing metal phase.</w:t>
      </w:r>
      <w:r w:rsidR="00CC1939">
        <w:t xml:space="preserve"> The full </w:t>
      </w:r>
      <w:r w:rsidR="00DB547F">
        <w:t xml:space="preserve">unfiltered </w:t>
      </w:r>
      <w:r w:rsidR="00CC1939">
        <w:t xml:space="preserve">database consisted of 765 samples. </w:t>
      </w:r>
      <w:r w:rsidR="00152FE2">
        <w:t>These data were then filtered to remove samples of low quality or compositional outliers</w:t>
      </w:r>
      <w:r w:rsidR="00DB547F">
        <w:t>, resulting in a final database of 43</w:t>
      </w:r>
      <w:r w:rsidR="001740F9">
        <w:t>4</w:t>
      </w:r>
      <w:r w:rsidR="00DB547F">
        <w:t xml:space="preserve"> samples</w:t>
      </w:r>
      <w:r w:rsidR="00152FE2">
        <w:t>.</w:t>
      </w:r>
      <w:r w:rsidR="00CC1939">
        <w:t xml:space="preserve"> </w:t>
      </w:r>
      <w:r w:rsidR="00152FE2">
        <w:t>Sample</w:t>
      </w:r>
      <w:r w:rsidR="003E6FD5">
        <w:t>s</w:t>
      </w:r>
      <w:r w:rsidR="00152FE2">
        <w:t xml:space="preserve"> were removed from the database if: </w:t>
      </w:r>
      <w:proofErr w:type="spellStart"/>
      <w:r w:rsidR="00152FE2">
        <w:t>FeOmelt</w:t>
      </w:r>
      <w:proofErr w:type="spellEnd"/>
      <w:r w:rsidR="00152FE2">
        <w:t xml:space="preserve"> was &lt;0.1 </w:t>
      </w:r>
      <w:proofErr w:type="spellStart"/>
      <w:r w:rsidR="00152FE2">
        <w:t>wt</w:t>
      </w:r>
      <w:proofErr w:type="spellEnd"/>
      <w:r w:rsidR="00152FE2">
        <w:t xml:space="preserve">%, SiO2melt was &lt; 1 </w:t>
      </w:r>
      <w:proofErr w:type="spellStart"/>
      <w:r w:rsidR="00152FE2">
        <w:t>wt</w:t>
      </w:r>
      <w:proofErr w:type="spellEnd"/>
      <w:r w:rsidR="00152FE2">
        <w:t xml:space="preserve">%, </w:t>
      </w:r>
      <w:proofErr w:type="spellStart"/>
      <w:r w:rsidR="00152FE2">
        <w:t>Simetal</w:t>
      </w:r>
      <w:proofErr w:type="spellEnd"/>
      <w:r w:rsidR="00152FE2">
        <w:t xml:space="preserve"> was &lt;0.1 </w:t>
      </w:r>
      <w:proofErr w:type="spellStart"/>
      <w:r w:rsidR="00152FE2">
        <w:t>wt</w:t>
      </w:r>
      <w:proofErr w:type="spellEnd"/>
      <w:r w:rsidR="00152FE2">
        <w:t xml:space="preserve">% or &gt;25 </w:t>
      </w:r>
      <w:proofErr w:type="spellStart"/>
      <w:r w:rsidR="00152FE2">
        <w:t>wt</w:t>
      </w:r>
      <w:proofErr w:type="spellEnd"/>
      <w:r w:rsidR="00152FE2">
        <w:t xml:space="preserve">%, Fe was not the dominant component of the metal phase, insufficient chemistry was reported to calculate activity coefficients, </w:t>
      </w:r>
      <w:r w:rsidR="003E6FD5">
        <w:t xml:space="preserve">or if </w:t>
      </w:r>
      <w:r w:rsidR="00152FE2">
        <w:t xml:space="preserve">experiments showed apparent disequilibrium problems or </w:t>
      </w:r>
      <w:r w:rsidR="003E6FD5">
        <w:t xml:space="preserve">had </w:t>
      </w:r>
      <w:r w:rsidR="00152FE2">
        <w:t>inconsistencies in data reporting.</w:t>
      </w:r>
      <w:r w:rsidR="003E21CB">
        <w:t xml:space="preserve"> </w:t>
      </w:r>
    </w:p>
    <w:p w14:paraId="12BD977D" w14:textId="47AF5D4A" w:rsidR="005D1EC4" w:rsidRDefault="00E15B1E" w:rsidP="004E75B7">
      <w:pPr>
        <w:spacing w:line="480" w:lineRule="auto"/>
      </w:pPr>
      <w:r w:rsidRPr="00C61455">
        <w:drawing>
          <wp:anchor distT="0" distB="0" distL="114300" distR="114300" simplePos="0" relativeHeight="251658240" behindDoc="0" locked="0" layoutInCell="1" allowOverlap="1" wp14:anchorId="228B5536" wp14:editId="563B7C2A">
            <wp:simplePos x="0" y="0"/>
            <wp:positionH relativeFrom="column">
              <wp:posOffset>3473213</wp:posOffset>
            </wp:positionH>
            <wp:positionV relativeFrom="paragraph">
              <wp:posOffset>67738</wp:posOffset>
            </wp:positionV>
            <wp:extent cx="2599055" cy="2541270"/>
            <wp:effectExtent l="0" t="0" r="4445" b="0"/>
            <wp:wrapSquare wrapText="bothSides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80755AC2-3275-124A-844D-BB505EA70C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80755AC2-3275-124A-844D-BB505EA70C2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2541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C4C5A" w14:textId="1470D530" w:rsidR="00C61455" w:rsidRDefault="005D1EC4" w:rsidP="00D27FAB">
      <w:pPr>
        <w:spacing w:line="480" w:lineRule="auto"/>
      </w:pPr>
      <w:r>
        <w:t>The final database consists of experiments carried out in 1-atmosphere gas mixing furnaces, non-end-loaded piston cylinders, end-loaded piston cylinders, multi anvils, or diamond anvil cells. Experiments ranged from 1100–5426 °C and 0–100 GPa</w:t>
      </w:r>
      <w:r w:rsidR="00971C55">
        <w:t xml:space="preserve"> at fO2 from IW-8 to IW. </w:t>
      </w:r>
      <w:r w:rsidR="00F26E35" w:rsidRPr="00C060F7">
        <w:rPr>
          <w:highlight w:val="green"/>
        </w:rPr>
        <w:t>Figure X</w:t>
      </w:r>
      <w:r w:rsidR="00F26E35">
        <w:t xml:space="preserve"> illustrates the </w:t>
      </w:r>
      <w:r w:rsidR="00C61455">
        <w:t xml:space="preserve">distribution of the database in P-T space. </w:t>
      </w:r>
      <w:r w:rsidR="00971C55">
        <w:t>Run durations ranged from &lt;1 minute to just over 24 hours.</w:t>
      </w:r>
      <w:r w:rsidR="009C0361">
        <w:t xml:space="preserve"> Experiments were housed in graphite, Al2O3, MgO, or Pt </w:t>
      </w:r>
      <w:r w:rsidR="009C0361">
        <w:lastRenderedPageBreak/>
        <w:t>capsules.</w:t>
      </w:r>
      <w:r w:rsidR="00F5289D">
        <w:t xml:space="preserve"> All experiments produced a silicate melt and metal alloy phase, and many e</w:t>
      </w:r>
      <w:r w:rsidR="00242EF8">
        <w:t>xperiments also contained phenocrysts (typically olivine ± pyroxene ± sulfides).</w:t>
      </w:r>
    </w:p>
    <w:p w14:paraId="0F7B28F1" w14:textId="02DE50B7" w:rsidR="00414CC1" w:rsidRDefault="00414CC1" w:rsidP="004E75B7">
      <w:pPr>
        <w:spacing w:line="480" w:lineRule="auto"/>
      </w:pPr>
    </w:p>
    <w:p w14:paraId="25CB2D13" w14:textId="425FECD8" w:rsidR="00414CC1" w:rsidRDefault="00414CC1" w:rsidP="004E75B7">
      <w:pPr>
        <w:pStyle w:val="Heading1"/>
        <w:spacing w:line="480" w:lineRule="auto"/>
      </w:pPr>
      <w:r>
        <w:t>Data processing</w:t>
      </w:r>
    </w:p>
    <w:p w14:paraId="750DFD72" w14:textId="297C555C" w:rsidR="00401BA2" w:rsidRDefault="00841F01" w:rsidP="004E75B7">
      <w:pPr>
        <w:pStyle w:val="Heading2"/>
        <w:spacing w:line="480" w:lineRule="auto"/>
      </w:pPr>
      <w:r>
        <w:t>Activities, activity coefficients, and o</w:t>
      </w:r>
      <w:r w:rsidR="00401BA2">
        <w:t>xygen fugacity</w:t>
      </w:r>
    </w:p>
    <w:p w14:paraId="3BB0A2B4" w14:textId="77777777" w:rsidR="00A66AF8" w:rsidRDefault="00A66AF8" w:rsidP="004E75B7">
      <w:pPr>
        <w:spacing w:line="480" w:lineRule="auto"/>
      </w:pPr>
      <w:r>
        <w:t>For all experiments, the fO2 was calculated using Fe-</w:t>
      </w:r>
      <w:proofErr w:type="spellStart"/>
      <w:r>
        <w:t>FeO</w:t>
      </w:r>
      <w:proofErr w:type="spellEnd"/>
      <w:r>
        <w:t xml:space="preserve"> equilibrium: </w:t>
      </w:r>
    </w:p>
    <w:p w14:paraId="057BDE5C" w14:textId="0FBAB462" w:rsidR="00A66AF8" w:rsidRDefault="00A66AF8" w:rsidP="004E75B7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w:proofErr w:type="spellStart"/>
              <m:r>
                <m:rPr>
                  <m:nor/>
                </m:rPr>
                <w:rPr>
                  <w:rFonts w:ascii="Cambria Math" w:hAnsi="Cambria Math"/>
                </w:rPr>
                <m:t>FeO</m:t>
              </m:r>
              <w:proofErr w:type="spellEnd"/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silicate melt</m:t>
              </m:r>
            </m:sub>
          </m:sSub>
          <m:r>
            <m:rPr>
              <m:nor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Fe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metal</m:t>
              </m:r>
            </m:sub>
          </m:sSub>
          <m:r>
            <m:rPr>
              <m:nor/>
            </m:rP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3A25736" w14:textId="6C0A4ACE" w:rsidR="00A66AF8" w:rsidRDefault="00A66AF8" w:rsidP="004E75B7">
      <w:pPr>
        <w:spacing w:line="480" w:lineRule="auto"/>
      </w:pPr>
      <w:r>
        <w:t>where the fO2 of the experiment can be expressed relative to the iron-</w:t>
      </w:r>
      <w:proofErr w:type="spellStart"/>
      <w:r>
        <w:t>wüstite</w:t>
      </w:r>
      <w:proofErr w:type="spellEnd"/>
      <w:r>
        <w:t xml:space="preserve"> (IW) buffer as: </w:t>
      </w:r>
    </w:p>
    <w:p w14:paraId="61E4A05E" w14:textId="58712807" w:rsidR="00A66AF8" w:rsidRPr="00686A54" w:rsidRDefault="00686A54" w:rsidP="004E75B7">
      <w:pPr>
        <w:spacing w:line="480" w:lineRule="auto"/>
        <w:rPr>
          <w:rFonts w:eastAsiaTheme="minorEastAsia"/>
          <w:i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w:proofErr w:type="spellStart"/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FeO</m:t>
                          </m:r>
                          <w:proofErr w:type="spellEnd"/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Fe</m:t>
                          </m:r>
                        </m:sub>
                      </m:sSub>
                    </m:den>
                  </m:f>
                </m:e>
              </m:d>
            </m:e>
          </m:func>
          <m:r>
            <m:rPr>
              <m:nor/>
            </m:rP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w:proofErr w:type="spellStart"/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>FeO</m:t>
                              </m:r>
                              <w:proofErr w:type="spellEnd"/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 * γ</m:t>
                          </m:r>
                        </m:e>
                        <m:sub>
                          <w:proofErr w:type="spellStart"/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FeO</m:t>
                          </m:r>
                          <w:proofErr w:type="spellEnd"/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Fe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 xml:space="preserve"> *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Fe</m:t>
                          </m:r>
                        </m:sub>
                      </m:sSub>
                    </m:den>
                  </m:f>
                </m:e>
              </m:d>
            </m:e>
          </m:func>
          <m:r>
            <m:rPr>
              <m:nor/>
            </m:rPr>
            <w:rPr>
              <w:rFonts w:ascii="Cambria Math" w:hAnsi="Cambria Math"/>
            </w:rPr>
            <m:t>= ΔIW</m:t>
          </m:r>
        </m:oMath>
      </m:oMathPara>
    </w:p>
    <w:p w14:paraId="55E91621" w14:textId="339A9F66" w:rsidR="00A66AF8" w:rsidRPr="00A66AF8" w:rsidRDefault="00A64950" w:rsidP="004E75B7">
      <w:pPr>
        <w:spacing w:line="480" w:lineRule="auto"/>
        <w:rPr>
          <w:iCs/>
        </w:rPr>
      </w:pPr>
      <w:r>
        <w:rPr>
          <w:iCs/>
        </w:rPr>
        <w:t xml:space="preserve">where </w:t>
      </w:r>
      <w:r>
        <w:rPr>
          <w:iCs/>
        </w:rPr>
        <w:sym w:font="Symbol" w:char="F061"/>
      </w:r>
      <w:r>
        <w:rPr>
          <w:iCs/>
        </w:rPr>
        <w:t xml:space="preserve"> is the activity, X is the mole fraction, and </w:t>
      </w:r>
      <w:r>
        <w:rPr>
          <w:iCs/>
        </w:rPr>
        <w:sym w:font="Symbol" w:char="F067"/>
      </w:r>
      <w:r>
        <w:rPr>
          <w:iCs/>
        </w:rPr>
        <w:t xml:space="preserve"> is the activity coefficient of the subscripted component. </w:t>
      </w:r>
      <w:r w:rsidR="00A66AF8" w:rsidRPr="00A66AF8">
        <w:rPr>
          <w:iCs/>
        </w:rPr>
        <w:t xml:space="preserve">Experimental </w:t>
      </w:r>
      <w:r w:rsidR="00A66AF8" w:rsidRPr="00A66AF8">
        <w:rPr>
          <w:i/>
        </w:rPr>
        <w:t>f</w:t>
      </w:r>
      <w:r w:rsidR="00A66AF8" w:rsidRPr="00A66AF8">
        <w:rPr>
          <w:iCs/>
        </w:rPr>
        <w:t>O</w:t>
      </w:r>
      <w:r w:rsidR="00A66AF8" w:rsidRPr="00A66AF8">
        <w:rPr>
          <w:iCs/>
          <w:vertAlign w:val="subscript"/>
        </w:rPr>
        <w:t>2</w:t>
      </w:r>
      <w:r w:rsidR="00A66AF8" w:rsidRPr="00A66AF8">
        <w:rPr>
          <w:iCs/>
        </w:rPr>
        <w:t xml:space="preserve">s were calculated using a non-ideal solution model for both metallic and silicate liquid. For each experiment, the activity coefficient for </w:t>
      </w:r>
      <w:proofErr w:type="spellStart"/>
      <w:r w:rsidR="00A66AF8" w:rsidRPr="00A66AF8">
        <w:rPr>
          <w:iCs/>
        </w:rPr>
        <w:t>FeO</w:t>
      </w:r>
      <w:proofErr w:type="spellEnd"/>
      <w:r w:rsidR="00A66AF8" w:rsidRPr="00A66AF8">
        <w:rPr>
          <w:iCs/>
        </w:rPr>
        <w:t xml:space="preserve"> in the silicate, </w:t>
      </w:r>
      <w:proofErr w:type="spellStart"/>
      <w:r w:rsidR="00A66AF8" w:rsidRPr="00A66AF8">
        <w:rPr>
          <w:iCs/>
        </w:rPr>
        <w:t>γ</w:t>
      </w:r>
      <w:r w:rsidR="00A66AF8" w:rsidRPr="00A66AF8">
        <w:rPr>
          <w:iCs/>
          <w:vertAlign w:val="subscript"/>
        </w:rPr>
        <w:t>FeO</w:t>
      </w:r>
      <w:proofErr w:type="spellEnd"/>
      <w:r w:rsidR="00A66AF8" w:rsidRPr="00A66AF8">
        <w:rPr>
          <w:iCs/>
        </w:rPr>
        <w:t>,</w:t>
      </w:r>
      <w:r w:rsidR="00A66AF8" w:rsidRPr="00A66AF8">
        <w:rPr>
          <w:iCs/>
          <w:vertAlign w:val="subscript"/>
        </w:rPr>
        <w:t xml:space="preserve"> </w:t>
      </w:r>
      <w:r w:rsidR="00A66AF8" w:rsidRPr="00A66AF8">
        <w:rPr>
          <w:iCs/>
        </w:rPr>
        <w:t xml:space="preserve">was calculated with a parameterization based on </w:t>
      </w:r>
      <w:proofErr w:type="spellStart"/>
      <w:r w:rsidR="00A66AF8" w:rsidRPr="00A66AF8">
        <w:rPr>
          <w:iCs/>
          <w:highlight w:val="yellow"/>
        </w:rPr>
        <w:t>Holzheid</w:t>
      </w:r>
      <w:proofErr w:type="spellEnd"/>
      <w:r w:rsidR="00A66AF8" w:rsidRPr="00A66AF8">
        <w:rPr>
          <w:iCs/>
          <w:highlight w:val="yellow"/>
        </w:rPr>
        <w:t xml:space="preserve"> et al. (1997)</w:t>
      </w:r>
      <w:r w:rsidR="00A66AF8" w:rsidRPr="00A66AF8">
        <w:rPr>
          <w:iCs/>
        </w:rPr>
        <w:t xml:space="preserve">, where </w:t>
      </w:r>
      <w:proofErr w:type="spellStart"/>
      <w:r w:rsidR="00A66AF8" w:rsidRPr="00A66AF8">
        <w:rPr>
          <w:iCs/>
        </w:rPr>
        <w:t>γ</w:t>
      </w:r>
      <w:r w:rsidR="00A66AF8" w:rsidRPr="00A66AF8">
        <w:rPr>
          <w:iCs/>
          <w:vertAlign w:val="subscript"/>
        </w:rPr>
        <w:t>FeO</w:t>
      </w:r>
      <w:proofErr w:type="spellEnd"/>
      <w:r w:rsidR="00A66AF8" w:rsidRPr="00A66AF8">
        <w:rPr>
          <w:iCs/>
        </w:rPr>
        <w:t xml:space="preserve"> is taken as a fixed value in the range 1.7–3 dependent only upon MgO content of the silicate melt: where MgO ≤20 </w:t>
      </w:r>
      <w:proofErr w:type="spellStart"/>
      <w:r w:rsidR="00A66AF8" w:rsidRPr="00A66AF8">
        <w:rPr>
          <w:iCs/>
        </w:rPr>
        <w:t>wt</w:t>
      </w:r>
      <w:proofErr w:type="spellEnd"/>
      <w:r w:rsidR="00A66AF8" w:rsidRPr="00A66AF8">
        <w:rPr>
          <w:iCs/>
        </w:rPr>
        <w:t xml:space="preserve">%, </w:t>
      </w:r>
      <w:proofErr w:type="spellStart"/>
      <w:r w:rsidR="00A66AF8" w:rsidRPr="00A66AF8">
        <w:rPr>
          <w:iCs/>
        </w:rPr>
        <w:t>γ</w:t>
      </w:r>
      <w:r w:rsidR="00A66AF8" w:rsidRPr="00A66AF8">
        <w:rPr>
          <w:iCs/>
          <w:vertAlign w:val="subscript"/>
        </w:rPr>
        <w:t>FeO</w:t>
      </w:r>
      <w:proofErr w:type="spellEnd"/>
      <w:r w:rsidR="00A66AF8" w:rsidRPr="00A66AF8">
        <w:rPr>
          <w:iCs/>
        </w:rPr>
        <w:t xml:space="preserve"> is set equal to 1.7; where MgO is &gt;20 </w:t>
      </w:r>
      <w:proofErr w:type="spellStart"/>
      <w:r w:rsidR="00A66AF8" w:rsidRPr="00A66AF8">
        <w:rPr>
          <w:iCs/>
        </w:rPr>
        <w:t>wt</w:t>
      </w:r>
      <w:proofErr w:type="spellEnd"/>
      <w:r w:rsidR="00A66AF8" w:rsidRPr="00A66AF8">
        <w:rPr>
          <w:iCs/>
        </w:rPr>
        <w:t xml:space="preserve">%, </w:t>
      </w:r>
      <w:proofErr w:type="spellStart"/>
      <w:r w:rsidR="00A66AF8" w:rsidRPr="00A66AF8">
        <w:rPr>
          <w:iCs/>
        </w:rPr>
        <w:t>γ</w:t>
      </w:r>
      <w:r w:rsidR="00A66AF8" w:rsidRPr="00A66AF8">
        <w:rPr>
          <w:iCs/>
          <w:vertAlign w:val="subscript"/>
        </w:rPr>
        <w:t>FeO</w:t>
      </w:r>
      <w:proofErr w:type="spellEnd"/>
      <w:r w:rsidR="00A66AF8" w:rsidRPr="00A66AF8">
        <w:rPr>
          <w:iCs/>
          <w:vertAlign w:val="subscript"/>
        </w:rPr>
        <w:t xml:space="preserve"> </w:t>
      </w:r>
      <w:r w:rsidR="00A66AF8" w:rsidRPr="00A66AF8">
        <w:rPr>
          <w:iCs/>
        </w:rPr>
        <w:t>is calculated as</w:t>
      </w:r>
    </w:p>
    <w:p w14:paraId="6A02D2D1" w14:textId="6B76F2A3" w:rsidR="00A66AF8" w:rsidRPr="00A66AF8" w:rsidRDefault="00A66AF8" w:rsidP="004E75B7">
      <w:pPr>
        <w:spacing w:line="48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m:rPr>
                  <m:nor/>
                </m:rPr>
                <m:t>FeO</m:t>
              </m:r>
            </m:sub>
          </m:sSub>
          <m:r>
            <w:rPr>
              <w:rFonts w:ascii="Cambria Math" w:hAnsi="Cambria Math"/>
            </w:rPr>
            <m:t>=1.7+0.1(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MgO</m:t>
              </m:r>
            </m:e>
            <m:sub>
              <m:r>
                <m:rPr>
                  <m:nor/>
                </m:rPr>
                <m:t xml:space="preserve">silicate, </m:t>
              </m:r>
              <w:proofErr w:type="spellStart"/>
              <m:r>
                <m:rPr>
                  <m:nor/>
                </m:rPr>
                <m:t>wt</m:t>
              </m:r>
              <w:proofErr w:type="spellEnd"/>
              <m:r>
                <m:rPr>
                  <m:nor/>
                </m:rPr>
                <m:t>%</m:t>
              </m:r>
            </m:sub>
          </m:sSub>
          <m:r>
            <w:rPr>
              <w:rFonts w:ascii="Cambria Math" w:hAnsi="Cambria Math"/>
            </w:rPr>
            <m:t>-20)</m:t>
          </m:r>
        </m:oMath>
      </m:oMathPara>
    </w:p>
    <w:p w14:paraId="7F922E8F" w14:textId="26B3B2C0" w:rsidR="00A66AF8" w:rsidRDefault="00A66AF8" w:rsidP="004E75B7">
      <w:pPr>
        <w:spacing w:line="480" w:lineRule="auto"/>
        <w:rPr>
          <w:iCs/>
        </w:rPr>
      </w:pPr>
      <w:r w:rsidRPr="00A66AF8">
        <w:rPr>
          <w:iCs/>
        </w:rPr>
        <w:t xml:space="preserve">with a maximum allowable </w:t>
      </w:r>
      <w:proofErr w:type="spellStart"/>
      <w:r w:rsidRPr="00A66AF8">
        <w:rPr>
          <w:iCs/>
        </w:rPr>
        <w:t>γ</w:t>
      </w:r>
      <w:r w:rsidRPr="00A66AF8">
        <w:rPr>
          <w:iCs/>
          <w:vertAlign w:val="subscript"/>
        </w:rPr>
        <w:t>FeO</w:t>
      </w:r>
      <w:proofErr w:type="spellEnd"/>
      <w:r w:rsidRPr="00A66AF8">
        <w:rPr>
          <w:iCs/>
          <w:vertAlign w:val="subscript"/>
        </w:rPr>
        <w:t xml:space="preserve"> </w:t>
      </w:r>
      <w:r w:rsidRPr="00A66AF8">
        <w:rPr>
          <w:iCs/>
        </w:rPr>
        <w:t>value of 3.0. The activity of SiO</w:t>
      </w:r>
      <w:r w:rsidRPr="00A66AF8">
        <w:rPr>
          <w:iCs/>
          <w:vertAlign w:val="subscript"/>
        </w:rPr>
        <w:t>2</w:t>
      </w:r>
      <w:r w:rsidRPr="00A66AF8">
        <w:rPr>
          <w:iCs/>
        </w:rPr>
        <w:t xml:space="preserve"> in the silicate melt was calculated using MELTS in the ENKI python framework (</w:t>
      </w:r>
      <w:r w:rsidRPr="00686A54">
        <w:rPr>
          <w:iCs/>
          <w:highlight w:val="yellow"/>
        </w:rPr>
        <w:t>v. 1.1.0; citation</w:t>
      </w:r>
      <w:r w:rsidRPr="00A66AF8">
        <w:rPr>
          <w:iCs/>
        </w:rPr>
        <w:t xml:space="preserve">). The activity coefficients for Fe and Si in Fe-rich metal, </w:t>
      </w:r>
      <w:proofErr w:type="spellStart"/>
      <w:r w:rsidRPr="00A66AF8">
        <w:rPr>
          <w:iCs/>
        </w:rPr>
        <w:t>γ</w:t>
      </w:r>
      <w:r w:rsidRPr="00A66AF8">
        <w:rPr>
          <w:iCs/>
          <w:vertAlign w:val="subscript"/>
        </w:rPr>
        <w:t>Fe</w:t>
      </w:r>
      <w:proofErr w:type="spellEnd"/>
      <w:r w:rsidRPr="00A66AF8">
        <w:rPr>
          <w:iCs/>
          <w:vertAlign w:val="subscript"/>
        </w:rPr>
        <w:t xml:space="preserve"> </w:t>
      </w:r>
      <w:r w:rsidRPr="00A66AF8">
        <w:rPr>
          <w:iCs/>
        </w:rPr>
        <w:t>and</w:t>
      </w:r>
      <w:r w:rsidRPr="00A66AF8">
        <w:rPr>
          <w:iCs/>
          <w:vertAlign w:val="subscript"/>
        </w:rPr>
        <w:t xml:space="preserve"> </w:t>
      </w:r>
      <w:proofErr w:type="spellStart"/>
      <w:r w:rsidRPr="00A66AF8">
        <w:rPr>
          <w:iCs/>
        </w:rPr>
        <w:t>γ</w:t>
      </w:r>
      <w:r w:rsidRPr="00A66AF8">
        <w:rPr>
          <w:iCs/>
          <w:vertAlign w:val="subscript"/>
        </w:rPr>
        <w:t>Si</w:t>
      </w:r>
      <w:proofErr w:type="spellEnd"/>
      <w:r w:rsidRPr="00A66AF8">
        <w:rPr>
          <w:iCs/>
        </w:rPr>
        <w:t>,</w:t>
      </w:r>
      <w:r w:rsidRPr="00A66AF8">
        <w:rPr>
          <w:iCs/>
          <w:vertAlign w:val="subscript"/>
        </w:rPr>
        <w:t xml:space="preserve"> </w:t>
      </w:r>
      <w:r w:rsidRPr="00A66AF8">
        <w:rPr>
          <w:iCs/>
        </w:rPr>
        <w:t>were calculated using the ε-approach (</w:t>
      </w:r>
      <w:r w:rsidRPr="00686A54">
        <w:rPr>
          <w:iCs/>
          <w:highlight w:val="yellow"/>
        </w:rPr>
        <w:t>Wagner, 1952; Ma, 2001</w:t>
      </w:r>
      <w:r w:rsidRPr="00A66AF8">
        <w:rPr>
          <w:iCs/>
        </w:rPr>
        <w:t xml:space="preserve">), which considers non-ideal interactions between components within </w:t>
      </w:r>
      <w:r w:rsidRPr="00A66AF8">
        <w:rPr>
          <w:iCs/>
        </w:rPr>
        <w:lastRenderedPageBreak/>
        <w:t>the metal alloy.</w:t>
      </w:r>
      <w:r w:rsidR="00686A54">
        <w:rPr>
          <w:iCs/>
        </w:rPr>
        <w:t xml:space="preserve"> Here we consider interactions between Fe, Si, S, C, O, Ni, Cu, Mn, Cr, Ga, Nb, and Ta.</w:t>
      </w:r>
      <w:r w:rsidR="00D1425B">
        <w:rPr>
          <w:iCs/>
        </w:rPr>
        <w:t xml:space="preserve"> Our code to calculate activity coefficients for all species was benchmarked against activity coefficients reported by </w:t>
      </w:r>
      <w:proofErr w:type="spellStart"/>
      <w:r w:rsidR="00D1425B" w:rsidRPr="00D1425B">
        <w:rPr>
          <w:iCs/>
          <w:highlight w:val="yellow"/>
        </w:rPr>
        <w:t>Corgne</w:t>
      </w:r>
      <w:proofErr w:type="spellEnd"/>
      <w:r w:rsidR="00D1425B" w:rsidRPr="00D1425B">
        <w:rPr>
          <w:iCs/>
          <w:highlight w:val="yellow"/>
        </w:rPr>
        <w:t xml:space="preserve"> et al. (2008)</w:t>
      </w:r>
      <w:r w:rsidR="00D1425B">
        <w:rPr>
          <w:iCs/>
        </w:rPr>
        <w:t xml:space="preserve"> and calculated with the Norris Scientific Metal Activity Calculator (</w:t>
      </w:r>
      <w:r w:rsidR="00D1425B" w:rsidRPr="00D1425B">
        <w:rPr>
          <w:iCs/>
          <w:highlight w:val="yellow"/>
        </w:rPr>
        <w:t xml:space="preserve">Wade and Wood, 2005; </w:t>
      </w:r>
      <w:proofErr w:type="spellStart"/>
      <w:r w:rsidR="00D1425B" w:rsidRPr="00D1425B">
        <w:rPr>
          <w:iCs/>
          <w:highlight w:val="yellow"/>
        </w:rPr>
        <w:t>MetalAct</w:t>
      </w:r>
      <w:proofErr w:type="spellEnd"/>
      <w:r w:rsidR="00D1425B" w:rsidRPr="00D1425B">
        <w:rPr>
          <w:iCs/>
          <w:highlight w:val="yellow"/>
        </w:rPr>
        <w:t xml:space="preserve"> Website</w:t>
      </w:r>
      <w:r w:rsidR="00D1425B">
        <w:rPr>
          <w:iCs/>
        </w:rPr>
        <w:t xml:space="preserve">) using compositional data of </w:t>
      </w:r>
      <w:proofErr w:type="spellStart"/>
      <w:r w:rsidR="00D1425B" w:rsidRPr="00D1425B">
        <w:rPr>
          <w:iCs/>
          <w:highlight w:val="yellow"/>
        </w:rPr>
        <w:t>Corgne</w:t>
      </w:r>
      <w:proofErr w:type="spellEnd"/>
      <w:r w:rsidR="00D1425B" w:rsidRPr="00D1425B">
        <w:rPr>
          <w:iCs/>
          <w:highlight w:val="yellow"/>
        </w:rPr>
        <w:t xml:space="preserve"> et al. (2008)</w:t>
      </w:r>
      <w:r w:rsidR="00D1425B">
        <w:rPr>
          <w:iCs/>
        </w:rPr>
        <w:t xml:space="preserve"> as inputs</w:t>
      </w:r>
      <w:r w:rsidR="00864962">
        <w:rPr>
          <w:iCs/>
        </w:rPr>
        <w:t xml:space="preserve">. The full </w:t>
      </w:r>
      <w:r w:rsidR="0077723E">
        <w:rPr>
          <w:iCs/>
        </w:rPr>
        <w:t xml:space="preserve">python </w:t>
      </w:r>
      <w:r w:rsidR="00864962">
        <w:rPr>
          <w:iCs/>
        </w:rPr>
        <w:t xml:space="preserve">code library, benchmarking tests, and a </w:t>
      </w:r>
      <w:proofErr w:type="spellStart"/>
      <w:r w:rsidR="00864962">
        <w:rPr>
          <w:iCs/>
        </w:rPr>
        <w:t>Jupyter</w:t>
      </w:r>
      <w:proofErr w:type="spellEnd"/>
      <w:r w:rsidR="00864962">
        <w:rPr>
          <w:iCs/>
        </w:rPr>
        <w:t xml:space="preserve"> notebook demonstrating the calculations described above on our dataset are all given in the </w:t>
      </w:r>
      <w:r w:rsidR="00864962" w:rsidRPr="00864962">
        <w:rPr>
          <w:iCs/>
          <w:highlight w:val="green"/>
        </w:rPr>
        <w:t>Supplementary Material</w:t>
      </w:r>
      <w:r w:rsidR="00864962">
        <w:rPr>
          <w:iCs/>
        </w:rPr>
        <w:t>, the GitHub repository (</w:t>
      </w:r>
      <w:r w:rsidR="00864962" w:rsidRPr="00864962">
        <w:rPr>
          <w:iCs/>
          <w:highlight w:val="yellow"/>
        </w:rPr>
        <w:t>link</w:t>
      </w:r>
      <w:r w:rsidR="00864962">
        <w:rPr>
          <w:iCs/>
        </w:rPr>
        <w:t xml:space="preserve">), and archived at </w:t>
      </w:r>
      <w:proofErr w:type="spellStart"/>
      <w:r w:rsidR="00864962">
        <w:rPr>
          <w:iCs/>
        </w:rPr>
        <w:t>zenodo</w:t>
      </w:r>
      <w:proofErr w:type="spellEnd"/>
      <w:r w:rsidR="00864962">
        <w:rPr>
          <w:iCs/>
        </w:rPr>
        <w:t xml:space="preserve"> (</w:t>
      </w:r>
      <w:r w:rsidR="00864962" w:rsidRPr="00864962">
        <w:rPr>
          <w:iCs/>
          <w:highlight w:val="yellow"/>
        </w:rPr>
        <w:t>link/DOI</w:t>
      </w:r>
      <w:r w:rsidR="00864962">
        <w:rPr>
          <w:iCs/>
        </w:rPr>
        <w:t xml:space="preserve">). </w:t>
      </w:r>
    </w:p>
    <w:p w14:paraId="48629479" w14:textId="56DD494A" w:rsidR="00D27FAB" w:rsidRPr="00372DD4" w:rsidRDefault="000A2FC7" w:rsidP="00372DD4">
      <w:pPr>
        <w:spacing w:line="480" w:lineRule="auto"/>
        <w:ind w:firstLine="576"/>
        <w:rPr>
          <w:iCs/>
        </w:rPr>
      </w:pPr>
      <w:r>
        <w:rPr>
          <w:iCs/>
          <w:noProof/>
        </w:rPr>
        <w:drawing>
          <wp:anchor distT="0" distB="0" distL="114300" distR="114300" simplePos="0" relativeHeight="251659264" behindDoc="1" locked="0" layoutInCell="1" allowOverlap="1" wp14:anchorId="21FBCA52" wp14:editId="775F0989">
            <wp:simplePos x="0" y="0"/>
            <wp:positionH relativeFrom="column">
              <wp:posOffset>3497824</wp:posOffset>
            </wp:positionH>
            <wp:positionV relativeFrom="paragraph">
              <wp:posOffset>75125</wp:posOffset>
            </wp:positionV>
            <wp:extent cx="2509520" cy="2315845"/>
            <wp:effectExtent l="0" t="0" r="5080" b="0"/>
            <wp:wrapSquare wrapText="bothSides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52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705D">
        <w:rPr>
          <w:iCs/>
        </w:rPr>
        <w:t xml:space="preserve">359 of the 434 samples in the database reported experimental fO2 values variably based on ideal or non-ideal equilibria, </w:t>
      </w:r>
      <w:r w:rsidR="00BF7EBA">
        <w:rPr>
          <w:iCs/>
        </w:rPr>
        <w:t>a</w:t>
      </w:r>
      <w:r w:rsidR="0068705D">
        <w:rPr>
          <w:iCs/>
        </w:rPr>
        <w:t xml:space="preserve">ssumed equilibration with a buffer or capsule material, or an assumed intrinsic fO2 of the experimental apparatus. For </w:t>
      </w:r>
      <w:r w:rsidR="00EA27B0">
        <w:rPr>
          <w:iCs/>
        </w:rPr>
        <w:t>consistency</w:t>
      </w:r>
      <w:r w:rsidR="0068705D">
        <w:rPr>
          <w:iCs/>
        </w:rPr>
        <w:t>, we recalculated all reported values based on non-ideal Fe-</w:t>
      </w:r>
      <w:proofErr w:type="spellStart"/>
      <w:r w:rsidR="0068705D">
        <w:rPr>
          <w:iCs/>
        </w:rPr>
        <w:t>FeO</w:t>
      </w:r>
      <w:proofErr w:type="spellEnd"/>
      <w:r w:rsidR="0068705D">
        <w:rPr>
          <w:iCs/>
        </w:rPr>
        <w:t xml:space="preserve"> equilibria </w:t>
      </w:r>
      <w:r w:rsidR="00EA27B0">
        <w:rPr>
          <w:iCs/>
        </w:rPr>
        <w:t xml:space="preserve">as described above </w:t>
      </w:r>
      <w:r w:rsidR="0068705D">
        <w:rPr>
          <w:iCs/>
        </w:rPr>
        <w:t xml:space="preserve">and use only calculated values in subsequent modeling. Reported versus calculated fO2 for all these experiments is shown in </w:t>
      </w:r>
      <w:r w:rsidR="0068705D" w:rsidRPr="001E09DF">
        <w:rPr>
          <w:iCs/>
          <w:highlight w:val="green"/>
        </w:rPr>
        <w:t>Figure X</w:t>
      </w:r>
      <w:r w:rsidR="0068705D">
        <w:rPr>
          <w:iCs/>
        </w:rPr>
        <w:t xml:space="preserve">. The majority of calculated fO2s are within one log unit of reported values. </w:t>
      </w:r>
    </w:p>
    <w:sectPr w:rsidR="00D27FAB" w:rsidRPr="00372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4133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10438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F7"/>
    <w:rsid w:val="000A2FC7"/>
    <w:rsid w:val="00152FE2"/>
    <w:rsid w:val="001740F9"/>
    <w:rsid w:val="00181CCC"/>
    <w:rsid w:val="001E09DF"/>
    <w:rsid w:val="00242EF8"/>
    <w:rsid w:val="002D0976"/>
    <w:rsid w:val="00340373"/>
    <w:rsid w:val="00372DD4"/>
    <w:rsid w:val="003E21CB"/>
    <w:rsid w:val="003E6FD5"/>
    <w:rsid w:val="00401BA2"/>
    <w:rsid w:val="00406571"/>
    <w:rsid w:val="00414CC1"/>
    <w:rsid w:val="00424FF7"/>
    <w:rsid w:val="00463EE0"/>
    <w:rsid w:val="004E75B7"/>
    <w:rsid w:val="005D1EC4"/>
    <w:rsid w:val="005F6B1A"/>
    <w:rsid w:val="00686A54"/>
    <w:rsid w:val="0068705D"/>
    <w:rsid w:val="006F4E75"/>
    <w:rsid w:val="0077723E"/>
    <w:rsid w:val="007A5BF2"/>
    <w:rsid w:val="00841F01"/>
    <w:rsid w:val="00864962"/>
    <w:rsid w:val="00971C55"/>
    <w:rsid w:val="009C0361"/>
    <w:rsid w:val="00A228A7"/>
    <w:rsid w:val="00A64950"/>
    <w:rsid w:val="00A66AF8"/>
    <w:rsid w:val="00A8203C"/>
    <w:rsid w:val="00B47B0E"/>
    <w:rsid w:val="00BF7EBA"/>
    <w:rsid w:val="00C060F7"/>
    <w:rsid w:val="00C61455"/>
    <w:rsid w:val="00CC1939"/>
    <w:rsid w:val="00D02C60"/>
    <w:rsid w:val="00D07091"/>
    <w:rsid w:val="00D1425B"/>
    <w:rsid w:val="00D27FAB"/>
    <w:rsid w:val="00DB547F"/>
    <w:rsid w:val="00E15B1E"/>
    <w:rsid w:val="00EA27B0"/>
    <w:rsid w:val="00EC489C"/>
    <w:rsid w:val="00F26E35"/>
    <w:rsid w:val="00F5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5E9F"/>
  <w15:chartTrackingRefBased/>
  <w15:docId w15:val="{1B540FC0-B18B-DF4C-8909-8500A2416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CC1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CC1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CC1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CC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CC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CC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CC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CC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CC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4C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CC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C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CC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CC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CC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C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C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A66A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Iacovino, Kayla (JSC-XI111)[Jacobs Technology, Inc.]</dc:creator>
  <cp:keywords/>
  <dc:description/>
  <cp:lastModifiedBy>Iacovino, Kayla (JSC-XI111)[Jacobs Technology, Inc.]</cp:lastModifiedBy>
  <cp:revision>34</cp:revision>
  <cp:lastPrinted>2022-04-29T18:25:00Z</cp:lastPrinted>
  <dcterms:created xsi:type="dcterms:W3CDTF">2022-04-29T18:01:00Z</dcterms:created>
  <dcterms:modified xsi:type="dcterms:W3CDTF">2022-04-29T20:25:00Z</dcterms:modified>
</cp:coreProperties>
</file>