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9b1qwsmrzyvr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  <w:b w:val="1"/>
          <w:rtl w:val="0"/>
        </w:rPr>
        <w:t xml:space="preserve">甲方：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rtl w:val="0"/>
        </w:rPr>
        <w:t xml:space="preserve">應昌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rtl w:val="0"/>
        </w:rPr>
        <w:t xml:space="preserve">企業有限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rtl w:val="0"/>
        </w:rPr>
        <w:t xml:space="preserve">公司</w:t>
        <w:br w:type="textWrapping"/>
        <w:t xml:space="preserve">乙方：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rtl w:val="0"/>
        </w:rPr>
        <w:t xml:space="preserve">有限公司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甲乙雙方本</w:t>
      </w:r>
      <w:r w:rsidDel="00000000" w:rsidR="00000000" w:rsidRPr="00000000">
        <w:rPr>
          <w:rFonts w:ascii="DFKai-SB" w:cs="DFKai-SB" w:eastAsia="DFKai-SB" w:hAnsi="DFKai-SB"/>
          <w:color w:val="434343"/>
          <w:sz w:val="24"/>
          <w:szCs w:val="24"/>
          <w:rtl w:val="0"/>
        </w:rPr>
        <w:t xml:space="preserve">著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平等互利、誠信合作的原則，就雙方進行廢棄晶圓的油漆創新合作專案事宜，達成以下協議：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第一條 合作內容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甲方提供循環材料、循環經濟及市場行銷產業訊息，並負責業務行銷。行銷活動可由甲方單獨執行，或由甲方與乙方聯名進行。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甲方提供材料給乙方，乙方負責將材料應用於產品的研發與生產，並提供產品給甲方。甲乙方雙方不得將材料及產品提供給甲乙雙方以外的任何第三方。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甲方應了解並遵循相關政策資訊，並在需要時提供必要的協助。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乙方應提供甲方與政府單位或相關公司合作或提案的相關資訊，並安排生產參訪，包括但不限於項目內容、預期合作方式、預算等。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第二條 合作費用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合作過程中產生的相關費用，應按市場行情進行計算。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具體費用細節，得雙方另行商議確定，並以書面形式確認。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第三條 保密條款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甲乙雙方均應對在合作過程中獲取的對方商業秘密予以保密。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434343"/>
          <w:sz w:val="24"/>
          <w:szCs w:val="24"/>
          <w:rtl w:val="0"/>
        </w:rPr>
        <w:t xml:space="preserve">未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經對方書面同意，任何一方不得將對方商業秘密洩露給任何第三方。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DFKai-SB" w:cs="DFKai-SB" w:eastAsia="DFKai-SB" w:hAnsi="DFKai-SB"/>
          <w:sz w:val="24"/>
          <w:szCs w:val="24"/>
        </w:rPr>
      </w:pPr>
      <w:bookmarkStart w:colFirst="0" w:colLast="0" w:name="_neyle3pt6gyh" w:id="1"/>
      <w:bookmarkEnd w:id="1"/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第四條 合作期限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針對產品的合作，無固定合作年限，除非甲乙雙方達成書面協議同意終止合作。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其他合作項目自本協議簽署並蓋章之日起生效，有效期為一年。期滿後，雙方可協商續簽。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DFKai-SB" w:cs="DFKai-SB" w:eastAsia="DFKai-SB" w:hAnsi="DFKai-SB"/>
          <w:sz w:val="24"/>
          <w:szCs w:val="24"/>
        </w:rPr>
      </w:pPr>
      <w:bookmarkStart w:colFirst="0" w:colLast="0" w:name="_doq8pnyh6n4l" w:id="2"/>
      <w:bookmarkEnd w:id="2"/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第五條 爭議解決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甲乙雙方因本協議發生爭議，應本著友好協商的原則予以解決。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若協商不成，任何一方可向中華民國仲裁協會爭議調解中心-台北以仲裁解決之。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DFKai-SB" w:cs="DFKai-SB" w:eastAsia="DFKai-SB" w:hAnsi="DFKai-SB"/>
          <w:sz w:val="24"/>
          <w:szCs w:val="24"/>
        </w:rPr>
      </w:pPr>
      <w:bookmarkStart w:colFirst="0" w:colLast="0" w:name="_6om05fr5150j" w:id="3"/>
      <w:bookmarkEnd w:id="3"/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第六條 生效條款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本協議自雙方蓋章之日起生效。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本協議一式兩份，甲乙雙方各執一份，具有同等法律效力。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28"/>
          <w:szCs w:val="28"/>
          <w:rtl w:val="0"/>
        </w:rPr>
        <w:t xml:space="preserve">甲方：應昌企業有限公司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簽章：_________________________________________ 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日期：_________________________________________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icrosoft JhengHei" w:cs="Microsoft JhengHei" w:eastAsia="Microsoft JhengHei" w:hAnsi="Microsoft JhengHei"/>
          <w:b w:val="1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sz w:val="28"/>
          <w:szCs w:val="28"/>
          <w:rtl w:val="0"/>
        </w:rPr>
        <w:t xml:space="preserve">乙方：有限公司 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icrosoft JhengHei" w:cs="Microsoft JhengHei" w:eastAsia="Microsoft JhengHei" w:hAnsi="Microsoft JhengHe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簽章：_________________________________________ 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日期：_________________________________________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17.3228346456694" w:top="1417.3228346456694" w:left="1700.7874015748032" w:right="1133.8582677165355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DFKai-SB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Style w:val="Title"/>
      <w:spacing w:after="240" w:before="240" w:lineRule="auto"/>
      <w:jc w:val="center"/>
      <w:rPr/>
    </w:pPr>
    <w:bookmarkStart w:colFirst="0" w:colLast="0" w:name="_2jqwpa664dog" w:id="4"/>
    <w:bookmarkEnd w:id="4"/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合作意向書</w:t>
    </w:r>
  </w:p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