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Donation System — Use Case Description</w:t>
      </w:r>
    </w:p>
    <w:p>
      <w:pPr>
        <w:spacing w:after="240"/>
      </w:pPr>
      <w:r>
        <w:rPr>
          <w:i/>
          <w:iCs/>
        </w:rPr>
        <w:t xml:space="preserve">Proposed extension to the Smart Donation Management System (UC01–UC09): a tenth use case, in the same template used for the original nine.</w:t>
      </w:r>
    </w:p>
    <w:p>
      <w:pPr>
        <w:pStyle w:val="Heading2"/>
        <w:spacing w:after="120" w:before="200"/>
      </w:pPr>
      <w:r>
        <w:rPr>
          <w:b/>
          <w:bCs/>
        </w:rPr>
        <w:t xml:space="preserve">UC10: Smart Substitution with Learner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 Number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Smart Substitution with Learner Consent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Brief Description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When no item exactly matches a learner's waitlisted request (for example, a different size, edition, or exact category), the system proposes the closest available alternative instead of leaving the request unmatched, and requires the learner's explicit consent before the substitution is finalized — rather than an admin substituting items on the learner's behalf.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Triggering Event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automated matching sweep (UC05) runs for a category and finds no Available item that exactly satisfies a waitlisted request's specified attributes, but does find a close alternative in the same category.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(primary, automated); Learner (secondary — reviews and consents); Admin (secondary — reviews the proposal before it is sent)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request exists in Waitlisted status (UC01) with a specified attribute (e.g., size, edition, exact sub-category) that no current Available item matches exactly. At least one Available item exists in the same category that is a near-fit by the system's similarity measure. No exact-fit item exists — if one does, ordinary auto-matching (UC05) applies instead of this flow.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Flow of Activities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During a matching sweep, the system finds no exact-fit Available item for a waitlisted request, but identifies a close alternative in the same category and scores it against the request using a similarity measure (e.g., size proximity, edition recency, condition grade).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System creates a Substitution Proposal rather than an ordinary match, and flags it distinctly in the admin's Match Review queue so it is never confused with an exact-fit match.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Admin reviews the proposed substitution — what the learner asked for versus what is being offered — and chooses to forward it to the learner for consent, release it back to the pool, or wait for a better match.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If forwarded, the system sends the learner a consent request (email and in-app notice) showing the requested item, the proposed alternative, its condition and photo, and a short explanation of why it's being offered.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Learner reviews the proposal and responds Accept or Decline within a fixed response window (e.g., 3 days).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Accept path: the system converts the Substitution Proposal into a confirmed match and continues into the normal confirm-and-schedule-collection flow (UC06) — a collection date is set and a Collection Code is emailed to the learner.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Decline path: the system keeps the request Waitlisted, excludes that specific item from being re-proposed to the same request, and returns the item to the available pool so it can be matched to a different request on the next sweep.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No-response path: if the learner does not respond within the window, the system treats the proposal as expired, automatically returns the item to the available pool, and re-runs the matching sweep — so an alternative is never held against the pool indefinitely.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9. In every outcome, the proposal, the learner's response (or its expiry), and the final result are written to the donation history audit trail for traceability.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2026-10-02T00:58:39.678Z</dcterms:created>
  <dcterms:modified xsi:type="dcterms:W3CDTF">2026-10-02T00:58:39.679Z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