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5A21" w14:textId="77777777" w:rsidR="00BA51F4" w:rsidRDefault="00BA51F4" w:rsidP="00BA51F4">
      <w:pPr>
        <w:spacing w:line="480" w:lineRule="auto"/>
        <w:ind w:firstLine="720"/>
        <w:jc w:val="center"/>
        <w:rPr>
          <w:b/>
          <w:bCs/>
        </w:rPr>
      </w:pPr>
    </w:p>
    <w:p w14:paraId="40451BAE" w14:textId="77777777" w:rsidR="00BA51F4" w:rsidRDefault="00BA51F4" w:rsidP="00BA51F4">
      <w:pPr>
        <w:spacing w:line="480" w:lineRule="auto"/>
        <w:ind w:firstLine="720"/>
        <w:jc w:val="center"/>
        <w:rPr>
          <w:b/>
          <w:bCs/>
        </w:rPr>
      </w:pPr>
    </w:p>
    <w:p w14:paraId="24C18F11" w14:textId="31D48027" w:rsidR="00BA51F4" w:rsidRDefault="00BA51F4" w:rsidP="00447AA8">
      <w:pPr>
        <w:spacing w:line="480" w:lineRule="auto"/>
        <w:jc w:val="center"/>
        <w:rPr>
          <w:b/>
          <w:bCs/>
        </w:rPr>
      </w:pPr>
      <w:r>
        <w:rPr>
          <w:b/>
          <w:bCs/>
        </w:rPr>
        <w:t>CHAPTER 3</w:t>
      </w:r>
    </w:p>
    <w:p w14:paraId="309A4097" w14:textId="77777777" w:rsidR="00BA51F4" w:rsidRPr="00967394" w:rsidRDefault="00BA51F4" w:rsidP="00447AA8">
      <w:pPr>
        <w:spacing w:line="480" w:lineRule="auto"/>
        <w:jc w:val="center"/>
        <w:rPr>
          <w:b/>
          <w:bCs/>
          <w:caps/>
        </w:rPr>
      </w:pPr>
      <w:r w:rsidRPr="00967394">
        <w:rPr>
          <w:b/>
          <w:bCs/>
          <w:caps/>
        </w:rPr>
        <w:t>Vertebrate blood meal type and richness drive differences in the gut microbial communities of a Chagas disease vector across sampling region and habitat type</w:t>
      </w:r>
    </w:p>
    <w:p w14:paraId="28ACAA49" w14:textId="77777777" w:rsidR="00BA51F4" w:rsidRDefault="00BA51F4" w:rsidP="00BA51F4">
      <w:pPr>
        <w:rPr>
          <w:b/>
          <w:sz w:val="28"/>
          <w:szCs w:val="28"/>
        </w:rPr>
      </w:pPr>
      <w:r>
        <w:rPr>
          <w:b/>
          <w:sz w:val="28"/>
          <w:szCs w:val="28"/>
        </w:rPr>
        <w:br w:type="page"/>
      </w:r>
    </w:p>
    <w:p w14:paraId="030D8CAA" w14:textId="29F63C5F" w:rsidR="00BA51F4" w:rsidRPr="00F8544C" w:rsidRDefault="00BA51F4" w:rsidP="00BA51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rPr>
          <w:b/>
        </w:rPr>
        <w:lastRenderedPageBreak/>
        <w:t xml:space="preserve">3.1 </w:t>
      </w:r>
      <w:r w:rsidRPr="00F8544C">
        <w:rPr>
          <w:b/>
        </w:rPr>
        <w:t>Abstract</w:t>
      </w:r>
    </w:p>
    <w:p w14:paraId="39D9F694" w14:textId="77777777" w:rsidR="00BA51F4" w:rsidRPr="00816E1D" w:rsidRDefault="00BA51F4" w:rsidP="00BA51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rPr>
      </w:pPr>
      <w:r>
        <w:tab/>
      </w:r>
      <w:r w:rsidRPr="00816E1D">
        <w:t xml:space="preserve">Anthropogenic land use change can impact vector-borne infectious disease transmission by </w:t>
      </w:r>
      <w:r>
        <w:t>influencing</w:t>
      </w:r>
      <w:r w:rsidRPr="00816E1D">
        <w:t xml:space="preserve"> the spatial distribution of disease vectors and hosts and changes in vector and host community composition. However, the underlying mechanisms of changes are not well understood. One potential driver of increased infectious disease risk is the diversity and species composition of the vector gut microbiome. </w:t>
      </w:r>
      <w:r w:rsidRPr="00816E1D">
        <w:rPr>
          <w:color w:val="000000"/>
        </w:rPr>
        <w:t xml:space="preserve">By focusing on how land use change impacts the gut microbiomes of disease vectors, we can further study how the landscape can influence the transmission of vector-borne diseases, such as Chagas disease. </w:t>
      </w:r>
    </w:p>
    <w:p w14:paraId="79D554AC" w14:textId="77777777" w:rsidR="00BA51F4" w:rsidRDefault="00BA51F4" w:rsidP="00BA51F4">
      <w:pPr>
        <w:widowControl w:val="0"/>
        <w:spacing w:line="480" w:lineRule="auto"/>
      </w:pPr>
      <w:bookmarkStart w:id="0" w:name="_heading=h.1fob9te" w:colFirst="0" w:colLast="0"/>
      <w:bookmarkEnd w:id="0"/>
      <w:r w:rsidRPr="00816E1D">
        <w:rPr>
          <w:color w:val="000000"/>
        </w:rPr>
        <w:tab/>
      </w:r>
      <w:r w:rsidRPr="00816E1D">
        <w:t>In this study, we sequenced the gut bacterial diversity of infected and noninfected triatomines (</w:t>
      </w:r>
      <w:r>
        <w:t xml:space="preserve">N = </w:t>
      </w:r>
      <w:r w:rsidRPr="00816E1D">
        <w:t>283) in 3 different land use types (forest remnants, pasture, peridomicile) across three regions in central Panama</w:t>
      </w:r>
      <w:r>
        <w:t xml:space="preserve"> (Veraguas, Capira, and La Chorrera)</w:t>
      </w:r>
      <w:r w:rsidRPr="00816E1D">
        <w:t xml:space="preserve">. </w:t>
      </w:r>
      <w:r>
        <w:t xml:space="preserve">The gut bacterial alpha diversity of samples collected in Veraguas was significantly greater than samples collected in the two regions near the Panama Canal (Capira and La Chorrera), and samples collected in forest remnant palms had greater gut bacterial diversity than samples collected in pasture and peridomestic palms. Our data also showed that samples collected from forest remnant palms in Veraguas displayed considerably higher mean relative abundances of the environmental bacterial genera </w:t>
      </w:r>
      <w:r w:rsidRPr="22313F8F">
        <w:rPr>
          <w:i/>
          <w:iCs/>
        </w:rPr>
        <w:t>Dietzia</w:t>
      </w:r>
      <w:r>
        <w:t xml:space="preserve"> than samples collected elsewhere. Triatomine samples from Veraguas fed primarily on </w:t>
      </w:r>
      <w:r w:rsidRPr="00D9577E">
        <w:t>common opossums</w:t>
      </w:r>
      <w:r>
        <w:t xml:space="preserve"> (</w:t>
      </w:r>
      <w:r w:rsidRPr="22313F8F">
        <w:rPr>
          <w:i/>
          <w:iCs/>
        </w:rPr>
        <w:t>Didelphis</w:t>
      </w:r>
      <w:r w:rsidRPr="0027161B">
        <w:t>)</w:t>
      </w:r>
      <w:r>
        <w:t xml:space="preserve"> and </w:t>
      </w:r>
      <w:r w:rsidRPr="0027161B">
        <w:t>spiny pocket mice</w:t>
      </w:r>
      <w:r>
        <w:t xml:space="preserve"> (</w:t>
      </w:r>
      <w:r w:rsidRPr="22313F8F">
        <w:rPr>
          <w:i/>
          <w:iCs/>
        </w:rPr>
        <w:t>Heteromys</w:t>
      </w:r>
      <w:r>
        <w:t>), while samples collected from the two regions near the Panama Canal fed primarily on</w:t>
      </w:r>
      <w:r w:rsidRPr="006E1FD3">
        <w:t xml:space="preserve"> four-eyed opossums</w:t>
      </w:r>
      <w:r>
        <w:t xml:space="preserve"> (</w:t>
      </w:r>
      <w:r w:rsidRPr="22313F8F">
        <w:rPr>
          <w:i/>
          <w:iCs/>
        </w:rPr>
        <w:t>Philander</w:t>
      </w:r>
      <w:r>
        <w:t xml:space="preserve">). Our data indicate that blood meal sources primarily drive the differences in gut bacterial diversity across sampling regions and habitat types. </w:t>
      </w:r>
      <w:r w:rsidRPr="00816E1D">
        <w:t xml:space="preserve">These results highlight the importance of examining the gut microbial communities across biological scales and more fine-scale ecological characteristics. Furthermore, this study evaluates relationships between </w:t>
      </w:r>
      <w:r w:rsidRPr="00816E1D">
        <w:rPr>
          <w:color w:val="000000"/>
        </w:rPr>
        <w:lastRenderedPageBreak/>
        <w:t>deforestation, landscape ecology, and gut bacterial communities</w:t>
      </w:r>
      <w:r>
        <w:rPr>
          <w:color w:val="000000"/>
        </w:rPr>
        <w:t>,</w:t>
      </w:r>
      <w:r w:rsidRPr="00816E1D">
        <w:rPr>
          <w:color w:val="000000"/>
        </w:rPr>
        <w:t xml:space="preserve"> which may help to </w:t>
      </w:r>
      <w:r w:rsidRPr="00816E1D">
        <w:t xml:space="preserve">inform vector control and Chagas disease management programs. </w:t>
      </w:r>
    </w:p>
    <w:p w14:paraId="081E3137" w14:textId="77777777" w:rsidR="00BA51F4" w:rsidRDefault="00BA51F4" w:rsidP="00BA51F4">
      <w:pPr>
        <w:spacing w:line="480" w:lineRule="auto"/>
        <w:rPr>
          <w:b/>
          <w:bCs/>
          <w:sz w:val="28"/>
          <w:szCs w:val="28"/>
        </w:rPr>
      </w:pPr>
    </w:p>
    <w:p w14:paraId="0952BFA9" w14:textId="004F6815" w:rsidR="00BA51F4" w:rsidRPr="00F8544C" w:rsidRDefault="00BA51F4" w:rsidP="00BA51F4">
      <w:pPr>
        <w:spacing w:line="480" w:lineRule="auto"/>
        <w:rPr>
          <w:b/>
          <w:bCs/>
        </w:rPr>
      </w:pPr>
      <w:r>
        <w:rPr>
          <w:b/>
          <w:bCs/>
        </w:rPr>
        <w:t xml:space="preserve">3.2 </w:t>
      </w:r>
      <w:r w:rsidRPr="00F8544C">
        <w:rPr>
          <w:b/>
          <w:bCs/>
        </w:rPr>
        <w:t>Introduction</w:t>
      </w:r>
    </w:p>
    <w:p w14:paraId="468F5E1B" w14:textId="7F364F83" w:rsidR="00BA51F4" w:rsidRDefault="00BA51F4" w:rsidP="00BA51F4">
      <w:pPr>
        <w:spacing w:line="480" w:lineRule="auto"/>
        <w:ind w:firstLine="720"/>
      </w:pPr>
      <w:r>
        <w:t>Anthropogenic land use change can influence infectious disease dynamics directly and indirectly by altering host and vector distribution, abundance, demography, behavior, immune response, contacts, and by shifting host community composition</w:t>
      </w:r>
      <w:r w:rsidR="00363FC5">
        <w:fldChar w:fldCharType="begin"/>
      </w:r>
      <w:r w:rsidR="002E3C06">
        <w:instrText xml:space="preserve"> ADDIN ZOTERO_ITEM CSL_CITATION {"citationID":"H55cBwPI","properties":{"formattedCitation":"\\super 1,2,2\\uc0\\u8211{}6\\nosupersub{}","plainCitation":"1,2,2–6","noteIndex":0},"citationItems":[{"id":9824,"uris":["http://zotero.org/users/5535808/items/M7MJFYZT"],"itemData":{"id":9824,"type":"article-journal","abstract":"Species composition of wild reservoir hosts can influence the transmission and maintenance of multi-host vector borne pathogens. The ‘pace of life’ hypothesis proposes that the life history strategy of reservoir hosts can influence pathogen transmission of vector borne generalist pathogens. We use empirical data to parameterize a mathematical model that investigates the impacts of host life history traits on vector transmission dynamics of the vector-borne multi-host parasite Trypanosoma cruzi in habitats characterized by different degrees of deforestation and varying host community structure. The model considers susceptible and infected vector and host populations. When comparing the proportion of vectors infected with T. cruzi predicted by the model with empirical data, we found a trend of increasing vector infection as anthropogenic landscape disturbance increases for both data and model output. The model's vector infection rates were significantly lower than empirical results, but when incorporating host congenital transmission in the model, vector infection approaches field data. We conclude that intervened habitats associated with r-selected host species communities predict higher proportions of infected vectors.","container-title":"Parasitology","DOI":"10.1017/S0031182017001287","page":"1-9","title":"Modelling the influence of host community composition in a sylvatic Trypanosoma cruzi system","author":[{"family":"Erazo","given":"Diana"},{"family":"CORDOVEZ","given":"JUAN"},{"family":"CABRERA","given":"CAROLINA"},{"family":"CALZADA","given":"JOSE E."},{"family":"SALDAÑA","given":"AZAEL"},{"family":"GOTTDENKER","given":"NICOLE L."}],"issued":{"date-parts":[["2017"]]}}},{"id":1446,"uris":["http://zotero.org/users/5535808/items/2RM9K2CK"],"itemData":{"id":1446,"type":"article-journal","abstract":"Background: Anthropogenic land use may influence transmission of multi-host vector-borne pathogens by changing diversity, relative abundance, and community composition of reservoir hosts. These reservoir hosts may have varying competence for vector-borne pathogens depending on species-specific characteristics, such as life history strategy. The objective of this study is to evaluate how anthropogenic land use change influences blood meal species composition and the effects of changing blood meal species composition on the parasite infection rate of the Chagas disease vector Rhodnius pallescens in Panama.\nMethodology/Principal Findings: R. pallescens vectors (N = 643) were collected in different habitat types across a gradient of anthropogenic disturbance. Blood meal species in DNA extracted from these vectors was identified in 243 (40.3%) vectors by amplification and sequencing of a vertebrate-specific fragment of the 12SrRNA gene, and T. cruzi vector infection was determined by pcr. Vector infection rate was significantly greater in deforested habitats as compared to contiguous forests. Forty-two different species of blood meal were identified in R. pallescens, and species composition of blood meals varied across habitat types. Mammals (88.3%) dominated R. pallescens blood meals. Xenarthrans (sloths and tamanduas) were the most frequently identified species in blood meals across all habitat types. A regression tree analysis indicated that blood meal species diversity, host life history strategy (measured as rmax, the maximum intrinsic rate of population increase), and habitat type (forest fragments and peridomiciliary sites) were important determinants of vector infection with T. cruzi. The mean intrinsic rate of increase and the skewness and variability of rmax were positively associated with higher vector infection rate at a site.\nConclusions/Significance: In this study, anthropogenic landscape disturbance increased vector infection with T. cruzi, potentially by changing host community structure to favor hosts that are short-lived with high reproductive rates. Study results apply to potential environmental management strategies for Chagas disease.","container-title":"PLoS Neglected Tropical Diseases","DOI":"10.1371/journal.pntd.0001884","ISSN":"1935-2735","issue":"11","language":"en","page":"e1884","source":"Crossref","title":"Host Life History Strategy, Species Diversity, and Habitat Influence Trypanosoma cruzi Vector Infection in Changing Landscapes","volume":"6","author":[{"family":"Gottdenker","given":"Nicole L."},{"family":"Chaves","given":"Luis Fernando"},{"family":"Calzada","given":"José E."},{"family":"Saldaña","given":"Azael"},{"family":"Carroll","given":"C. Ronald"}],"editor":[{"family":"Gürtler","given":"Ricardo E."}],"issued":{"date-parts":[["2012",11,15]]}}},{"id":1446,"uris":["http://zotero.org/users/5535808/items/2RM9K2CK"],"itemData":{"id":1446,"type":"article-journal","abstract":"Background: Anthropogenic land use may influence transmission of multi-host vector-borne pathogens by changing diversity, relative abundance, and community composition of reservoir hosts. These reservoir hosts may have varying competence for vector-borne pathogens depending on species-specific characteristics, such as life history strategy. The objective of this study is to evaluate how anthropogenic land use change influences blood meal species composition and the effects of changing blood meal species composition on the parasite infection rate of the Chagas disease vector Rhodnius pallescens in Panama.\nMethodology/Principal Findings: R. pallescens vectors (N = 643) were collected in different habitat types across a gradient of anthropogenic disturbance. Blood meal species in DNA extracted from these vectors was identified in 243 (40.3%) vectors by amplification and sequencing of a vertebrate-specific fragment of the 12SrRNA gene, and T. cruzi vector infection was determined by pcr. Vector infection rate was significantly greater in deforested habitats as compared to contiguous forests. Forty-two different species of blood meal were identified in R. pallescens, and species composition of blood meals varied across habitat types. Mammals (88.3%) dominated R. pallescens blood meals. Xenarthrans (sloths and tamanduas) were the most frequently identified species in blood meals across all habitat types. A regression tree analysis indicated that blood meal species diversity, host life history strategy (measured as rmax, the maximum intrinsic rate of population increase), and habitat type (forest fragments and peridomiciliary sites) were important determinants of vector infection with T. cruzi. The mean intrinsic rate of increase and the skewness and variability of rmax were positively associated with higher vector infection rate at a site.\nConclusions/Significance: In this study, anthropogenic landscape disturbance increased vector infection with T. cruzi, potentially by changing host community structure to favor hosts that are short-lived with high reproductive rates. Study results apply to potential environmental management strategies for Chagas disease.","container-title":"PLoS Neglected Tropical Diseases","DOI":"10.1371/journal.pntd.0001884","ISSN":"1935-2735","issue":"11","language":"en","page":"e1884","source":"Crossref","title":"Host Life History Strategy, Species Diversity, and Habitat Influence Trypanosoma cruzi Vector Infection in Changing Landscapes","volume":"6","author":[{"family":"Gottdenker","given":"Nicole L."},{"family":"Chaves","given":"Luis Fernando"},{"family":"Calzada","given":"José E."},{"family":"Saldaña","given":"Azael"},{"family":"Carroll","given":"C. Ronald"}],"editor":[{"family":"Gürtler","given":"Ricardo E."}],"issued":{"date-parts":[["2012",11,15]]}}},{"id":11515,"uris":["http://zotero.org/users/5535808/items/YPJ7QXAZ"],"itemData":{"id":11515,"type":"article-journal","abstract":"Land-use change has transformed most of the planet. Concurrently, recent outbreaks of various emerging infectious diseases have raised great attention to the health consequences of anthropogenic environmental degradation. Here, we assessed the global impacts of habitat conversion and other land-use changes on community structures of infectious disease hosts and vectors, using a meta-analysis of 37 studies. From 331 pairwise comparisons of disease hosts/vectors in pristine (undisturbed) and disturbed areas, we found a decrease in species diversity but an increase in body size associated with land-use changes, potentially suggesting higher risk of infectious disease transmission in disturbed habitats. Neither host nor vector abundance, however, changed signiﬁcantly following disturbance. When grouped by subcategories like disturbance type, taxonomic group, pathogen type and region, changes in host/vector community composition varied considerably. Fragmentation and agriculture in particular beneﬁt host and vector communities and therefore might elevate disease risk. Our results indicate that while habitat disturbance could alter disease host/vector communities in ways that exacerbate pathogen prevalence, the relationship is highly context-dependent and inﬂuenced by multiple factors.","container-title":"EcoHealth","DOI":"10.1007/s10393-018-1336-3","ISSN":"1612-9202, 1612-9210","issue":"4","journalAbbreviation":"EcoHealth","language":"en","page":"647-658","source":"DOI.org (Crossref)","title":"Land-Use Change Alters Host and Vector Communities and May Elevate Disease Risk","volume":"16","author":[{"family":"Guo","given":"Fengyi"},{"family":"Bonebrake","given":"Timothy C."},{"family":"Gibson","given":"Luke"}],"issued":{"date-parts":[["2019",12]]}}},{"id":11517,"uris":["http://zotero.org/users/5535808/items/R2LPZAFJ"],"itemData":{"id":11517,"type":"article-journal","container-title":"Frontiers in Public Health","DOI":"10.3389/fpubh.2016.00238","ISSN":"2296-2565","journalAbbreviation":"Front. Public Health","language":"en","source":"DOI.org (Crossref)","title":"Effect of Deforestation and Land Use Changes on Mosquito Productivity and Development in Western Kenya Highlands: Implication for Malaria Risk","title-short":"Effect of Deforestation and Land Use Changes on Mosquito Productivity and Development in Western Kenya Highlands","URL":"http://journal.frontiersin.org/article/10.3389/fpubh.2016.00238/full","volume":"4","author":[{"family":"Kweka","given":"Eliningaya J."},{"family":"Kimaro","given":"Epiphania E."},{"family":"Munga","given":"Stephen"}],"accessed":{"date-parts":[["2022",9,30]]},"issued":{"date-parts":[["2016",10,26]]}}},{"id":11340,"uris":["http://zotero.org/users/5535808/items/JLAJ9CGJ"],"itemData":{"id":11340,"type":"article-journal","abstract":"Attalea palms provide primary habitat to Rhodnius spp., vectors of Trypanosoma cruzi. Flying from palms, these blood-sucking bugs often invade houses and can infect people directly or via food contamination. Chagas disease (CD) risk may therefore increase when Attalea palms thrive near houses. For example, Attalea dominate many deforested landscapes of eastern Amazonia, where acute-CD outbreaks are disturbingly frequent. Despite this possible link between deforestation and CD risk, the population-level responses of Amazonian Attalea and their resident Rhodnius to anthropogenic landscape disturbance remain largely uncharted. We studied adult Attalea palms in old-growth forest (OGF), young secondary forest (YSF), and cattle pasture (CP) in two localities of eastern Amazonia. We recorded 1856 Attalea along 10 transects (153.6 ha), and detected infestation by Rhodnius spp. in 18 of 280 systematically-sampled palms (33 bugs caught). Distance-sampling models suggest that, relative to OGF, adult Attalea density declined by 70–80% in CP and then recovered in YSF. Site-occupancy models estimate a strong positive effect of deforestation on palm-infestation odds (βCP-infestation = 4.82±1.14 SE), with a moderate decline in recovering YSF (βYSF-infestation = 2.66±1.10 SE). Similarly, N-mixture models suggest that, relative to OGF, mean vector density sharply increased in CP palms (βCP-density = 3.20±0.62 SE) and then tapered in YSF (βYSF-density = 1.61±0.76 SE). Together, these results indicate that disturbed landscapes may support between ~2.5 (YSF) and ~5.1 (CP) times more Attalea-dwelling Rhodnius spp. per unit area than OGF. We provide evidence that deforestation may favor palm-dwelling CD vectors in eastern Amazonia. Importantly, our landscape-disturbance effect estimates explicitly take account of (i) imperfect palm and bug detection and (ii) the uncertainties about infestation and vector density arising from sparse bug data. These results suggest that incorporating landscape-disturbance metrics into the spatial stratification of transmission risk could help enhance CD surveillance and prevention in Amazonia.","container-title":"PLOS ONE","DOI":"10.1371/journal.pone.0252071","ISSN":"1932-6203","issue":"5","journalAbbreviation":"PLoS ONE","language":"en","page":"e0252071","source":"DOI.org (Crossref)","title":"Deforestation effects on Attalea palms and their resident Rhodnius, vectors of Chagas disease, in eastern Amazonia","volume":"16","author":[{"family":"Santos","given":"Walter Souza"},{"family":"Gurgel-Gonçalves","given":"Rodrigo"},{"family":"Garcez","given":"Lourdes Maria"},{"family":"Abad-Franch","given":"Fernando"}],"editor":[{"family":"Lorenzo","given":"Marcelo Gustavo"}],"issued":{"date-parts":[["2021",5,20]]}}},{"id":11518,"uris":["http://zotero.org/users/5535808/items/4PL8S5K2"],"itemData":{"id":11518,"type":"article-journal","abstract":"Many infectious diseases of humans are caused by pathogens that reside in nonhuman animal reservoirs and are transmitted to humans via the bite of an arthropod vector. Most vectors feed from a variety of host species that differ dramatically in their reservoir competence; that is, their probability of transmitting the infection from host to vector. We explore a conceptual model of what we termed the “dilution effect,” whereby the presence of vertebrate hosts with a low capacity to infect feeding vectors (incompetent reservoirs) dilute the effect of highly competent reservoirs, thus reducing disease risk. Using Lyme disease as an example, we demonstrate the presence and estimate the magnitude of the dilution effect for local sites in eastern New York State. We found that the prevalence of Lyme disease spirochetes, Borrelia burgdorferi, in field-collected Ixodes ticks (37.6% and 70.5% for nymphal and adult stages, respectively) was dramatically lower than expected (</w:instrText>
      </w:r>
      <w:r w:rsidR="002E3C06">
        <w:rPr>
          <w:rFonts w:ascii="Cambria Math" w:hAnsi="Cambria Math" w:cs="Cambria Math"/>
        </w:rPr>
        <w:instrText>∼</w:instrText>
      </w:r>
      <w:r w:rsidR="002E3C06">
        <w:instrText xml:space="preserve">90% and &gt;95% for nymphal and adult stages, respectively) if ticks fed predominantly on highly competent reservoirs, white-footed mice (Peromyscus leucopus) and eastern chipmunks (Tamias striatus). We inferred the role of additional host species using an empirically based model that incorporated data on tick burdens per host, relative population densities of hosts, and reservoir competence of each host. Assuming an empirically realistic reservoir competence of 5% for non-mouse and non-chipmunk hosts, we determined that alternative hosts must provide 61% and 72% of larval and nymphal meals, respectively. Using computer simulations, we assembled simulated host communities that differed in species richness, evenness, and net interactions between alternative hosts and mice. We found that increasing species richness (but not evenness) reduced disease risk. Effects were most pronounced when the most competent disease reservoirs were community dominants and when alternative hosts had a net negative influence on the dominance of mice as a host for ticks. Our results highlight a critical role of biodiversity and host community ecology in the transmission of vector-borne zoonotic diseases that in turn has important consequences for human health.","container-title":"Ecology","DOI":"10.1890/0012-9658(2001)082[0609:BATDEI]2.0.CO;2","ISSN":"1939-9170","issue":"3","language":"en","note":"_eprint: https://onlinelibrary.wiley.com/doi/pdf/10.1890/0012-9658%282001%29082%5B0609%3ABATDEI%5D2.0.CO%3B2","page":"609-619","source":"Wiley Online Library","title":"Biodiversity and the Dilution Effect in Disease Ecology","volume":"82","author":[{"family":"Schmidt","given":"Kenneth A."},{"family":"Ostfeld","given":"Richard S."}],"issued":{"date-parts":[["2001"]]}}}],"schema":"https://github.com/citation-style-language/schema/raw/master/csl-citation.json"} </w:instrText>
      </w:r>
      <w:r w:rsidR="00363FC5">
        <w:fldChar w:fldCharType="separate"/>
      </w:r>
      <w:r w:rsidR="002E3C06" w:rsidRPr="002E3C06">
        <w:rPr>
          <w:rFonts w:cs="Times New Roman"/>
          <w:vertAlign w:val="superscript"/>
        </w:rPr>
        <w:t>1,2,2–6</w:t>
      </w:r>
      <w:r w:rsidR="00363FC5">
        <w:fldChar w:fldCharType="end"/>
      </w:r>
      <w:r>
        <w:t>. Habitat disturbance, in particular, is often associated with an increase in vector abundance, contact rates between vectors and hosts, and ultimately an increased risk of transmission. For example, increased temperatures and increased surface water due to land cover changes throughout western Kenyan highlands were associated with increased rates of several mosquito species</w:t>
      </w:r>
      <w:r w:rsidR="002E3C06">
        <w:fldChar w:fldCharType="begin"/>
      </w:r>
      <w:r w:rsidR="00AE2609">
        <w:instrText xml:space="preserve"> ADDIN ZOTERO_ITEM CSL_CITATION {"citationID":"aQYfoXpE","properties":{"formattedCitation":"\\super 4\\nosupersub{}","plainCitation":"4","noteIndex":0},"citationItems":[{"id":11517,"uris":["http://zotero.org/users/5535808/items/R2LPZAFJ"],"itemData":{"id":11517,"type":"article-journal","container-title":"Frontiers in Public Health","DOI":"10.3389/fpubh.2016.00238","ISSN":"2296-2565","journalAbbreviation":"Front. Public Health","language":"en","source":"DOI.org (Crossref)","title":"Effect of Deforestation and Land Use Changes on Mosquito Productivity and Development in Western Kenya Highlands: Implication for Malaria Risk","title-short":"Effect of Deforestation and Land Use Changes on Mosquito Productivity and Development in Western Kenya Highlands","URL":"http://journal.frontiersin.org/article/10.3389/fpubh.2016.00238/full","volume":"4","author":[{"family":"Kweka","given":"Eliningaya J."},{"family":"Kimaro","given":"Epiphania E."},{"family":"Munga","given":"Stephen"}],"accessed":{"date-parts":[["2022",9,30]]},"issued":{"date-parts":[["2016",10,26]]}}}],"schema":"https://github.com/citation-style-language/schema/raw/master/csl-citation.json"} </w:instrText>
      </w:r>
      <w:r w:rsidR="002E3C06">
        <w:fldChar w:fldCharType="separate"/>
      </w:r>
      <w:r w:rsidR="00AE2609" w:rsidRPr="00AE2609">
        <w:rPr>
          <w:rFonts w:cs="Times New Roman"/>
          <w:vertAlign w:val="superscript"/>
        </w:rPr>
        <w:t>4</w:t>
      </w:r>
      <w:r w:rsidR="002E3C06">
        <w:fldChar w:fldCharType="end"/>
      </w:r>
      <w:r>
        <w:rPr>
          <w:noProof/>
        </w:rPr>
        <w:t>,</w:t>
      </w:r>
      <w:r>
        <w:t xml:space="preserve"> and forest fragmentation and biodiversity loss were associated with increased risk for Lyme disease in the northeastern United States</w:t>
      </w:r>
      <w:r w:rsidR="00AE2609">
        <w:fldChar w:fldCharType="begin"/>
      </w:r>
      <w:r w:rsidR="00AE2609">
        <w:instrText xml:space="preserve"> ADDIN ZOTERO_ITEM CSL_CITATION {"citationID":"gXm7WX8B","properties":{"formattedCitation":"\\super 6\\nosupersub{}","plainCitation":"6","noteIndex":0},"citationItems":[{"id":11518,"uris":["http://zotero.org/users/5535808/items/4PL8S5K2"],"itemData":{"id":11518,"type":"article-journal","abstract":"Many infectious diseases of humans are caused by pathogens that reside in nonhuman animal reservoirs and are transmitted to humans via the bite of an arthropod vector. Most vectors feed from a variety of host species that differ dramatically in their reservoir competence; that is, their probability of transmitting the infection from host to vector. We explore a conceptual model of what we termed the “dilution effect,” whereby the presence of vertebrate hosts with a low capacity to infect feeding vectors (incompetent reservoirs) dilute the effect of highly competent reservoirs, thus reducing disease risk. Using Lyme disease as an example, we demonstrate the presence and estimate the magnitude of the dilution effect for local sites in eastern New York State. We found that the prevalence of Lyme disease spirochetes, Borrelia burgdorferi, in field-collected Ixodes ticks (37.6% and 70.5% for nymphal and adult stages, respectively) was dramatically lower than expected (</w:instrText>
      </w:r>
      <w:r w:rsidR="00AE2609">
        <w:rPr>
          <w:rFonts w:ascii="Cambria Math" w:hAnsi="Cambria Math" w:cs="Cambria Math"/>
        </w:rPr>
        <w:instrText>∼</w:instrText>
      </w:r>
      <w:r w:rsidR="00AE2609">
        <w:instrText xml:space="preserve">90% and &gt;95% for nymphal and adult stages, respectively) if ticks fed predominantly on highly competent reservoirs, white-footed mice (Peromyscus leucopus) and eastern chipmunks (Tamias striatus). We inferred the role of additional host species using an empirically based model that incorporated data on tick burdens per host, relative population densities of hosts, and reservoir competence of each host. Assuming an empirically realistic reservoir competence of 5% for non-mouse and non-chipmunk hosts, we determined that alternative hosts must provide 61% and 72% of larval and nymphal meals, respectively. Using computer simulations, we assembled simulated host communities that differed in species richness, evenness, and net interactions between alternative hosts and mice. We found that increasing species richness (but not evenness) reduced disease risk. Effects were most pronounced when the most competent disease reservoirs were community dominants and when alternative hosts had a net negative influence on the dominance of mice as a host for ticks. Our results highlight a critical role of biodiversity and host community ecology in the transmission of vector-borne zoonotic diseases that in turn has important consequences for human health.","container-title":"Ecology","DOI":"10.1890/0012-9658(2001)082[0609:BATDEI]2.0.CO;2","ISSN":"1939-9170","issue":"3","language":"en","note":"_eprint: https://onlinelibrary.wiley.com/doi/pdf/10.1890/0012-9658%282001%29082%5B0609%3ABATDEI%5D2.0.CO%3B2","page":"609-619","source":"Wiley Online Library","title":"Biodiversity and the Dilution Effect in Disease Ecology","volume":"82","author":[{"family":"Schmidt","given":"Kenneth A."},{"family":"Ostfeld","given":"Richard S."}],"issued":{"date-parts":[["2001"]]}}}],"schema":"https://github.com/citation-style-language/schema/raw/master/csl-citation.json"} </w:instrText>
      </w:r>
      <w:r w:rsidR="00AE2609">
        <w:fldChar w:fldCharType="separate"/>
      </w:r>
      <w:r w:rsidR="00AE2609" w:rsidRPr="00AE2609">
        <w:rPr>
          <w:rFonts w:cs="Times New Roman"/>
          <w:vertAlign w:val="superscript"/>
        </w:rPr>
        <w:t>6</w:t>
      </w:r>
      <w:r w:rsidR="00AE2609">
        <w:fldChar w:fldCharType="end"/>
      </w:r>
      <w:r>
        <w:t xml:space="preserve">. Furthermore, deforestation was associated with increased vector abundance and increased </w:t>
      </w:r>
      <w:r w:rsidRPr="003F6B26">
        <w:rPr>
          <w:i/>
          <w:iCs/>
        </w:rPr>
        <w:t xml:space="preserve">T. cruzi </w:t>
      </w:r>
      <w:r>
        <w:t>infection rates</w:t>
      </w:r>
      <w:r w:rsidR="009B52EC">
        <w:fldChar w:fldCharType="begin"/>
      </w:r>
      <w:r w:rsidR="00D42242">
        <w:instrText xml:space="preserve"> ADDIN ZOTERO_ITEM CSL_CITATION {"citationID":"sPtZ0UMM","properties":{"formattedCitation":"\\super 2,7\\nosupersub{}","plainCitation":"2,7","noteIndex":0},"citationItems":[{"id":1446,"uris":["http://zotero.org/users/5535808/items/2RM9K2CK"],"itemData":{"id":1446,"type":"article-journal","abstract":"Background: Anthropogenic land use may influence transmission of multi-host vector-borne pathogens by changing diversity, relative abundance, and community composition of reservoir hosts. These reservoir hosts may have varying competence for vector-borne pathogens depending on species-specific characteristics, such as life history strategy. The objective of this study is to evaluate how anthropogenic land use change influences blood meal species composition and the effects of changing blood meal species composition on the parasite infection rate of the Chagas disease vector Rhodnius pallescens in Panama.\nMethodology/Principal Findings: R. pallescens vectors (N = 643) were collected in different habitat types across a gradient of anthropogenic disturbance. Blood meal species in DNA extracted from these vectors was identified in 243 (40.3%) vectors by amplification and sequencing of a vertebrate-specific fragment of the 12SrRNA gene, and T. cruzi vector infection was determined by pcr. Vector infection rate was significantly greater in deforested habitats as compared to contiguous forests. Forty-two different species of blood meal were identified in R. pallescens, and species composition of blood meals varied across habitat types. Mammals (88.3%) dominated R. pallescens blood meals. Xenarthrans (sloths and tamanduas) were the most frequently identified species in blood meals across all habitat types. A regression tree analysis indicated that blood meal species diversity, host life history strategy (measured as rmax, the maximum intrinsic rate of population increase), and habitat type (forest fragments and peridomiciliary sites) were important determinants of vector infection with T. cruzi. The mean intrinsic rate of increase and the skewness and variability of rmax were positively associated with higher vector infection rate at a site.\nConclusions/Significance: In this study, anthropogenic landscape disturbance increased vector infection with T. cruzi, potentially by changing host community structure to favor hosts that are short-lived with high reproductive rates. Study results apply to potential environmental management strategies for Chagas disease.","container-title":"PLoS Neglected Tropical Diseases","DOI":"10.1371/journal.pntd.0001884","ISSN":"1935-2735","issue":"11","language":"en","page":"e1884","source":"Crossref","title":"Host Life History Strategy, Species Diversity, and Habitat Influence Trypanosoma cruzi Vector Infection in Changing Landscapes","volume":"6","author":[{"family":"Gottdenker","given":"Nicole L."},{"family":"Chaves","given":"Luis Fernando"},{"family":"Calzada","given":"José E."},{"family":"Saldaña","given":"Azael"},{"family":"Carroll","given":"C. Ronald"}],"editor":[{"family":"Gürtler","given":"Ricardo E."}],"issued":{"date-parts":[["2012",11,15]]}}},{"id":1400,"uris":["http://zotero.org/users/5535808/items/NK8QQS4V"],"itemData":{"id":1400,"type":"article-journal","abstract":"Anthropogenic disturbance is associated with increased vector-borne infectious disease transmission in wildlife, domestic animals, and humans. The objective of this study was to evaluate how disturbance of a tropical forest landscape impacts abundance of the triatomine bug Rhodnius pallescens, a vector of Chagas disease, in the region of the Panama Canal in Panama. Rhodnius pallescens was collected (n = 1,186) from its primary habitat, the palm Attalea butyracea, in five habitat types reflecting a gradient of anthropogenic disturbance. There was a high proportion of palms infested with R. pallescens across all habitat types (range = 77.1–91.4%). Results show that disturbed habitats are associated with increased vector abundance compared with relatively undisturbed habitats. Bugs collected in disturbed sites, although in higher abundance, tended to be in poor body condition compared with bugs captured in protected forest sites. Abundance data suggests that forest remnants may be sources for R. pallescens populations within highly disturbed areas of the landscape.","container-title":"The American Journal of Tropical Medicine and Hygiene","DOI":"10.4269/ajtmh.2011.10-0041","ISSN":"0002-9637, 1476-1645","issue":"1","language":"en","page":"70-77","source":"Crossref","title":"Association of Anthropogenic Land Use Change and Increased Abundance of the Chagas Disease Vector Rhodnius pallescens in a Rural Landscape of Panama","volume":"84","author":[{"family":"Gottdenker","given":"Nicole L."},{"family":"Carroll","given":"C. Ronald"},{"family":"Saldaña","given":"Azäel"},{"family":"Calzada","given":"José E."}],"issued":{"date-parts":[["2011",1,5]]}}}],"schema":"https://github.com/citation-style-language/schema/raw/master/csl-citation.json"} </w:instrText>
      </w:r>
      <w:r w:rsidR="009B52EC">
        <w:fldChar w:fldCharType="separate"/>
      </w:r>
      <w:r w:rsidR="00D42242" w:rsidRPr="00D42242">
        <w:rPr>
          <w:rFonts w:cs="Times New Roman"/>
          <w:vertAlign w:val="superscript"/>
        </w:rPr>
        <w:t>2,7</w:t>
      </w:r>
      <w:r w:rsidR="009B52EC">
        <w:fldChar w:fldCharType="end"/>
      </w:r>
      <w:r>
        <w:rPr>
          <w:noProof/>
        </w:rPr>
        <w:t>,</w:t>
      </w:r>
      <w:r>
        <w:t xml:space="preserve"> and another study found that deforested areas driven by cattle ranching may support between 2.5 and 5.1 times more palm-dwelling triatomines (</w:t>
      </w:r>
      <w:r w:rsidRPr="00E512FC">
        <w:rPr>
          <w:i/>
          <w:iCs/>
        </w:rPr>
        <w:t>Rhodnius</w:t>
      </w:r>
      <w:r>
        <w:t>) than less disturbed forests</w:t>
      </w:r>
      <w:r w:rsidR="00D42242">
        <w:fldChar w:fldCharType="begin"/>
      </w:r>
      <w:r w:rsidR="00D42242">
        <w:instrText xml:space="preserve"> ADDIN ZOTERO_ITEM CSL_CITATION {"citationID":"p7YjU6Os","properties":{"formattedCitation":"\\super 5\\nosupersub{}","plainCitation":"5","noteIndex":0},"citationItems":[{"id":11340,"uris":["http://zotero.org/users/5535808/items/JLAJ9CGJ"],"itemData":{"id":11340,"type":"article-journal","abstract":"Attalea palms provide primary habitat to Rhodnius spp., vectors of Trypanosoma cruzi. Flying from palms, these blood-sucking bugs often invade houses and can infect people directly or via food contamination. Chagas disease (CD) risk may therefore increase when Attalea palms thrive near houses. For example, Attalea dominate many deforested landscapes of eastern Amazonia, where acute-CD outbreaks are disturbingly frequent. Despite this possible link between deforestation and CD risk, the population-level responses of Amazonian Attalea and their resident Rhodnius to anthropogenic landscape disturbance remain largely uncharted. We studied adult Attalea palms in old-growth forest (OGF), young secondary forest (YSF), and cattle pasture (CP) in two localities of eastern Amazonia. We recorded 1856 Attalea along 10 transects (153.6 ha), and detected infestation by Rhodnius spp. in 18 of 280 systematically-sampled palms (33 bugs caught). Distance-sampling models suggest that, relative to OGF, adult Attalea density declined by 70–80% in CP and then recovered in YSF. Site-occupancy models estimate a strong positive effect of deforestation on palm-infestation odds (βCP-infestation = 4.82±1.14 SE), with a moderate decline in recovering YSF (βYSF-infestation = 2.66±1.10 SE). Similarly, N-mixture models suggest that, relative to OGF, mean vector density sharply increased in CP palms (βCP-density = 3.20±0.62 SE) and then tapered in YSF (βYSF-density = 1.61±0.76 SE). Together, these results indicate that disturbed landscapes may support between ~2.5 (YSF) and ~5.1 (CP) times more Attalea-dwelling Rhodnius spp. per unit area than OGF. We provide evidence that deforestation may favor palm-dwelling CD vectors in eastern Amazonia. Importantly, our landscape-disturbance effect estimates explicitly take account of (i) imperfect palm and bug detection and (ii) the uncertainties about infestation and vector density arising from sparse bug data. These results suggest that incorporating landscape-disturbance metrics into the spatial stratification of transmission risk could help enhance CD surveillance and prevention in Amazonia.","container-title":"PLOS ONE","DOI":"10.1371/journal.pone.0252071","ISSN":"1932-6203","issue":"5","journalAbbreviation":"PLoS ONE","language":"en","page":"e0252071","source":"DOI.org (Crossref)","title":"Deforestation effects on Attalea palms and their resident Rhodnius, vectors of Chagas disease, in eastern Amazonia","volume":"16","author":[{"family":"Santos","given":"Walter Souza"},{"family":"Gurgel-Gonçalves","given":"Rodrigo"},{"family":"Garcez","given":"Lourdes Maria"},{"family":"Abad-Franch","given":"Fernando"}],"editor":[{"family":"Lorenzo","given":"Marcelo Gustavo"}],"issued":{"date-parts":[["2021",5,20]]}}}],"schema":"https://github.com/citation-style-language/schema/raw/master/csl-citation.json"} </w:instrText>
      </w:r>
      <w:r w:rsidR="00D42242">
        <w:fldChar w:fldCharType="separate"/>
      </w:r>
      <w:r w:rsidR="00D42242" w:rsidRPr="00D42242">
        <w:rPr>
          <w:rFonts w:cs="Times New Roman"/>
          <w:vertAlign w:val="superscript"/>
        </w:rPr>
        <w:t>5</w:t>
      </w:r>
      <w:r w:rsidR="00D42242">
        <w:fldChar w:fldCharType="end"/>
      </w:r>
      <w:r>
        <w:t>. Although many studies have investigated the relationship between anthropogenic disturbance and disease transmission risk, further research is required to clarify the mechanisms driving this association.</w:t>
      </w:r>
    </w:p>
    <w:p w14:paraId="051A15FE" w14:textId="7FC2D514" w:rsidR="00BA51F4" w:rsidRPr="00816E1D" w:rsidRDefault="00BA51F4" w:rsidP="00BA51F4">
      <w:pPr>
        <w:spacing w:line="480" w:lineRule="auto"/>
        <w:ind w:firstLine="720"/>
      </w:pPr>
      <w:r>
        <w:t>Much less studied is the relationship between vector gut microbial communities, disturbed landscapes, and pathogen transmission risk. The diversity and composition of vector gut microbial communities can directly influence the invasion and establishment of human pathogens</w:t>
      </w:r>
      <w:r w:rsidR="00D42242">
        <w:fldChar w:fldCharType="begin"/>
      </w:r>
      <w:r w:rsidR="00830282">
        <w:instrText xml:space="preserve"> ADDIN ZOTERO_ITEM CSL_CITATION {"citationID":"XKjyW4Y5","properties":{"formattedCitation":"\\super 8\\uc0\\u8211{}13\\nosupersub{}","plainCitation":"8–13","noteIndex":0},"citationItems":[{"id":1334,"uris":["http://zotero.org/users/5535808/items/NVEKJUI2"],"itemData":{"id":1334,"type":"article-journal","abstract":"Ticks are among the most important vectors of pathogens affecting humans and other animals worldwide. They do not only carry pathogens however, as a diverse group of commensal and symbiotic microorganisms are also present in ticks. Unlike pathogens, their biology and their effect on ticks remain largely unexplored, and are in fact often neglected. Nonetheless, they can confer multiple detrimental, neutral, or beneﬁcial effects to their tick hosts, and can play various roles in ﬁtness, nutritional adaptation, development, reproduction, defense against environmental stress, and immunity. Non-pathogenic microorganisms may also play a role in driving transmission of tick-borne pathogens (TBP), with many potential implications for both human and animal health. In addition, the genetic proximity of some pathogens to mutualistic symbionts hosted by ticks is evident when studying phylogenies of several bacterial genera. The best examples are found within members of the Rickettsia, Francisella, and Coxiella genera: while in medical and veterinary research these bacteria are traditionally recognized as highly virulent vertebrate pathogens, it is now clear to evolutionary ecologists that many (if not most) Coxiella, Francisella, and Rickettsia bacteria are actually non-pathogenic microorganisms exhibiting alternative lifestyles as mutualistic ticks symbionts. Consequently, ticks represent a compelling yet challenging system in which to study microbiomes and microbial interactions, and to investigate the composition, functional, and ecological implications of bacterial communities. Ultimately, deciphering the relationships between tick microorganisms as well as tick symbiont interactions will garner invaluable information, which may aid in the future development of arthropod pest and vector-borne pathogen transmission control strategies.","container-title":"Frontiers in Cellular and Infection Microbiology","DOI":"10.3389/fcimb.2017.00236","ISSN":"2235-2988","language":"en","source":"Crossref","title":"The Tick Microbiome: Why Non-pathogenic Microorganisms Matter in Tick Biology and Pathogen Transmission","title-short":"The Tick Microbiome","URL":"http://journal.frontiersin.org/article/10.3389/fcimb.2017.00236/full","volume":"7","author":[{"family":"Bonnet","given":"Sarah I."},{"family":"Binetruy","given":"Florian"},{"family":"Hernández-Jarguín","given":"Angelica M."},{"family":"Duron","given":"Olivier"}],"accessed":{"date-parts":[["2019",10,16]]},"issued":{"date-parts":[["2017",6,8]]}}},{"id":1285,"uris":["http://zotero.org/users/5535808/items/EL3TVBL9"],"itemData":{"id":1285,"type":"article-journal","container-title":"Cell Host &amp; Microbe","DOI":"10.1016/j.chom.2011.09.006","ISSN":"19313128","issue":"4","language":"en","page":"307-310","source":"Crossref","title":"Native Microbiota Shape Insect Vector Competence for Human Pathogens","volume":"10","author":[{"family":"Cirimotich","given":"Chris M."},{"family":"Ramirez","given":"Jose L."},{"family":"Dimopoulos","given":"George"}],"issued":{"date-parts":[["2011",10]]}}},{"id":11543,"uris":["http://zotero.org/users/5535808/items/AXAZVXUR"],"itemData":{"id":11543,"type":"article-journal","container-title":"Trends in Parasitology","DOI":"10.1016/j.pt.2019.12.001","ISSN":"14714922","issue":"2","journalAbbreviation":"Trends in Parasitology","language":"en","page":"98-111","source":"DOI.org (Crossref)","title":"Mosquito Microbiota and Implications for Disease Control","volume":"36","author":[{"family":"Gao","given":"Han"},{"family":"Cui","given":"Chunlai"},{"family":"Wang","given":"Lili"},{"family":"Jacobs-Lorena","given":"Marcelo"},{"family":"Wang","given":"Sibao"}],"issued":{"date-parts":[["2020",2]]}}},{"id":11573,"uris":["http://zotero.org/users/5535808/items/SKQEA7IP"],"itemData":{"id":11573,"type":"article-journal","container-title":"Current Opinion in Insect Science","DOI":"10.1016/j.cois.2014.08.001","ISSN":"22145745","journalAbbreviation":"Current Opinion in Insect Science","language":"en","page":"1-7","source":"DOI.org (Crossref)","title":"How resident microbes modulate ecologically-important traits of insects","volume":"4","author":[{"family":"Oliver","given":"Kerry M"},{"family":"Martinez","given":"Adam J"}],"issued":{"date-parts":[["2014",10]]}}},{"id":635,"uris":["http://zotero.org/users/5535808/items/L2J54HHI"],"itemData":{"id":635,"type":"article-journal","abstract":"In this review, we explore the state-of-the-art of sand fly relationships with microbiota, viruses and Leishmania, with particular emphasis on the vector immune responses. Insect-borne diseases are a major public health problem in the world. Phlebotomine sand flies are proven vectors of several aetiological agents including viruses, bacteria and the trypanosomatid Leishmania, which are responsible for diseases such as viral encephalitis, bartonellosis and leishmaniasis, respectively. All metazoans in nature coexist intimately with a community of commensal microorganisms known as microbiota. The microbiota has a fundamental role in the induction, maturation and function of the host immune system, which can modulate host protection from pathogens and infectious diseases. We briefly review viruses of public health importance present in sand flies and revisit studies done on bacterial and fungal gut contents of these vectors. We bring this information into the context of sand fly development and immune responses. We highlight the immunity mechanisms that the insect utilizes to survive the potential threats involved in these interactions and discuss the recently discovered complex interactions among microbiota, sand fly, Leishmania and virus. Additionally, some of the alternative control strategies that could benefit from the current knowledge are considered.","container-title":"Parasitology","DOI":"10.1017/S0031182018001014","ISSN":"0031-1820, 1469-8161","issue":"10","language":"en","page":"1336-1353","source":"Crossref","title":"Leishmania, microbiota and sand fly immunity","volume":"145","author":[{"family":"Telleria","given":"Erich Loza"},{"family":"Martins-da-Silva","given":"Andrea"},{"family":"Tempone","given":"Antonio Jorge"},{"family":"Traub-Csekö","given":"Yara Maria"}],"issued":{"date-parts":[["2018",9]]}}},{"id":2108,"uris":["http://zotero.org/users/5535808/items/NNQHQQCM"],"itemData":{"id":2108,"type":"article-journal","abstract":"Insect symbioses lack the complexity and diversity of those associated with higher eukaryotic hosts. Symbiotic microbiomes are beneficial to their insect hosts in many ways, including dietary supplementation, tolerance to environmental perturbations and maintenance and/or enhancement of host immune system homeostasis. Recent studies have also highlighted the importance of the microbiome in the context of host pathogen transmission processes. Here we provide an overview of the relationship between insect disease vectors, such as tsetse flies and mosquitoes, and their associated microbiome. Several mechanisms are discussed through which symbiotic microbes may influence their host’s ability to transmit pathogens, as well as potential disease control strategies that harness symbiotic microbes to reduce pathogen transmission through an insect vector.","container-title":"Trends in Parasitology","DOI":"10.1016/j.pt.2011.05.001","ISSN":"14714922","issue":"11","language":"en","page":"514-522","source":"Crossref","title":"Microbiome influences on insect host vector competence","volume":"27","author":[{"family":"Weiss","given":"Brian"},{"family":"Aksoy","given":"Serap"}],"issued":{"date-parts":[["2011",11]]}}}],"schema":"https://github.com/citation-style-language/schema/raw/master/csl-citation.json"} </w:instrText>
      </w:r>
      <w:r w:rsidR="00D42242">
        <w:fldChar w:fldCharType="separate"/>
      </w:r>
      <w:r w:rsidR="00830282" w:rsidRPr="00830282">
        <w:rPr>
          <w:rFonts w:cs="Times New Roman"/>
          <w:vertAlign w:val="superscript"/>
        </w:rPr>
        <w:t>8–13</w:t>
      </w:r>
      <w:r w:rsidR="00D42242">
        <w:fldChar w:fldCharType="end"/>
      </w:r>
      <w:r>
        <w:t>; therefore, it is important to better understand the relationships between vector gut microbial communities and habitat disturbances</w:t>
      </w:r>
      <w:r w:rsidDel="006B0411">
        <w:t>.</w:t>
      </w:r>
      <w:r>
        <w:t xml:space="preserve"> A</w:t>
      </w:r>
      <w:r w:rsidRPr="00816E1D">
        <w:t xml:space="preserve">nthropogenic environmental disturbances can </w:t>
      </w:r>
      <w:r w:rsidRPr="00816E1D">
        <w:lastRenderedPageBreak/>
        <w:t xml:space="preserve">result in shifts </w:t>
      </w:r>
      <w:r>
        <w:t>in</w:t>
      </w:r>
      <w:r w:rsidRPr="00816E1D">
        <w:t xml:space="preserve"> the gut microbial community</w:t>
      </w:r>
      <w:r>
        <w:t xml:space="preserve"> by</w:t>
      </w:r>
      <w:r w:rsidRPr="00816E1D">
        <w:t xml:space="preserve"> modif</w:t>
      </w:r>
      <w:r>
        <w:t>ying</w:t>
      </w:r>
      <w:r w:rsidRPr="00816E1D">
        <w:t xml:space="preserve"> food sources</w:t>
      </w:r>
      <w:r w:rsidR="00830282">
        <w:fldChar w:fldCharType="begin"/>
      </w:r>
      <w:r w:rsidR="00186117">
        <w:instrText xml:space="preserve"> ADDIN ZOTERO_ITEM CSL_CITATION {"citationID":"BUyIEIvf","properties":{"formattedCitation":"\\super 14\\uc0\\u8211{}17\\nosupersub{}","plainCitation":"14–17","noteIndex":0},"citationItems":[{"id":11235,"uris":["http://zotero.org/users/5535808/items/CGNMFSJI"],"itemData":{"id":11235,"type":"article-journal","abstract":"Abstract\n            Tsetse flies are the vectors of African trypanosomiasis affecting 36 sub-Saharan countries. Both wild and domestic animals play a crucial role in maintaining the disease-causing parasites (trypanosomes). Thus, the identification of animal reservoirs of trypanosomes is vital for the effective control of African trypanosomiasis. Additionally, the biotic and abiotic factors that drive gut microbiome diversity in tsetse flies are primarily unresolved, especially under natural, field conditions. In this study, we present a comprehensive DNA metabarcoding approach for individual tsetse fly analysis in the identification of mammalian blood meal sources and fly bacterial microbiome composition. We analyzed samples from two endemic foci, Kafue, Zambia collected in June 2017, and Hurungwe, Zimbabwe sampled in April 2014 (pilot study) and detected DNA of various mammals including humans, wild animals, domestic animals and small mammals (rat and bat). The bacterial diversity was relatively similar in flies with different mammalian species DNA, trypanosome infected and uninfected flies, and female and male flies. This study is the first report on bat DNA detection in wild tsetse flies. This study reveals that small mammals such as bats and rats are among the opportunistic blood meal sources for tsetse flies in the wild, and the implication on tsetse biology and ecology needs to be studied.","container-title":"Scientific Reports","DOI":"10.1038/s41598-020-61817-2","ISSN":"2045-2322","issue":"1","journalAbbreviation":"Sci Rep","language":"en","page":"5005","source":"DOI.org (Crossref)","title":"Blood meal sources and bacterial microbiome diversity in wild-caught tsetse flies","volume":"10","author":[{"family":"Gaithuma","given":"Alex"},{"family":"Yamagishi","given":"Junya"},{"family":"Hayashida","given":"Kyoko"},{"family":"Kawai","given":"Naoko"},{"family":"Namangala","given":"Boniface"},{"family":"Sugimoto","given":"Chihiro"}],"issued":{"date-parts":[["2020",12]]}}},{"id":11315,"uris":["http://zotero.org/users/5535808/items/W2NGWL6E"],"itemData":{"id":11315,"type":"article-journal","abstract":"Tick microbiomes may play an important role in pathogen transmission. However, the drivers of microbiome variation are poorly understood, and this limitation has impeded mechanistic understanding of the functions of microbial communities for pathogen acquisition. The goal of this research was to characterize the role of the blood meal host in structuring the microbiome of Ixodes scapularis, the primary vector of Lyme disease in the eastern United States, and to determine if ticks that fed from different host species harbor distinct bacterial communities. We performed high-throughput 16S rDNA amplicon sequencing on I. scapularis nymphs that fed as larvae from known wildlife hosts: raccoon, Virginia opossum, striped skunk, red squirrel or gray squirrel. Using Analysis of Similarity, we found significant differences in the abundance-weighted Unifrac distance matrix among ticks fed from different host species (p = 0.048) and a highly significant difference in the weighted and unweighted Unifrac matrices for individuals within species (p &lt; 0.01). This finding of associations between the blood meal host and I. scapularis microbiome demonstrates that the blood meal host may be a driver of microbiome variation that should be accounted for in studies of pathogen acquisition by ticks.","container-title":"Ticks and Tick-borne Diseases","DOI":"10.1016/j.ttbdis.2019.01.002","ISSN":"1877959X","issue":"3","journalAbbreviation":"Ticks and Tick-borne Diseases","language":"en","page":"523-527","source":"DOI.org (Crossref)","title":"Potential effects of blood meal host on bacterial community composition in Ixodes scapularis nymphs","volume":"10","author":[{"family":"Landesman","given":"William J."},{"family":"Mulder","given":"Kenneth"},{"family":"Allan","given":"Brian F."},{"family":"Bashor","given":"Laura A."},{"family":"Keesing","given":"Felicia"},{"family":"LoGiudice","given":"Kathleen"},{"family":"Ostfeld","given":"Richard S."}],"issued":{"date-parts":[["2019",4]]}}},{"id":11209,"uris":["http://zotero.org/users/5535808/items/VKK8K2JQ"],"itemData":{"id":11209,"type":"article-journal","abstract":"Background:  The guts of blood-sucking insects host a community of bacteria that can shift dramatically in response to biotic and abiotic factors. Identifying the key factors structuring these microbial communities has important ecological and epidemiological implications.\nMethods:  We used the yellow fever mosquito, Aedes aegypti, to investigate the impact of mixed blood meals on gut microbiota of vector mosquitoes. Adult females were experimentally fed on sugar or blood from chicken, rabbit or a mixture of chicken and rabbit blood, and their gut microbiota were characterized using 16S rRNA gene amplification and MiSeq sequencing.\nResults:  The gut bacterial communities of mosquitoes fed on the three blood meal treatments clustered separately, suggesting that host species identity and mixed blood-feeding are key determinants of gut bacterial community composition in mosquitoes. Mixed blood meal had a synergistic effect on both operational taxonomic unit (OTU) richness and the Shannon diversity index, suggesting that mixed blood-feeding can offset the nutritional deficit of blood meals from certain host species. The microbial communities observed in this study were distinct from those identified from similarly fed Ae. aegypti from our previous study.\nConclusions:  These findings demonstrate that vector host-feeding preferences can influence gut microbial composition and diversity, which could potentially impact pathogen acquisition and transmission by the vector. The results also demonstrate that different microenvironmental conditions within the laboratory may play an important role in structuring the microbial communities of independently reared mosquito colonies.","container-title":"Parasites &amp; Vectors","DOI":"10.1186/s13071-021-04579-8","ISSN":"1756-3305","issue":"1","journalAbbreviation":"Parasites Vectors","language":"en","page":"83","source":"DOI.org (Crossref)","title":"Blood meal source and mixed blood-feeding influence gut bacterial community composition in Aedes aegypti","volume":"14","author":[{"family":"Muturi","given":"Ephantus J."},{"family":"Njoroge","given":"Teresia M."},{"family":"Dunlap","given":"Christopher"},{"family":"Cáceres","given":"Carla E."}],"issued":{"date-parts":[["2021",12]]}}},{"id":1330,"uris":["http://zotero.org/users/5535808/items/S4YJY6I3"],"itemData":{"id":1330,"type":"article-journal","container-title":"The ISME Journal","DOI":"10.1038/ismej.2016.152","ISSN":"1751-7362, 1751-7370","issue":"3","language":"en","page":"813-816","source":"Crossref","title":"Tick microbiome and pathogen acquisition altered by host blood meal","volume":"11","author":[{"family":"Swei","given":"Andrea"},{"family":"Kwan","given":"Jessica Y"}],"issued":{"date-parts":[["2017",3]]}}}],"schema":"https://github.com/citation-style-language/schema/raw/master/csl-citation.json"} </w:instrText>
      </w:r>
      <w:r w:rsidR="00830282">
        <w:fldChar w:fldCharType="separate"/>
      </w:r>
      <w:r w:rsidR="00186117" w:rsidRPr="00186117">
        <w:rPr>
          <w:rFonts w:cs="Times New Roman"/>
          <w:vertAlign w:val="superscript"/>
        </w:rPr>
        <w:t>14–17</w:t>
      </w:r>
      <w:r w:rsidR="00830282">
        <w:fldChar w:fldCharType="end"/>
      </w:r>
      <w:r w:rsidRPr="00816E1D">
        <w:t>, alter</w:t>
      </w:r>
      <w:r>
        <w:t>ing</w:t>
      </w:r>
      <w:r w:rsidRPr="00816E1D">
        <w:t xml:space="preserve"> abiotic conditions</w:t>
      </w:r>
      <w:r w:rsidR="00186117">
        <w:fldChar w:fldCharType="begin"/>
      </w:r>
      <w:r w:rsidR="006A1AD2">
        <w:instrText xml:space="preserve"> ADDIN ZOTERO_ITEM CSL_CITATION {"citationID":"0SAgUp4J","properties":{"formattedCitation":"\\super 18\\nosupersub{}","plainCitation":"18","noteIndex":0},"citationItems":[{"id":9428,"uris":["http://zotero.org/users/5535808/items/GP43VQRG"],"itemData":{"id":9428,"type":"article-journal","abstract":"Abstract\n            \n              Insect midgut microbial symbionts have been considered as an integral component in thermal adaptation due to their differential thermal sensitivity. Altered midgut microbial communities can influence both insect physiology and competence for important vector-borne pathogens. This study sought to gain insights into how\n              Aedes aegypti\n              midgut microbes and life history traits are affected by increase in baseline diurnal temperature. Increase in temperature resulted in the enrichment of specific taxa with\n              Bacillus\n              being the most enriched.\n              Bacillus\n              is known to be heat tolerant. It also resulted in a dissimilar microbial assemblage (Bray–Curtis Index, PERMANOVA, F = 2.2063; R\n              2\n               = 0.16706;\n              P\n               = 0.002) and reduced survivorship (Log-rank [Mantel-Cox] test, Chi-square = 35.66 df = 5,\n              P\n               &lt; 0.0001). Blood meal intake resulted in proliferation of pathogenic bacteria such as\n              Elizabethkingia\n              in the midgut of the mosquitoes. These results suggest that alteration of temperature within realistic parameters such as 2 °C for\n              Ae. aegypti\n              in nature may impact the midgut microbiome favoring specific taxa that could alter mosquito fitness, adaptation and vector–pathogen interactions.","container-title":"Scientific Reports","DOI":"10.1038/s41598-020-76188-x","ISSN":"2045-2322","issue":"1","journalAbbreviation":"Sci Rep","language":"en","page":"19135","source":"DOI.org (Crossref)","title":"Increase in temperature enriches heat tolerant taxa in Aedes aegypti midguts","volume":"10","author":[{"family":"Onyango","given":"Gorreti Maria"},{"family":"Bialosuknia","given":"M. Sean"},{"family":"Payne","given":"F. Anne"},{"family":"Mathias","given":"Nicholas"},{"family":"Ciota","given":"T. Alexander"},{"family":"Kramer","given":"D. Laura"}],"issued":{"date-parts":[["2020",12]]}}}],"schema":"https://github.com/citation-style-language/schema/raw/master/csl-citation.json"} </w:instrText>
      </w:r>
      <w:r w:rsidR="00186117">
        <w:fldChar w:fldCharType="separate"/>
      </w:r>
      <w:r w:rsidR="006A1AD2" w:rsidRPr="006A1AD2">
        <w:rPr>
          <w:rFonts w:cs="Times New Roman"/>
          <w:vertAlign w:val="superscript"/>
        </w:rPr>
        <w:t>18</w:t>
      </w:r>
      <w:r w:rsidR="00186117">
        <w:fldChar w:fldCharType="end"/>
      </w:r>
      <w:r w:rsidRPr="00816E1D">
        <w:t>, and changing parasite dynamics</w:t>
      </w:r>
      <w:r w:rsidR="00EF5B62">
        <w:fldChar w:fldCharType="begin"/>
      </w:r>
      <w:r w:rsidR="00FE310A">
        <w:instrText xml:space="preserve"> ADDIN ZOTERO_ITEM CSL_CITATION {"citationID":"lS8EBKoo","properties":{"formattedCitation":"\\super 19,20\\nosupersub{}","plainCitation":"19,20","noteIndex":0},"citationItems":[{"id":8935,"uris":["http://zotero.org/users/5535808/items/QB3P697G"],"itemData":{"id":8935,"type":"article-journal","abstract":"Host-parasite interactions may be modulated by host- or parasite-associated microbes, but the role of these are often overlooked. Particularly for parasites with intestinal stages (either larval or adult), the host gut microbiome may play a key role for parasite establishment; moreover, the microbiome may change in response to invading parasites. Hypothesis testing at the organismal level may be hampered, particularly in mammalian definitive hosts, by ethical, logistical, and economical restrictions. Thus, invertebrates naturally serving as intermediate hosts to parasites with complex life cycles may inform the development of mammalian models as an early-stage host-parasite model. In addition, several important pathogens are vectored by insects, and insect gut microbiome-pathogen interactions may provide essential base-line knowledge, which may be used to control vectorborne pathogens. Here, we used the grain beetle, Tenebrio molitor, a host of the tapeworm Hymenolepis diminuta, to explore interactions between infection status and resident gut microbiota at two pre-determined time points (day two and seven) post infection. Using 16S/18S microbial profiling, we measured key parameters of the composition, relative abundance, and diversity of the host gut bacteriome and mycobiome. In addition, we quantified the systemic beetle immune response to infection by Phenoloxidase activity and hemocyte abundance. We found significant changes in the gut bacteriome and mycobiome in relation to infection status and beetle age. Thus, the relative abundance of Proteobacteria was significantly higher in the gut of infected beetles and driven mostly by an increased abundance of Acinetobacter. In addition, the mycobiome was less abundant in infected beetles but maintained higher Shannon diversity in infected compared with non-infected beetles. Beetles treated with a broad-spectrum antibiotic (Tetracycline) exhibited significantly reduced parasite establishment compared with the untreated control group, indicating that the host microbiome may greatly influence hatching of eggs and subsequent establishment of H. diminuta larvae. Our results suggest that experimental work using invertebrates may provide a platform for explorative studies of host-parasite-microbe interactions and their underlying mechanisms.","container-title":"PLOS ONE","language":"en","page":"18","source":"Zotero","title":"Parasites modulate the gut-microbiome in insects: A proof-of-concept study","author":[{"family":"Fredensborg","given":"Brian L"},{"family":"Fossdal","given":"Inga"}],"issued":{"date-parts":[["2019"]]}}},{"id":1351,"uris":["http://zotero.org/users/5535808/items/GLMWBQU3"],"itemData":{"id":1351,"type":"article-journal","abstract":"Mosquitoes transmit numerous arboviruses including dengue and chikungunya virus (CHIKV). In recent years, mosquito species Aedes albopictus has expanded in the Indian Ocean region and was the principal vector of chikungunya outbreaks in La Reunion and neighbouring islands in 2005 and 2006. Vector-associated bacteria have recently been found to interact with transmitted pathogens. For instance, Wolbachia modulates the replication of viruses or parasites. However, there has been no systematic evaluation of the diversity of the entire bacterial populations within mosquito individuals particularly in relation to virus invasion. Here, we investigated the effect of CHIKV infection on the whole bacterial community of Ae. albopictus. Taxonomic microarrays and quantitative PCR showed that members of Alpha- and Gammaproteobacteria phyla, as well as Bacteroidetes, responded to CHIKV infection. The abundance of bacteria from the Enterobacteriaceae family increased with CHIKV infection, whereas the abundance of known insect endosymbionts like Wolbachia and Blattabacterium decreased. Our results clearly link the pathogen propagation with changes in the dynamics of the bacterial community, suggesting that cooperation or competition occurs within the host, which may in turn affect the mosquito traits like vector competence.","container-title":"Molecular Ecology","DOI":"10.1111/j.1365-294X.2012.05526.x","ISSN":"09621083","issue":"9","language":"en","page":"2297-2309","source":"Crossref","title":"Chikungunya virus impacts the diversity of symbiotic bacteria in mosquito vector: VIRUS AND BACTERIAL DYNAMICS IN MOSQUITO","title-short":"Chikungunya virus impacts the diversity of symbiotic bacteria in mosquito vector","volume":"21","author":[{"family":"Zouache","given":"Karima"},{"family":"Michelland","given":"Rory J."},{"family":"Failloux","given":"Anna-Bella"},{"family":"Grundmann","given":"Genevieve L."},{"family":"Mavingui","given":"Patrick"}],"issued":{"date-parts":[["2012",5]]}}}],"schema":"https://github.com/citation-style-language/schema/raw/master/csl-citation.json"} </w:instrText>
      </w:r>
      <w:r w:rsidR="00EF5B62">
        <w:fldChar w:fldCharType="separate"/>
      </w:r>
      <w:r w:rsidR="00FE310A" w:rsidRPr="00FE310A">
        <w:rPr>
          <w:rFonts w:cs="Times New Roman"/>
          <w:vertAlign w:val="superscript"/>
        </w:rPr>
        <w:t>19,20</w:t>
      </w:r>
      <w:r w:rsidR="00EF5B62">
        <w:fldChar w:fldCharType="end"/>
      </w:r>
      <w:r w:rsidRPr="00816E1D">
        <w:t xml:space="preserve">. </w:t>
      </w:r>
      <w:r>
        <w:t>For example, researchers recently found that human-blood feeding in mosquitoes was significantly associated with a higher abundance of bacteria overall and that some bacteria taxa were exclusively associated with specific blood meal sources</w:t>
      </w:r>
      <w:r w:rsidR="00DF654A">
        <w:fldChar w:fldCharType="begin"/>
      </w:r>
      <w:r w:rsidR="00DF654A">
        <w:instrText xml:space="preserve"> ADDIN ZOTERO_ITEM CSL_CITATION {"citationID":"D9Fx1RCd","properties":{"formattedCitation":"\\super 21\\nosupersub{}","plainCitation":"21","noteIndex":0},"citationItems":[{"id":11029,"uris":["http://zotero.org/users/5535808/items/RU6S9X69"],"itemData":{"id":11029,"type":"article-journal","abstract":"Blood feeding is an important behavior of Aedes aegypti, a dominant arboviral disease vector, as it can establish and transmit viruses to humans. Bacteria associated with the mosquito gut can modulate the biological characteristics and behavior of disease vectors. In this study, we characterized the gut microbiota composition of human-blood-fed (HF), non-human-blood-fed (NHF) and nonfed (NF) ﬁeld-collected Ae. aegypti mosquitoes, using a 16S metagenomic approach, to assess any association of bacterial taxa with the blood-feeding behavior of Ae. aegypti. A signiﬁcant difference in the microbiota composition between the HF and NF mosquito group was observed. A signiﬁcant association was observed in the relative abundance of families Rhodobacteraceae, Neisseriaceae and Dermacoccaceae in the HF group in contrast to NF and NHF Ae. aegypti mosquitoes, respectively. At the class level, two classes (Rhodobacterales and Neisseriales) were found to be in higher abundance in the HF mosquitoes compared to a single class of bacteria (Caulobacterales) in the NF mosquitoes. These results show that human-blood feeding may change the gut microbiota in wild Ae. aegypti populations. More research is needed to determine how changes in the midgut bacterial communities in response to human-blood-feeding affect the vectorial capacity of Ae. aegypti.","container-title":"Microorganisms","DOI":"10.3390/microorganisms10020332","ISSN":"2076-2607","issue":"2","journalAbbreviation":"Microorganisms","language":"en","page":"332","source":"DOI.org (Crossref)","title":"Influence of Host Blood Meal Source on Gut Microbiota of Wild Caught Aedes aegypti, a Dominant Arboviral Disease Vector","volume":"10","author":[{"family":"Sarma","given":"Devojit Kumar"},{"family":"Kumar","given":"Manoj"},{"family":"Dhurve","given":"Jigyasa"},{"family":"Pal","given":"Namrata"},{"family":"Sharma","given":"Poonam"},{"family":"James","given":"Meenu Mariya"},{"family":"Das","given":"Deepanker"},{"family":"Mishra","given":"Sweta"},{"family":"Shubham","given":"Swasti"},{"family":"Kumawat","given":"Manoj"},{"family":"Verma","given":"Vinod"},{"family":"Tiwari","given":"Rajnarayan R."},{"family":"Nagpal","given":"Ravinder"},{"family":"Marotta","given":"Francesco"}],"issued":{"date-parts":[["2022",2,1]]}}}],"schema":"https://github.com/citation-style-language/schema/raw/master/csl-citation.json"} </w:instrText>
      </w:r>
      <w:r w:rsidR="00DF654A">
        <w:fldChar w:fldCharType="separate"/>
      </w:r>
      <w:r w:rsidR="00DF654A" w:rsidRPr="00DF654A">
        <w:rPr>
          <w:rFonts w:cs="Times New Roman"/>
          <w:vertAlign w:val="superscript"/>
        </w:rPr>
        <w:t>21</w:t>
      </w:r>
      <w:r w:rsidR="00DF654A">
        <w:fldChar w:fldCharType="end"/>
      </w:r>
      <w:r>
        <w:t xml:space="preserve">. Furthermore, </w:t>
      </w:r>
      <w:r w:rsidRPr="00816E1D">
        <w:t>Onyango et al.</w:t>
      </w:r>
      <w:r w:rsidR="00DF654A">
        <w:fldChar w:fldCharType="begin"/>
      </w:r>
      <w:r w:rsidR="00E55212">
        <w:instrText xml:space="preserve"> ADDIN ZOTERO_ITEM CSL_CITATION {"citationID":"eqAA76zY","properties":{"formattedCitation":"\\super 18\\nosupersub{}","plainCitation":"18","noteIndex":0},"citationItems":[{"id":9428,"uris":["http://zotero.org/users/5535808/items/GP43VQRG"],"itemData":{"id":9428,"type":"article-journal","abstract":"Abstract\n            \n              Insect midgut microbial symbionts have been considered as an integral component in thermal adaptation due to their differential thermal sensitivity. Altered midgut microbial communities can influence both insect physiology and competence for important vector-borne pathogens. This study sought to gain insights into how\n              Aedes aegypti\n              midgut microbes and life history traits are affected by increase in baseline diurnal temperature. Increase in temperature resulted in the enrichment of specific taxa with\n              Bacillus\n              being the most enriched.\n              Bacillus\n              is known to be heat tolerant. It also resulted in a dissimilar microbial assemblage (Bray–Curtis Index, PERMANOVA, F = 2.2063; R\n              2\n               = 0.16706;\n              P\n               = 0.002) and reduced survivorship (Log-rank [Mantel-Cox] test, Chi-square = 35.66 df = 5,\n              P\n               &lt; 0.0001). Blood meal intake resulted in proliferation of pathogenic bacteria such as\n              Elizabethkingia\n              in the midgut of the mosquitoes. These results suggest that alteration of temperature within realistic parameters such as 2 °C for\n              Ae. aegypti\n              in nature may impact the midgut microbiome favoring specific taxa that could alter mosquito fitness, adaptation and vector–pathogen interactions.","container-title":"Scientific Reports","DOI":"10.1038/s41598-020-76188-x","ISSN":"2045-2322","issue":"1","journalAbbreviation":"Sci Rep","language":"en","page":"19135","source":"DOI.org (Crossref)","title":"Increase in temperature enriches heat tolerant taxa in Aedes aegypti midguts","volume":"10","author":[{"family":"Onyango","given":"Gorreti Maria"},{"family":"Bialosuknia","given":"M. Sean"},{"family":"Payne","given":"F. Anne"},{"family":"Mathias","given":"Nicholas"},{"family":"Ciota","given":"T. Alexander"},{"family":"Kramer","given":"D. Laura"}],"issued":{"date-parts":[["2020",12]]}}}],"schema":"https://github.com/citation-style-language/schema/raw/master/csl-citation.json"} </w:instrText>
      </w:r>
      <w:r w:rsidR="00DF654A">
        <w:fldChar w:fldCharType="separate"/>
      </w:r>
      <w:r w:rsidR="00E55212" w:rsidRPr="00E55212">
        <w:rPr>
          <w:rFonts w:cs="Times New Roman"/>
          <w:vertAlign w:val="superscript"/>
        </w:rPr>
        <w:t>18</w:t>
      </w:r>
      <w:r w:rsidR="00DF654A">
        <w:fldChar w:fldCharType="end"/>
      </w:r>
      <w:r w:rsidRPr="00816E1D">
        <w:t xml:space="preserve"> found that an increase in mosquito rearing temperatures resulted in the enrichment of specific taxa, while </w:t>
      </w:r>
      <w:r w:rsidRPr="00816E1D">
        <w:rPr>
          <w:highlight w:val="white"/>
        </w:rPr>
        <w:t>Hussain et al.</w:t>
      </w:r>
      <w:r w:rsidR="00E55212">
        <w:rPr>
          <w:highlight w:val="white"/>
        </w:rPr>
        <w:fldChar w:fldCharType="begin"/>
      </w:r>
      <w:r w:rsidR="00E55212">
        <w:rPr>
          <w:highlight w:val="white"/>
        </w:rPr>
        <w:instrText xml:space="preserve"> ADDIN ZOTERO_ITEM CSL_CITATION {"citationID":"lRd8c563","properties":{"formattedCitation":"\\super 22\\nosupersub{}","plainCitation":"22","noteIndex":0},"citationItems":[{"id":11387,"uris":["http://zotero.org/users/5535808/items/LRWDWR5Y"],"itemData":{"id":11387,"type":"article-journal","abstract":"The Asian citrus psyllid, Diaphorina citri, is a major pest of citrus and vector of citrus greening (huanglongbing) in Asian. In our field-collected psyllid samples, we discovered that Fuzhou (China) and Faisalabad (Pakistan), populations harbored an obligate primary endosymbiont Candidatus Carsonella (gen. nov.) with a single species, Candidatus Carsonella ruddii (sp. nov.) and a secondary endosymbiont, Wolbachia surface proteins (WSP) which are intracellular endosymbionts residing in the bacteriomes.","container-title":"Environmental Microbiology","DOI":"10.1111/1462-2920.13821","ISSN":"14622912","issue":"9","journalAbbreviation":"Environ Microbiol","language":"en","page":"3439-3449","source":"DOI.org (Crossref)","title":"Effects of different temperature regimes on survival of &lt;i&gt;Diaphorina citri&lt;/i&gt; and its endosymbiotic bacterial communities: Effect of Temperature on the &lt;i&gt;Diaphorina citri&lt;/i&gt; Symbionts","title-short":"Effects of different temperature regimes on survival of &lt;i&gt;Diaphorina citri&lt;/i&gt; and its endosymbiotic bacterial communities","volume":"19","author":[{"family":"Hussain","given":"Mubasher"},{"family":"Akutse","given":"Komivi Senyo"},{"family":"Ravindran","given":"Keppanan"},{"family":"Lin","given":"Yongwen"},{"family":"Bamisile","given":"Bamisope Steve"},{"family":"Qasim","given":"Muhammad"},{"family":"Dash","given":"Chandra Kanta"},{"family":"Wang","given":"Liande"}],"issued":{"date-parts":[["2017",9]]}}}],"schema":"https://github.com/citation-style-language/schema/raw/master/csl-citation.json"} </w:instrText>
      </w:r>
      <w:r w:rsidR="00E55212">
        <w:rPr>
          <w:highlight w:val="white"/>
        </w:rPr>
        <w:fldChar w:fldCharType="separate"/>
      </w:r>
      <w:r w:rsidR="00E55212" w:rsidRPr="00E55212">
        <w:rPr>
          <w:rFonts w:cs="Times New Roman"/>
          <w:vertAlign w:val="superscript"/>
        </w:rPr>
        <w:t>22</w:t>
      </w:r>
      <w:r w:rsidR="00E55212">
        <w:rPr>
          <w:highlight w:val="white"/>
        </w:rPr>
        <w:fldChar w:fldCharType="end"/>
      </w:r>
      <w:r w:rsidRPr="00816E1D">
        <w:rPr>
          <w:highlight w:val="white"/>
        </w:rPr>
        <w:t xml:space="preserve"> found a reduction in symbiont richness with increasing rearing temperatures</w:t>
      </w:r>
      <w:r>
        <w:rPr>
          <w:highlight w:val="white"/>
        </w:rPr>
        <w:t xml:space="preserve">, which demonstrates that </w:t>
      </w:r>
      <w:r>
        <w:t xml:space="preserve">altered abiotic conditions can shift vector gut bacterial profiles. And finally, </w:t>
      </w:r>
      <w:r w:rsidRPr="00816E1D">
        <w:rPr>
          <w:highlight w:val="white"/>
        </w:rPr>
        <w:t>parasite infection</w:t>
      </w:r>
      <w:r>
        <w:rPr>
          <w:highlight w:val="white"/>
        </w:rPr>
        <w:t>s</w:t>
      </w:r>
      <w:r w:rsidRPr="00816E1D">
        <w:rPr>
          <w:highlight w:val="white"/>
        </w:rPr>
        <w:t xml:space="preserve"> </w:t>
      </w:r>
      <w:r>
        <w:rPr>
          <w:highlight w:val="white"/>
        </w:rPr>
        <w:t>have been associated with modifying</w:t>
      </w:r>
      <w:r w:rsidRPr="00816E1D">
        <w:rPr>
          <w:highlight w:val="white"/>
        </w:rPr>
        <w:t xml:space="preserve"> gut bacterial communities of </w:t>
      </w:r>
      <w:r>
        <w:rPr>
          <w:highlight w:val="white"/>
        </w:rPr>
        <w:t>triatomines</w:t>
      </w:r>
      <w:r w:rsidR="00E55212">
        <w:rPr>
          <w:highlight w:val="white"/>
        </w:rPr>
        <w:fldChar w:fldCharType="begin"/>
      </w:r>
      <w:r w:rsidR="00D62584">
        <w:rPr>
          <w:highlight w:val="white"/>
        </w:rPr>
        <w:instrText xml:space="preserve"> ADDIN ZOTERO_ITEM CSL_CITATION {"citationID":"4AXD8smQ","properties":{"formattedCitation":"\\super 23\\uc0\\u8211{}26\\nosupersub{}","plainCitation":"23–26","noteIndex":0},"citationItems":[{"id":9048,"uris":["http://zotero.org/users/5535808/items/EUCYR2KL"],"itemData":{"id":9048,"type":"article-journal","abstract":"Background: Triatomine bugs (Hemiptera: Reduviidae) are vectors of the flagellate Trypanosoma cruzi, the causative agent of Chagas disease. The study of triatomine gut microbiota has gained relevance in the last years due to its possible role in vector competence and prospective use in control strategies. The objective of this study is to examine changes in the gut microbiota composition of triatomines in response to a T. cruzi-infected blood meal and identifying key factors determining those changes.\nResults: We sampled colony-reared individuals from six triatomine vectors (Panstrongylus megistus, Rhodnius prolixus, Triatoma brasiliensis, T. infestans, T. juazeirensis and T. sherlocki) comparing experimentally T. cruzi strain 0354challenged and non-challenged insects. The microbiota of gut and gonad tissues was characterized using high throughput sequencing of region V3-V4 of bacterial 16S rRNA gene. The triatomine microbiota had a low intraindividual diversity, and a high inter-individual variation within the same host species. Arsenophonous appeared as the dominant triatomine bacterial symbiont in our study (59% of the total 16S coverage), but there were significant differences in the distribution of bacterial genera among vectors. In Rhodnius prolixus the dominant symbiont was Pectobacterium.\nConclusions: Trypanosoma cruzi-challenge significantly affects microbiota composition, with challenged vectors harbouring a significantly more diverse bacterial community, both in the gut and the gonads. Our results show that blood-feeding with T. cruzi epimastigotes strongly affects microbiota composition in a species-specific manner. We suggest that triatomine-adapted enterobacteria such as Arsenophonus could be used as stable vectors for genetic transformation of triatomine bugs and control of Chagas disease.","container-title":"Parasites &amp; Vectors","DOI":"10.1186/s13071-016-1926-2","ISSN":"1756-3305","issue":"1","journalAbbreviation":"Parasites Vectors","language":"en","page":"636","source":"DOI.org (Crossref)","title":"Triatomine bugs, their microbiota and Trypanosoma cruzi: asymmetric responses of bacteria to an infected blood meal","title-short":"Triatomine bugs, their microbiota and Trypanosoma cruzi","volume":"9","author":[{"family":"Díaz","given":"Sebastián"},{"family":"Villavicencio","given":"Bianca"},{"family":"Correia","given":"Nathália"},{"family":"Costa","given":"Jane"},{"family":"Haag","given":"Karen L."}],"issued":{"date-parts":[["2016",12]]}}},{"id":2248,"uris":["http://zotero.org/users/5535808/items/HV5DR7AN"],"itemData":{"id":2248,"type":"article-journal","container-title":"Frontiers in Microbiology","DOI":"10.3389/fmicb.2020.00364","ISSN":"1664-302X","language":"en","source":"Crossref","title":"Comparison of the Bacterial Gut Microbiome of North American Triatoma spp. With and Without Trypanosoma cruzi","URL":"https://www.frontiersin.org/article/10.3389/fmicb.2020.00364/full","volume":"11","author":[{"family":"Mann","given":"Allison E."},{"family":"Mitchell","given":"Elizabeth A."},{"family":"Zhang","given":"Yan"},{"family":"Curtis-Robles","given":"Rachel"},{"family":"Thapa","given":"Santosh"},{"family":"Hamer","given":"Sarah A."},{"family":"Allen","given":"Michael S."}],"accessed":{"date-parts":[["2020",10,9]]},"issued":{"date-parts":[["2020",3,13]]}}},{"id":11125,"uris":["http://zotero.org/users/5535808/items/54Y8AZJD"],"itemData":{"id":11125,"type":"article-journal","abstract":"Abstract\n            \n              Animals living in highly seasonal environments adapt their diets accordingly to changes in food availability. The gut microbiome as an active participant in the metabolization of the host’s diet should adapt and change with temporal diet fluctuations, but dietary shifts can be short-term and, hence, difficult to detect in cross-sectional studies. Therefore, we performed a longitudinal study combining repeated sampling of fecal samples with observations of feeding behavior in wild redfronted lemurs. We amplified taxonomical marker genes for assessing the bacteria, archaea, protozoa, helminths, and fungi, as well as the active bacterial community inhabiting their gut. We found that the most abundant protozoans were\n              Trichostomatia\n              and\n              Trichomonadida\n              , and the most abundant helminths were\n              Chromadorea\n              . We detected known members of the gut mycobiome from humans but in low abundances. The archaeal community is composed only of members of\n              Methanomethylophilaceae\n              . The predominant phyla in the entire bacterial community were\n              Bacteroidota\n              and\n              Firmicutes\n              while the most abundant genera harbor so far unknown bacteria. Temporal fluctuations at the entire community level were driven by consumption of fruits and flowers, and affiliative interactions. Changes in alpha diversity correlated only with the consumption of flowers and leaves. The composition of the entire and active bacterial community was not significantly different, but the most abundant taxa differed. Our study revealed that monthly changes in the bacterial community composition were linked to fruit and flower consumption and affiliative interactions. Thus, portraying the importance of longitudinal studies for understanding the adaptations and alterations of the gut microbiome to temporal fluctuations.","container-title":"ISME Communications","DOI":"10.1038/s43705-021-00086-0","ISSN":"2730-6151","issue":"1","journalAbbreviation":"ISME COMMUN.","language":"en","page":"3","source":"DOI.org (Crossref)","title":"Dietary shifts and social interactions drive temporal fluctuations of the gut microbiome from wild redfronted lemurs","volume":"2","author":[{"family":"Murillo","given":"Tatiana"},{"family":"Schneider","given":"Dominik"},{"family":"Fichtel","given":"Claudia"},{"family":"Daniel","given":"Rolf"}],"issued":{"date-parts":[["2022",12]]}}},{"id":8521,"uris":["http://zotero.org/users/5535808/items/RY2FF5NP"],"itemData":{"id":8521,"type":"article-journal","container-title":"PLOS Neglected Tropical Diseases","DOI":"10.1371/journal.pntd.0006730","ISSN":"1935-2735","issue":"10","journalAbbreviation":"PLoS Negl Trop Dis","language":"en","page":"e0006730","source":"DOI.org (Crossref)","title":"Uncovering vector, parasite, blood meal and microbiome patterns from mixed-DNA specimens of the Chagas disease vector Triatoma dimidiata","volume":"12","author":[{"family":"Orantes","given":"Lucia C."},{"family":"Monroy","given":"Carlota"},{"family":"Dorn","given":"Patricia L."},{"family":"Stevens","given":"Lori"},{"family":"Rizzo","given":"Donna M."},{"family":"Morrissey","given":"Leslie"},{"family":"Hanley","given":"John P."},{"family":"Rodas","given":"Antonieta Guadalupe"},{"family":"Richards","given":"Bethany"},{"family":"Wallin","given":"Kimberly F."},{"family":"Helms Cahan","given":"Sara"}],"editor":[{"family":"Dutra","given":"Walderez O."}],"issued":{"date-parts":[["2018",10,18]]}}}],"schema":"https://github.com/citation-style-language/schema/raw/master/csl-citation.json"} </w:instrText>
      </w:r>
      <w:r w:rsidR="00E55212">
        <w:rPr>
          <w:highlight w:val="white"/>
        </w:rPr>
        <w:fldChar w:fldCharType="separate"/>
      </w:r>
      <w:r w:rsidR="00D62584" w:rsidRPr="00D62584">
        <w:rPr>
          <w:rFonts w:cs="Times New Roman"/>
          <w:vertAlign w:val="superscript"/>
        </w:rPr>
        <w:t>23–26</w:t>
      </w:r>
      <w:r w:rsidR="00E55212">
        <w:rPr>
          <w:highlight w:val="white"/>
        </w:rPr>
        <w:fldChar w:fldCharType="end"/>
      </w:r>
      <w:r>
        <w:rPr>
          <w:highlight w:val="white"/>
        </w:rPr>
        <w:t xml:space="preserve"> and therefore </w:t>
      </w:r>
      <w:r w:rsidRPr="00816E1D">
        <w:rPr>
          <w:highlight w:val="white"/>
        </w:rPr>
        <w:t>chang</w:t>
      </w:r>
      <w:r>
        <w:rPr>
          <w:highlight w:val="white"/>
        </w:rPr>
        <w:t>es to</w:t>
      </w:r>
      <w:r w:rsidRPr="00816E1D">
        <w:rPr>
          <w:highlight w:val="white"/>
        </w:rPr>
        <w:t xml:space="preserve"> parasite dynamics in the field </w:t>
      </w:r>
      <w:r>
        <w:rPr>
          <w:highlight w:val="white"/>
        </w:rPr>
        <w:t>may</w:t>
      </w:r>
      <w:r w:rsidRPr="00816E1D">
        <w:rPr>
          <w:highlight w:val="white"/>
        </w:rPr>
        <w:t xml:space="preserve"> subsequently shift vector gut microbial communities. </w:t>
      </w:r>
      <w:r>
        <w:t>Additional</w:t>
      </w:r>
      <w:r w:rsidRPr="00816E1D">
        <w:t xml:space="preserve"> studies are necessary to untangle the interactions between anthropogenic disturbance and disease vector gut microbial communities</w:t>
      </w:r>
      <w:r>
        <w:t>. A</w:t>
      </w:r>
      <w:r w:rsidRPr="00816E1D">
        <w:t xml:space="preserve"> more comprehensive understanding of these interactions may provide a basis for vector control and public health policies.</w:t>
      </w:r>
      <w:r>
        <w:t xml:space="preserve"> </w:t>
      </w:r>
      <w:r w:rsidRPr="00816E1D">
        <w:t xml:space="preserve">By further understanding how anthropogenic environmental disturbances can shape and shift these gut microbial communities, we can better predict the impacts on vector-borne disease </w:t>
      </w:r>
      <w:sdt>
        <w:sdtPr>
          <w:tag w:val="goog_rdk_38"/>
          <w:id w:val="-360592861"/>
        </w:sdtPr>
        <w:sdtContent/>
      </w:sdt>
      <w:r w:rsidRPr="00816E1D">
        <w:t>transmission.</w:t>
      </w:r>
    </w:p>
    <w:p w14:paraId="54CA5F21" w14:textId="77777777" w:rsidR="00BA51F4" w:rsidRPr="00816E1D" w:rsidRDefault="00BA51F4" w:rsidP="00BA51F4">
      <w:pPr>
        <w:spacing w:line="480" w:lineRule="auto"/>
        <w:ind w:firstLine="720"/>
      </w:pPr>
      <w:r>
        <w:t>W</w:t>
      </w:r>
      <w:r w:rsidRPr="00816E1D">
        <w:t xml:space="preserve">hile most studies of gut microbial communities of arthropod vectors of infectious disease </w:t>
      </w:r>
      <w:r>
        <w:t xml:space="preserve">have </w:t>
      </w:r>
      <w:r w:rsidRPr="00816E1D">
        <w:t xml:space="preserve">been conducted in controlled laboratories and experimental systems, there is limited research on how various environmental conditions </w:t>
      </w:r>
      <w:r>
        <w:t>affect</w:t>
      </w:r>
      <w:r w:rsidRPr="00816E1D">
        <w:t xml:space="preserve"> vector gut microbial communities in the wild.</w:t>
      </w:r>
      <w:r>
        <w:t xml:space="preserve"> </w:t>
      </w:r>
      <w:r w:rsidRPr="00816E1D">
        <w:t xml:space="preserve">In this study, we used a </w:t>
      </w:r>
      <w:r w:rsidRPr="003C47EB">
        <w:rPr>
          <w:i/>
          <w:iCs/>
        </w:rPr>
        <w:t>16S</w:t>
      </w:r>
      <w:r w:rsidRPr="00816E1D">
        <w:t xml:space="preserve"> rRNA metabarcoding approach to explore the gut bacterial communities of wild-caught </w:t>
      </w:r>
      <w:r w:rsidRPr="00B276DC">
        <w:rPr>
          <w:i/>
          <w:iCs/>
        </w:rPr>
        <w:t>R. pallescens</w:t>
      </w:r>
      <w:r w:rsidRPr="00816E1D">
        <w:t xml:space="preserve"> across a deforestation gradient in central Panama and analyzed the bacterial alpha (within sample) </w:t>
      </w:r>
      <w:r>
        <w:t xml:space="preserve">diversity </w:t>
      </w:r>
      <w:r w:rsidRPr="00816E1D">
        <w:t xml:space="preserve">and beta (between sample) composition and structure. The main objective of this study was to investigate associations between </w:t>
      </w:r>
      <w:r w:rsidRPr="00816E1D">
        <w:lastRenderedPageBreak/>
        <w:t>landscape-scale environmental variability, including habitat type and geographic region</w:t>
      </w:r>
      <w:r>
        <w:t xml:space="preserve"> variations</w:t>
      </w:r>
      <w:r w:rsidRPr="00816E1D">
        <w:t xml:space="preserve">, on vector gut microbial composition and </w:t>
      </w:r>
      <w:sdt>
        <w:sdtPr>
          <w:tag w:val="goog_rdk_39"/>
          <w:id w:val="373048536"/>
        </w:sdtPr>
        <w:sdtContent/>
      </w:sdt>
      <w:r w:rsidRPr="00816E1D">
        <w:t>diversity.</w:t>
      </w:r>
    </w:p>
    <w:p w14:paraId="72B0551E" w14:textId="77777777" w:rsidR="00BA51F4" w:rsidRDefault="00BA51F4" w:rsidP="00BA51F4">
      <w:pPr>
        <w:spacing w:line="480" w:lineRule="auto"/>
        <w:rPr>
          <w:b/>
          <w:sz w:val="28"/>
          <w:szCs w:val="28"/>
        </w:rPr>
      </w:pPr>
    </w:p>
    <w:p w14:paraId="71BE61D2" w14:textId="28C23957" w:rsidR="00BA51F4" w:rsidRPr="00F8544C" w:rsidRDefault="00BA51F4" w:rsidP="00BA51F4">
      <w:pPr>
        <w:spacing w:line="480" w:lineRule="auto"/>
        <w:rPr>
          <w:b/>
        </w:rPr>
      </w:pPr>
      <w:r>
        <w:rPr>
          <w:b/>
        </w:rPr>
        <w:t xml:space="preserve">3.3 </w:t>
      </w:r>
      <w:r w:rsidRPr="00F8544C">
        <w:rPr>
          <w:b/>
        </w:rPr>
        <w:t>Materials and Methods</w:t>
      </w:r>
    </w:p>
    <w:p w14:paraId="2FBBB44B" w14:textId="77777777" w:rsidR="00BA51F4" w:rsidRDefault="00BA51F4" w:rsidP="00BA51F4">
      <w:pPr>
        <w:spacing w:line="480" w:lineRule="auto"/>
      </w:pPr>
      <w:r w:rsidRPr="00816E1D">
        <w:rPr>
          <w:b/>
        </w:rPr>
        <w:t>Sampling efforts and insect collection</w:t>
      </w:r>
      <w:r>
        <w:rPr>
          <w:b/>
        </w:rPr>
        <w:t>.</w:t>
      </w:r>
      <w:r w:rsidRPr="00816E1D">
        <w:t xml:space="preserve"> </w:t>
      </w:r>
    </w:p>
    <w:p w14:paraId="4F007697" w14:textId="77777777" w:rsidR="00BA51F4" w:rsidRPr="00816E1D" w:rsidRDefault="00BA51F4" w:rsidP="00BA51F4">
      <w:pPr>
        <w:spacing w:line="480" w:lineRule="auto"/>
        <w:ind w:firstLine="720"/>
      </w:pPr>
      <w:r w:rsidRPr="00816E1D">
        <w:rPr>
          <w:i/>
        </w:rPr>
        <w:t>R</w:t>
      </w:r>
      <w:r>
        <w:rPr>
          <w:i/>
        </w:rPr>
        <w:t>hodnius</w:t>
      </w:r>
      <w:r w:rsidRPr="00816E1D">
        <w:rPr>
          <w:i/>
        </w:rPr>
        <w:t xml:space="preserve"> pallescens</w:t>
      </w:r>
      <w:r w:rsidRPr="00816E1D">
        <w:t xml:space="preserve"> (</w:t>
      </w:r>
      <w:r>
        <w:t xml:space="preserve">N = </w:t>
      </w:r>
      <w:r w:rsidRPr="00816E1D">
        <w:t xml:space="preserve">288) were opportunistically collected from 41 </w:t>
      </w:r>
      <w:r w:rsidRPr="00816E1D">
        <w:rPr>
          <w:i/>
        </w:rPr>
        <w:t>Attalea butyracea</w:t>
      </w:r>
      <w:r w:rsidRPr="00816E1D">
        <w:t xml:space="preserve"> palm crowns across central Panama using Noireau traps</w:t>
      </w:r>
      <w:r>
        <w:t xml:space="preserve"> </w:t>
      </w:r>
      <w:r>
        <w:rPr>
          <w:noProof/>
        </w:rPr>
        <w:t>(Noireau et al., 2002)</w:t>
      </w:r>
      <w:r w:rsidRPr="00816E1D">
        <w:t xml:space="preserve"> during the summer of 2017. The samples consisted of adults (</w:t>
      </w:r>
      <w:r>
        <w:t>N</w:t>
      </w:r>
      <w:r w:rsidRPr="00816E1D">
        <w:t xml:space="preserve"> =</w:t>
      </w:r>
      <w:r>
        <w:t xml:space="preserve"> </w:t>
      </w:r>
      <w:r w:rsidRPr="00816E1D">
        <w:t>54</w:t>
      </w:r>
      <w:r>
        <w:t>)</w:t>
      </w:r>
      <w:r w:rsidRPr="00816E1D">
        <w:t>, nymphal stage 5 (</w:t>
      </w:r>
      <w:r>
        <w:t xml:space="preserve">N = </w:t>
      </w:r>
      <w:r w:rsidRPr="00816E1D">
        <w:t>27), nymphal stage 4 (</w:t>
      </w:r>
      <w:r>
        <w:t xml:space="preserve">N = </w:t>
      </w:r>
      <w:r w:rsidRPr="00816E1D">
        <w:t>14), nymphal stage 3 (</w:t>
      </w:r>
      <w:r>
        <w:t xml:space="preserve">N = </w:t>
      </w:r>
      <w:r w:rsidRPr="00816E1D">
        <w:t>60), nymphal stage 2 (</w:t>
      </w:r>
      <w:r>
        <w:t xml:space="preserve">N = </w:t>
      </w:r>
      <w:r w:rsidRPr="00816E1D">
        <w:t>60), and nymphal stage 1 (</w:t>
      </w:r>
      <w:r>
        <w:t xml:space="preserve">N = </w:t>
      </w:r>
      <w:r w:rsidRPr="00816E1D">
        <w:t>74). These samples were collected from 3 regions, La Chorrera (8°52′49″N 79°47′0″W) and Capira (8°45′0″N 79°52′12″W)</w:t>
      </w:r>
      <w:r>
        <w:t>,</w:t>
      </w:r>
      <w:r w:rsidRPr="00816E1D">
        <w:t xml:space="preserve"> which are located in Panama Oeste province, and Santa Fe district (8°30′N 81°04′W), located in Veraguas province (Fig. 1). Among these, samples were collected in habitat types categorized as peridomestic (Capira (</w:t>
      </w:r>
      <w:r>
        <w:t xml:space="preserve">N = </w:t>
      </w:r>
      <w:r w:rsidRPr="00816E1D">
        <w:t>15), La Chorrera (</w:t>
      </w:r>
      <w:r>
        <w:t xml:space="preserve">N = </w:t>
      </w:r>
      <w:r w:rsidRPr="00816E1D">
        <w:t>57), Veraguas (n= 37)), pasture (Capira (</w:t>
      </w:r>
      <w:r>
        <w:t xml:space="preserve">N = </w:t>
      </w:r>
      <w:r w:rsidRPr="00816E1D">
        <w:t>54), La Chorrera (</w:t>
      </w:r>
      <w:r>
        <w:t xml:space="preserve">N = </w:t>
      </w:r>
      <w:r w:rsidRPr="00816E1D">
        <w:t>59), Veraguas (</w:t>
      </w:r>
      <w:r>
        <w:t xml:space="preserve">N </w:t>
      </w:r>
      <w:r w:rsidRPr="00816E1D">
        <w:t>= 51)), and forest remnants (Veraguas (</w:t>
      </w:r>
      <w:r>
        <w:t xml:space="preserve">N = </w:t>
      </w:r>
      <w:r w:rsidRPr="00816E1D">
        <w:t>28))</w:t>
      </w:r>
      <w:r>
        <w:t xml:space="preserve"> (Table S1)</w:t>
      </w:r>
      <w:r w:rsidRPr="00816E1D">
        <w:t xml:space="preserve">. Peridomestic palms were classified as palms found in yards or areas within 100 meters from a lodging, pasture palms were classified as cleared areas for cattle grazing, and forest remnants were classified as mid to late secondary forest </w:t>
      </w:r>
      <w:r>
        <w:t>patches</w:t>
      </w:r>
      <w:r w:rsidRPr="00816E1D">
        <w:t xml:space="preserve"> surrounded by land previously deforested for agriculture or cattle.</w:t>
      </w:r>
    </w:p>
    <w:p w14:paraId="5FD2546C" w14:textId="77777777" w:rsidR="00BA51F4" w:rsidRPr="00816E1D" w:rsidRDefault="00BA51F4" w:rsidP="00BA51F4">
      <w:pPr>
        <w:spacing w:line="480" w:lineRule="auto"/>
      </w:pPr>
    </w:p>
    <w:p w14:paraId="22FD9DB6" w14:textId="77777777" w:rsidR="00BA51F4" w:rsidRPr="00816E1D" w:rsidRDefault="00BA51F4" w:rsidP="00BA51F4">
      <w:pPr>
        <w:spacing w:line="480" w:lineRule="auto"/>
        <w:rPr>
          <w:b/>
        </w:rPr>
      </w:pPr>
      <w:r w:rsidRPr="00816E1D">
        <w:rPr>
          <w:b/>
        </w:rPr>
        <w:t>Sample preparation and DNA extraction</w:t>
      </w:r>
      <w:r>
        <w:rPr>
          <w:b/>
        </w:rPr>
        <w:t>.</w:t>
      </w:r>
    </w:p>
    <w:p w14:paraId="769806DC" w14:textId="4E57DFD6" w:rsidR="00BA51F4" w:rsidRPr="00816E1D" w:rsidRDefault="00BA51F4" w:rsidP="00BA51F4">
      <w:pPr>
        <w:spacing w:line="480" w:lineRule="auto"/>
        <w:ind w:firstLine="720"/>
      </w:pPr>
      <w:r w:rsidRPr="00816E1D">
        <w:t>After capture, each triatomine was placed in 70% ethanol and kept at 4˚C. The body surface of each individual was rinsed in sterile water, and then the mid</w:t>
      </w:r>
      <w:r>
        <w:t>gut</w:t>
      </w:r>
      <w:r w:rsidRPr="00816E1D">
        <w:t xml:space="preserve"> guts were dissected using sterile techniques. Between each dissection, forceps and scalpels were rinsed in 70% </w:t>
      </w:r>
      <w:r w:rsidRPr="00816E1D">
        <w:lastRenderedPageBreak/>
        <w:t xml:space="preserve">ethanol and then sterilized using a glass beads sterilizer. Each triatomine gut sample was macerated and digested overnight in digest ATL buffer with Proteinase K and extracted using phenol-chloroform-isoamyl alcohol. Extractions were reconstituted in TLE buffer (10 mM Tris, pH 8; 0.1 mM EDTA), and impurities were removed with Sera-Mag SpeedBeads™ (Thermo Fisher Scientific, Waltham, MA, USA; </w:t>
      </w:r>
      <w:r>
        <w:rPr>
          <w:noProof/>
        </w:rPr>
        <w:t>Faircloth and Glenn</w:t>
      </w:r>
      <w:r w:rsidR="004D225E">
        <w:rPr>
          <w:noProof/>
        </w:rPr>
        <w:fldChar w:fldCharType="begin"/>
      </w:r>
      <w:r w:rsidR="004D225E">
        <w:rPr>
          <w:noProof/>
        </w:rPr>
        <w:instrText xml:space="preserve"> ADDIN ZOTERO_ITEM CSL_CITATION {"citationID":"qsiIe1Z4","properties":{"formattedCitation":"\\super 27\\nosupersub{}","plainCitation":"27","noteIndex":0},"citationItems":[{"id":11252,"uris":["http://zotero.org/users/5535808/items/QGICALR7"],"itemData":{"id":11252,"type":"article-journal","abstract":"Ligating adapters with unique synthetic oligonucleotide sequences (sequence tags) onto individual DNA samples before massively parallel sequencing is a popular and efficient way to obtain sequence data from many individual samples. Tag sequences should be numerous and sufficiently different to ensure sequencing, replication, and oligonucleotide synthesis errors do not cause tags to be unrecoverable or confused. However, many design approaches only protect against substitution errors during sequencing and extant tag sets contain too few tag sequences. We developed an open-source software package to validate sequence tags for conformance to two distance metrics and design sequence tags robust to indel and substitution errors. We use this software package to evaluate several commercial and non-commercial sequence tag sets, design several large sets (maxcount = 7,198) of edit metric sequence tags having different lengths and degrees of error correction, and integrate a subset of these edit metric tags to polymerase chain reaction (PCR) primers and sequencing adapters. We validate a subset of these edit metric tagged PCR primers and sequencing adapters by sequencing on several platforms and subsequent comparison to commercially available alternatives. We find that several commonly used sets of sequence tags or design methodologies used to produce sequence tags do not meet the minimum expectations of their underlying distance metric, and we find that PCR primers and sequencing adapters incorporating edit metric sequence tags designed by our software package perform as well as their commercial counterparts. We suggest that researchers evaluate sequence tags prior to use or evaluate tags that they have been using. The sequence tag sets we design improve on extant sets because they are large, valid across the set, and robust to the suite of substitution, insertion, and deletion errors affecting massively parallel sequencing workflows on all currently used platforms.","container-title":"PLoS ONE","DOI":"10.1371/journal.pone.0042543","ISSN":"1932-6203","issue":"8","journalAbbreviation":"PLoS ONE","language":"en","page":"e42543","source":"DOI.org (Crossref)","title":"Not All Sequence Tags Are Created Equal: Designing and Validating Sequence Identification Tags Robust to Indels","title-short":"Not All Sequence Tags Are Created Equal","volume":"7","author":[{"family":"Faircloth","given":"Brant C."},{"family":"Glenn","given":"Travis C."}],"editor":[{"family":"Shiu","given":"Shin-Han"}],"issued":{"date-parts":[["2012",8,10]]}}}],"schema":"https://github.com/citation-style-language/schema/raw/master/csl-citation.json"} </w:instrText>
      </w:r>
      <w:r w:rsidR="004D225E">
        <w:rPr>
          <w:noProof/>
        </w:rPr>
        <w:fldChar w:fldCharType="separate"/>
      </w:r>
      <w:r w:rsidR="004D225E" w:rsidRPr="004D225E">
        <w:rPr>
          <w:rFonts w:cs="Times New Roman"/>
          <w:vertAlign w:val="superscript"/>
        </w:rPr>
        <w:t>27</w:t>
      </w:r>
      <w:r w:rsidR="004D225E">
        <w:rPr>
          <w:noProof/>
        </w:rPr>
        <w:fldChar w:fldCharType="end"/>
      </w:r>
      <w:r>
        <w:rPr>
          <w:noProof/>
        </w:rPr>
        <w:t>)</w:t>
      </w:r>
      <w:r w:rsidRPr="00816E1D">
        <w:t xml:space="preserve"> with a final reconstitution of 30 μL TLE. In addition, 14 negative samples were included during extractions, </w:t>
      </w:r>
      <w:r w:rsidRPr="00B276DC">
        <w:rPr>
          <w:i/>
          <w:iCs/>
        </w:rPr>
        <w:t>16S</w:t>
      </w:r>
      <w:r w:rsidRPr="00816E1D">
        <w:t xml:space="preserve"> </w:t>
      </w:r>
      <w:r w:rsidRPr="003F7DBB">
        <w:t>rRNA</w:t>
      </w:r>
      <w:r w:rsidRPr="00816E1D">
        <w:t xml:space="preserve"> amplification</w:t>
      </w:r>
      <w:r>
        <w:t>,</w:t>
      </w:r>
      <w:r w:rsidRPr="00816E1D">
        <w:t xml:space="preserve"> and library sequencing for a total of 307 samples. </w:t>
      </w:r>
    </w:p>
    <w:p w14:paraId="414C2B85" w14:textId="77777777" w:rsidR="00BA51F4" w:rsidRPr="00816E1D" w:rsidRDefault="00BA51F4" w:rsidP="00BA51F4">
      <w:pPr>
        <w:spacing w:line="480" w:lineRule="auto"/>
        <w:rPr>
          <w:b/>
          <w:i/>
        </w:rPr>
      </w:pPr>
    </w:p>
    <w:p w14:paraId="222E6210" w14:textId="77777777" w:rsidR="00BA51F4" w:rsidRPr="00816E1D" w:rsidRDefault="00BA51F4" w:rsidP="00BA51F4">
      <w:pPr>
        <w:spacing w:line="480" w:lineRule="auto"/>
        <w:rPr>
          <w:b/>
        </w:rPr>
      </w:pPr>
      <w:r w:rsidRPr="00816E1D">
        <w:rPr>
          <w:b/>
        </w:rPr>
        <w:t xml:space="preserve">DNA amplification, </w:t>
      </w:r>
      <w:r w:rsidRPr="00816E1D">
        <w:rPr>
          <w:b/>
          <w:i/>
        </w:rPr>
        <w:t>16S</w:t>
      </w:r>
      <w:r>
        <w:rPr>
          <w:b/>
          <w:i/>
        </w:rPr>
        <w:t>,</w:t>
      </w:r>
      <w:r w:rsidRPr="00816E1D">
        <w:rPr>
          <w:b/>
        </w:rPr>
        <w:t xml:space="preserve"> and </w:t>
      </w:r>
      <w:r w:rsidRPr="00816E1D">
        <w:rPr>
          <w:b/>
          <w:i/>
        </w:rPr>
        <w:t>12S</w:t>
      </w:r>
      <w:r w:rsidRPr="00816E1D">
        <w:rPr>
          <w:b/>
        </w:rPr>
        <w:t xml:space="preserve"> rRNA sequencing</w:t>
      </w:r>
      <w:r>
        <w:rPr>
          <w:b/>
        </w:rPr>
        <w:t>.</w:t>
      </w:r>
    </w:p>
    <w:p w14:paraId="6874C3FF" w14:textId="41917BCA" w:rsidR="00BA51F4" w:rsidRDefault="00BA51F4" w:rsidP="00BA51F4">
      <w:pPr>
        <w:spacing w:line="480" w:lineRule="auto"/>
        <w:ind w:firstLine="720"/>
      </w:pPr>
      <w:r w:rsidRPr="00816E1D">
        <w:t xml:space="preserve">We amplified bacterial </w:t>
      </w:r>
      <w:r w:rsidRPr="00816E1D">
        <w:rPr>
          <w:i/>
        </w:rPr>
        <w:t>16S</w:t>
      </w:r>
      <w:r w:rsidRPr="00816E1D">
        <w:t xml:space="preserve"> rRNA DNA using the S-D-Bact-0341-b-S-17 (5′-CCT ACG GGN GGC WGC AG-3′) forward and S-D-Bact-0785-a-A-21 (5′-GAC TAC HVG GGT ATC TAA TCC-3′) reverse primer pair following the protocol from Kieran et al.</w:t>
      </w:r>
      <w:r w:rsidR="004D225E">
        <w:fldChar w:fldCharType="begin"/>
      </w:r>
      <w:r w:rsidR="004D225E">
        <w:instrText xml:space="preserve"> ADDIN ZOTERO_ITEM CSL_CITATION {"citationID":"rUMSfVaA","properties":{"formattedCitation":"\\super 28\\nosupersub{}","plainCitation":"28","noteIndex":0},"citationItems":[{"id":11845,"uris":["http://zotero.org/users/5535808/items/AJ5NM3HI"],"itemData":{"id":11845,"type":"article-journal","abstract":"Background:  Triatomine bugs are vectors of the protozoan parasite Trypanosoma cruzi, which causes Chagas disease. Rhodnius pallescens is a major vector of Chagas disease in Panama. Understanding the microbial ecology of disease vectors is important in the development of vector management strategies that target vector survival and fitness. In this study we examined the whole-body microbial composition of R. pallescens from three locations in Panama.\nMethods:  We collected 89 R. pallescens specimens using Noireau traps in Attalea butyracea palms. We then extracted total DNA from whole-bodies of specimens and amplified bacterial microbiota using 16S rRNA metabarcoding PCR. The 16S libraries were sequenced on an Illumina MiSeq and analyzed using QIIME2 software.\nResults:  We found Proteobacteria, Actinobacteria, Bacteroidetes and Firmicutes to be the most abundant bacterial phyla across all samples. Geographical location showed the largest difference in microbial composition with northern Veraguas Province having the most diversity and Panama Oeste Province localities being most similar to each other. Wolbachia was detected in high abundance (48–72%) at Panama Oeste area localities with a complete absence of detection in Veraguas Province. No significant differences in microbial composition were detected between triatomine age class, primary blood meal source, or T. cruzi infection status.\nConclusions:  We found biogeographical regions differ in microbial composition among R. pallescens populations in Panama. While overall the microbiota has bacterial taxa consistent with previous studies in triatomine microbial ecology, locality differences are an important observation for future studies. Geographical heterogeneity in microbiomes of vectors is an important consideration for future developments that leverage microbiomes for disease control.","container-title":"Parasites &amp; Vectors","DOI":"10.1186/s13071-019-3761-8","ISSN":"1756-3305","issue":"1","journalAbbreviation":"Parasites Vectors","language":"en","page":"504","source":"DOI.org (Crossref)","title":"Regional biogeography of microbiota composition in the Chagas disease vector Rhodnius pallescens","volume":"12","author":[{"family":"Kieran","given":"Troy J."},{"family":"Arnold","given":"Kaylee M. H."},{"family":"Thomas","given":"Jesse C."},{"family":"Varian","given":"Christina P."},{"family":"Saldaña","given":"Azael"},{"family":"Calzada","given":"Jose E."},{"family":"Glenn","given":"Travis C."},{"family":"Gottdenker","given":"Nicole L."}],"issued":{"date-parts":[["2019",12]]}}}],"schema":"https://github.com/citation-style-language/schema/raw/master/csl-citation.json"} </w:instrText>
      </w:r>
      <w:r w:rsidR="004D225E">
        <w:fldChar w:fldCharType="separate"/>
      </w:r>
      <w:r w:rsidR="004D225E" w:rsidRPr="004D225E">
        <w:rPr>
          <w:rFonts w:cs="Times New Roman"/>
          <w:vertAlign w:val="superscript"/>
        </w:rPr>
        <w:t>28</w:t>
      </w:r>
      <w:r w:rsidR="004D225E">
        <w:fldChar w:fldCharType="end"/>
      </w:r>
      <w:r w:rsidRPr="00816E1D">
        <w:t xml:space="preserve">. Blood meal DNA was amplified </w:t>
      </w:r>
      <w:r>
        <w:t xml:space="preserve">in </w:t>
      </w:r>
      <w:r w:rsidRPr="00816E1D">
        <w:t xml:space="preserve">the samples using </w:t>
      </w:r>
      <w:r w:rsidRPr="00816E1D">
        <w:rPr>
          <w:i/>
        </w:rPr>
        <w:t>12S</w:t>
      </w:r>
      <w:r w:rsidRPr="00816E1D">
        <w:t xml:space="preserve"> rRNA </w:t>
      </w:r>
      <w:r>
        <w:t>gene-specific</w:t>
      </w:r>
      <w:r w:rsidRPr="00816E1D">
        <w:t xml:space="preserve"> primers for vertebrates following the protocol from Kieran et al.</w:t>
      </w:r>
      <w:r w:rsidR="004D225E">
        <w:fldChar w:fldCharType="begin"/>
      </w:r>
      <w:r w:rsidR="004A72E7">
        <w:instrText xml:space="preserve"> ADDIN ZOTERO_ITEM CSL_CITATION {"citationID":"UTUGHUIu","properties":{"formattedCitation":"\\super 29\\nosupersub{}","plainCitation":"29","noteIndex":0},"citationItems":[{"id":1450,"uris":["http://zotero.org/users/5535808/items/8TKXNMYN"],"itemData":{"id":1450,"type":"article-journal","abstract":"Accurate blood meal identification is critical to understand hematophagous vector-host relationships. This study describes a customizable Next-Generation Sequencing (NGS) approach to identify blood meals from Rhodnius pallescens (Hemiptera: Reduviidae) triatomines using multiple barcoded primers and existing software to pick operational taxonomic units and match sequences for blood meal identification. We precisely identified all positive control samples using this method and further examined 74 wild-caught R. pallescens samples. With this novel blood meal identification method, we detected 13 vertebrate species in the blood meals, as well as single and multiple blood meals in individual bugs. Our results demonstrate the reliability and descriptive uses of our method.","container-title":"Journal of Medical Entomology","DOI":"10.1093/jme/tjx170","ISSN":"0022-2585, 1938-2928","issue":"6","language":"en","page":"1786-1789","source":"Crossref","title":"Blood Meal Source Characterization Using Illumina Sequencing in the Chagas Disease Vector Rhodnius pallescens (Hemiptera: Reduviidae) in Panamá","title-short":"Blood Meal Source Characterization Using Illumina Sequencing in the Chagas Disease Vector Rhodnius pallescens (Hemiptera","volume":"54","author":[{"family":"Kieran","given":"Troy J"},{"family":"Gottdenker","given":"Nicole L"},{"family":"Varian","given":"Christina P"},{"family":"Saldaña","given":"Azael"},{"family":"Means","given":"Nicolas"},{"family":"Owens","given":"Darlisha"},{"family":"Calzada","given":"Jose E"},{"family":"Glenn","given":"Travis C"}],"issued":{"date-parts":[["2017",11,7]]}}}],"schema":"https://github.com/citation-style-language/schema/raw/master/csl-citation.json"} </w:instrText>
      </w:r>
      <w:r w:rsidR="004D225E">
        <w:fldChar w:fldCharType="separate"/>
      </w:r>
      <w:r w:rsidR="004A72E7" w:rsidRPr="004A72E7">
        <w:rPr>
          <w:rFonts w:cs="Times New Roman"/>
          <w:vertAlign w:val="superscript"/>
        </w:rPr>
        <w:t>29</w:t>
      </w:r>
      <w:r w:rsidR="004D225E">
        <w:fldChar w:fldCharType="end"/>
      </w:r>
      <w:r w:rsidRPr="00816E1D">
        <w:t xml:space="preserve">. All libraries were sent to the Georgia Genomics and Bioinformatics Core (http://dna.uga.edu) for sequencing on an Illumina MiSeq using a v3 PE300 kit (Illumina, San Diego, CA, USA). </w:t>
      </w:r>
    </w:p>
    <w:p w14:paraId="628FF2B7" w14:textId="77777777" w:rsidR="00BA51F4" w:rsidRPr="00816E1D" w:rsidRDefault="00BA51F4" w:rsidP="00BA51F4">
      <w:pPr>
        <w:spacing w:line="480" w:lineRule="auto"/>
        <w:ind w:firstLine="720"/>
        <w:rPr>
          <w:b/>
          <w:i/>
        </w:rPr>
      </w:pPr>
    </w:p>
    <w:p w14:paraId="475F3198" w14:textId="77777777" w:rsidR="00BA51F4" w:rsidRDefault="00BA51F4" w:rsidP="00BA51F4">
      <w:pPr>
        <w:spacing w:line="480" w:lineRule="auto"/>
      </w:pPr>
      <w:r w:rsidRPr="00816E1D">
        <w:rPr>
          <w:b/>
        </w:rPr>
        <w:t>Bioinformatic processing</w:t>
      </w:r>
      <w:r>
        <w:rPr>
          <w:b/>
        </w:rPr>
        <w:t>.</w:t>
      </w:r>
    </w:p>
    <w:p w14:paraId="29FE6944" w14:textId="46171A1F" w:rsidR="00BA51F4" w:rsidRDefault="00BA51F4" w:rsidP="00BA51F4">
      <w:pPr>
        <w:spacing w:line="480" w:lineRule="auto"/>
        <w:ind w:firstLine="720"/>
      </w:pPr>
      <w:r w:rsidRPr="00816E1D">
        <w:t>Amplicon indices were demultiplexed</w:t>
      </w:r>
      <w:r w:rsidRPr="00816E1D">
        <w:rPr>
          <w:b/>
          <w:i/>
        </w:rPr>
        <w:t xml:space="preserve"> </w:t>
      </w:r>
      <w:r w:rsidRPr="00816E1D">
        <w:t>using Mr. Demuxy 1.20 (https://pypi.org/project/Mr_Demuxy/)</w:t>
      </w:r>
      <w:r>
        <w:t>,</w:t>
      </w:r>
      <w:r w:rsidRPr="00816E1D">
        <w:t xml:space="preserve"> and the resulting files were imported into Q</w:t>
      </w:r>
      <w:r>
        <w:t>IIME</w:t>
      </w:r>
      <w:r w:rsidRPr="00816E1D">
        <w:t>2 v.</w:t>
      </w:r>
      <w:r>
        <w:t xml:space="preserve"> </w:t>
      </w:r>
      <w:r w:rsidRPr="00816E1D">
        <w:t>2022.2</w:t>
      </w:r>
      <w:r w:rsidR="004A72E7">
        <w:fldChar w:fldCharType="begin"/>
      </w:r>
      <w:r w:rsidR="004A72E7">
        <w:instrText xml:space="preserve"> ADDIN ZOTERO_ITEM CSL_CITATION {"citationID":"05mreSlC","properties":{"formattedCitation":"\\super 30\\nosupersub{}","plainCitation":"30","noteIndex":0},"citationItems":[{"id":2128,"uris":["http://zotero.org/users/5535808/items/KQI5PUTL"],"itemData":{"id":2128,"type":"article-journal","container-title":"Nature Biotechnology","DOI":"10.1038/s41587-019-0209-9","ISSN":"1087-0156, 1546-1696","issue":"8","language":"en","page":"852-857","source":"Crossref","title":"Reproducible,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4A72E7">
        <w:fldChar w:fldCharType="separate"/>
      </w:r>
      <w:r w:rsidR="004A72E7" w:rsidRPr="004A72E7">
        <w:rPr>
          <w:rFonts w:cs="Times New Roman"/>
          <w:vertAlign w:val="superscript"/>
        </w:rPr>
        <w:t>30</w:t>
      </w:r>
      <w:r w:rsidR="004A72E7">
        <w:fldChar w:fldCharType="end"/>
      </w:r>
      <w:r>
        <w:t>.</w:t>
      </w:r>
      <w:r w:rsidRPr="00816E1D">
        <w:t xml:space="preserve"> </w:t>
      </w:r>
      <w:r>
        <w:t>U</w:t>
      </w:r>
      <w:r w:rsidRPr="00816E1D">
        <w:t xml:space="preserve">sing the </w:t>
      </w:r>
      <w:r>
        <w:t xml:space="preserve">QIIME2 </w:t>
      </w:r>
      <w:r w:rsidRPr="00816E1D">
        <w:t xml:space="preserve">plugin </w:t>
      </w:r>
      <w:r w:rsidRPr="002E77C7">
        <w:rPr>
          <w:i/>
          <w:iCs/>
        </w:rPr>
        <w:t>q2-</w:t>
      </w:r>
      <w:r w:rsidRPr="003072B3">
        <w:rPr>
          <w:i/>
          <w:iCs/>
        </w:rPr>
        <w:t>cutadapt</w:t>
      </w:r>
      <w:r w:rsidR="004A72E7">
        <w:fldChar w:fldCharType="begin"/>
      </w:r>
      <w:r w:rsidR="004A72E7">
        <w:instrText xml:space="preserve"> ADDIN ZOTERO_ITEM CSL_CITATION {"citationID":"7sF15zD7","properties":{"formattedCitation":"\\super 31\\nosupersub{}","plainCitation":"31","noteIndex":0},"citationItems":[{"id":1960,"uris":["http://zotero.org/users/5535808/items/M9SJUDMB"],"itemData":{"id":1960,"type":"document","abstract":"When small RNA is sequenced on current sequencing ma- 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data.\nAs an easy-to-use alternative, we developed the com- mand-line tool cutadapt, which supports 454, Illumina and SOLiD (colour space) data, offers two adapter trim- ming algorithms, and has other useful features.\nCutadapt, including its MIT-licensed source code, is availa- ble for download at http://code.google.com/p/cutadapt/.","publisher":"EMBnet.journal","title":"Cutadapt removes adapter sequences from high-throughput sequencing reads","author":[{"family":"Martin","given":"Marcel"}],"issued":{"date-parts":[["2011"]]}}}],"schema":"https://github.com/citation-style-language/schema/raw/master/csl-citation.json"} </w:instrText>
      </w:r>
      <w:r w:rsidR="004A72E7">
        <w:fldChar w:fldCharType="separate"/>
      </w:r>
      <w:r w:rsidR="004A72E7" w:rsidRPr="004A72E7">
        <w:rPr>
          <w:rFonts w:cs="Times New Roman"/>
          <w:vertAlign w:val="superscript"/>
        </w:rPr>
        <w:t>31</w:t>
      </w:r>
      <w:r w:rsidR="004A72E7">
        <w:fldChar w:fldCharType="end"/>
      </w:r>
      <w:r>
        <w:t>,</w:t>
      </w:r>
      <w:r w:rsidRPr="00816E1D">
        <w:t xml:space="preserve"> </w:t>
      </w:r>
      <w:r>
        <w:t>p</w:t>
      </w:r>
      <w:r w:rsidRPr="00816E1D">
        <w:t xml:space="preserve">rimers were trimmed, paired, and reads were merged. The quality of the sequences </w:t>
      </w:r>
      <w:r w:rsidR="001E15B5">
        <w:t>was</w:t>
      </w:r>
      <w:r w:rsidRPr="00816E1D">
        <w:t xml:space="preserve"> verified, the sequences were filtered, and any chimera sequences were removed using the QIIME2 plugin </w:t>
      </w:r>
      <w:r w:rsidRPr="00796246">
        <w:rPr>
          <w:i/>
          <w:iCs/>
        </w:rPr>
        <w:t>q2-demux</w:t>
      </w:r>
      <w:r>
        <w:rPr>
          <w:i/>
          <w:iCs/>
        </w:rPr>
        <w:t>,</w:t>
      </w:r>
      <w:r>
        <w:t xml:space="preserve"> followed by denoising with </w:t>
      </w:r>
      <w:r w:rsidRPr="00816E1D">
        <w:lastRenderedPageBreak/>
        <w:t>DADA2</w:t>
      </w:r>
      <w:r>
        <w:t xml:space="preserve"> via the </w:t>
      </w:r>
      <w:r w:rsidRPr="00796246">
        <w:rPr>
          <w:i/>
          <w:iCs/>
        </w:rPr>
        <w:t>q2-dada2</w:t>
      </w:r>
      <w:r>
        <w:t xml:space="preserve"> plugin</w:t>
      </w:r>
      <w:r w:rsidR="001E15B5">
        <w:fldChar w:fldCharType="begin"/>
      </w:r>
      <w:r w:rsidR="00D92AA8">
        <w:instrText xml:space="preserve"> ADDIN ZOTERO_ITEM CSL_CITATION {"citationID":"YDhXqeZU","properties":{"formattedCitation":"\\super 32\\nosupersub{}","plainCitation":"32","noteIndex":0},"citationItems":[{"id":1428,"uris":["http://zotero.org/users/5535808/items/JQL669PL"],"itemData":{"id":1428,"type":"article-journal","abstract":"We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 1548-7105","issue":"7","language":"en","page":"581-583","source":"Crossref","title":"DADA2: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1E15B5">
        <w:fldChar w:fldCharType="separate"/>
      </w:r>
      <w:r w:rsidR="00D92AA8" w:rsidRPr="00D92AA8">
        <w:rPr>
          <w:rFonts w:cs="Times New Roman"/>
          <w:vertAlign w:val="superscript"/>
        </w:rPr>
        <w:t>32</w:t>
      </w:r>
      <w:r w:rsidR="001E15B5">
        <w:fldChar w:fldCharType="end"/>
      </w:r>
      <w:r w:rsidRPr="00816E1D">
        <w:t xml:space="preserve"> </w:t>
      </w:r>
      <w:r>
        <w:rPr>
          <w:noProof/>
        </w:rPr>
        <w:t>(Callahan et al., 2016)</w:t>
      </w:r>
      <w:r>
        <w:t xml:space="preserve"> to a final set of amplicon sequence variants (ASVs). All </w:t>
      </w:r>
      <w:r w:rsidRPr="00816E1D">
        <w:t>ASV</w:t>
      </w:r>
      <w:r>
        <w:t>s</w:t>
      </w:r>
      <w:r w:rsidRPr="00816E1D">
        <w:t xml:space="preserve"> </w:t>
      </w:r>
      <w:r>
        <w:t>were</w:t>
      </w:r>
      <w:r w:rsidRPr="00816E1D">
        <w:t xml:space="preserve"> </w:t>
      </w:r>
      <w:r>
        <w:t xml:space="preserve">aligned using mafft via the </w:t>
      </w:r>
      <w:r w:rsidRPr="00796246">
        <w:rPr>
          <w:i/>
          <w:iCs/>
        </w:rPr>
        <w:t>q2-alignment</w:t>
      </w:r>
      <w:r>
        <w:t xml:space="preserve"> plugin</w:t>
      </w:r>
      <w:r w:rsidR="00D92AA8">
        <w:fldChar w:fldCharType="begin"/>
      </w:r>
      <w:r w:rsidR="009F2F29">
        <w:instrText xml:space="preserve"> ADDIN ZOTERO_ITEM CSL_CITATION {"citationID":"tBGy07Iw","properties":{"formattedCitation":"\\super 33\\nosupersub{}","plainCitation":"33","noteIndex":0},"citationItems":[{"id":11432,"uris":["http://zotero.org/users/5535808/items/MDWYVJUT"],"itemData":{"id":11432,"type":"article-journal","abstract":"A multiple sequence alignment program, MAFFT, has been developed. The CPU time is drastically reduced as compared with existing methods. MAFFT includes two novel techniques. (i) Homologous regions are rapidly identi®ed by the fast Fourier transform (FFT), in which an amino acid sequence is converted to a sequence composed of volume and polarity values of each amino acid residue. (ii) We propose a simpli®ed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sacri®cing the accuracy.","container-title":"Nucleic Acids Research","DOI":"10.1093/nar/gkf436","ISSN":"13624962","issue":"14","language":"en","page":"3059-3066","source":"DOI.org (Crossref)","title":"MAFFT: a novel method for rapid multiple sequence alignment based on fast Fourier transform","title-short":"MAFFT","volume":"30","author":[{"family":"Katoh","given":"K."}],"issued":{"date-parts":[["2002",7,15]]}}}],"schema":"https://github.com/citation-style-language/schema/raw/master/csl-citation.json"} </w:instrText>
      </w:r>
      <w:r w:rsidR="00D92AA8">
        <w:fldChar w:fldCharType="separate"/>
      </w:r>
      <w:r w:rsidR="009F2F29" w:rsidRPr="009F2F29">
        <w:rPr>
          <w:rFonts w:cs="Times New Roman"/>
          <w:vertAlign w:val="superscript"/>
        </w:rPr>
        <w:t>33</w:t>
      </w:r>
      <w:r w:rsidR="00D92AA8">
        <w:fldChar w:fldCharType="end"/>
      </w:r>
      <w:r>
        <w:t xml:space="preserve"> </w:t>
      </w:r>
      <w:r w:rsidRPr="002C3383">
        <w:t xml:space="preserve">and </w:t>
      </w:r>
      <w:r>
        <w:t xml:space="preserve">then </w:t>
      </w:r>
      <w:r w:rsidRPr="002C3383">
        <w:t>used to construct a phylogeny with fasttree2</w:t>
      </w:r>
      <w:r>
        <w:t xml:space="preserve"> via the </w:t>
      </w:r>
      <w:r w:rsidRPr="00796246">
        <w:rPr>
          <w:i/>
          <w:iCs/>
        </w:rPr>
        <w:t xml:space="preserve">q2-phylogeny </w:t>
      </w:r>
      <w:r>
        <w:t>plugin</w:t>
      </w:r>
      <w:r w:rsidR="009F2F29">
        <w:fldChar w:fldCharType="begin"/>
      </w:r>
      <w:r w:rsidR="00617D92">
        <w:instrText xml:space="preserve"> ADDIN ZOTERO_ITEM CSL_CITATION {"citationID":"Avmm964N","properties":{"formattedCitation":"\\super 34\\nosupersub{}","plainCitation":"34","noteIndex":0},"citationItems":[{"id":1966,"uris":["http://zotero.org/users/5535808/items/LMWNR74N"],"itemData":{"id":1966,"type":"article-journal","abstract":"Background: We recently described FastTree, a tool for inferring phylogenies for alignments with up to hundreds of thousands of sequences. Here, we describe improvements to FastTree that improve its accuracy without sacrificing scalability.\nMethodology/Principal Findings: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memory.\nConclusions/Significance: FastTree 2 allows the inference of maximum-likelihood phylogenies for huge alignments. FastTree 2 is freely available at http://www.microbesonline.org/fasttree.","container-title":"PLoS ONE","DOI":"10.1371/journal.pone.0009490","ISSN":"1932-6203","issue":"3","language":"en","page":"e9490","source":"Crossref","title":"FastTree 2 – Approximately Maximum-Likelihood Trees for Large Alignments","volume":"5","author":[{"family":"Price","given":"Morgan N."},{"family":"Dehal","given":"Paramvir S."},{"family":"Arkin","given":"Adam P."}],"editor":[{"family":"Poon","given":"Art F. Y."}],"issued":{"date-parts":[["2010",3,10]]}}}],"schema":"https://github.com/citation-style-language/schema/raw/master/csl-citation.json"} </w:instrText>
      </w:r>
      <w:r w:rsidR="009F2F29">
        <w:fldChar w:fldCharType="separate"/>
      </w:r>
      <w:r w:rsidR="00617D92" w:rsidRPr="00617D92">
        <w:rPr>
          <w:rFonts w:cs="Times New Roman"/>
          <w:vertAlign w:val="superscript"/>
        </w:rPr>
        <w:t>34</w:t>
      </w:r>
      <w:r w:rsidR="009F2F29">
        <w:fldChar w:fldCharType="end"/>
      </w:r>
      <w:r>
        <w:t>. T</w:t>
      </w:r>
      <w:r w:rsidRPr="00816E1D">
        <w:t xml:space="preserve">axonomy </w:t>
      </w:r>
      <w:r>
        <w:t xml:space="preserve">was assigned the </w:t>
      </w:r>
      <w:r w:rsidRPr="00796246">
        <w:rPr>
          <w:i/>
          <w:iCs/>
        </w:rPr>
        <w:t>q2-feature-classifier</w:t>
      </w:r>
      <w:r>
        <w:rPr>
          <w:i/>
          <w:iCs/>
        </w:rPr>
        <w:t xml:space="preserve"> </w:t>
      </w:r>
      <w:r>
        <w:t>plugin</w:t>
      </w:r>
      <w:r w:rsidR="00617D92">
        <w:fldChar w:fldCharType="begin"/>
      </w:r>
      <w:r w:rsidR="00617D92">
        <w:instrText xml:space="preserve"> ADDIN ZOTERO_ITEM CSL_CITATION {"citationID":"T05ATe8n","properties":{"formattedCitation":"\\super 35\\nosupersub{}","plainCitation":"35","noteIndex":0},"citationItems":[{"id":11441,"uris":["http://zotero.org/users/5535808/items/ZHYM72EA"],"itemData":{"id":11441,"type":"article-journal","abstract":"Taxonomic classification of marker-gene sequences is an important step in microbiome analysis.","container-title":"Microbiome","DOI":"10.1186/s40168-018-0470-z","ISSN":"2049-2618","issue":"1","journalAbbreviation":"Microbiome","page":"90","source":"BioMed Central","title":"Optimizing taxonomic classification of marker-gene amplicon sequences with QIIME 2’s q2-feature-classifier plugin","volume":"6","author":[{"family":"Bokulich","given":"Nicholas A."},{"family":"Kaehler","given":"Benjamin D."},{"family":"Rideout","given":"Jai Ram"},{"family":"Dillon","given":"Matthew"},{"family":"Bolyen","given":"Evan"},{"family":"Knight","given":"Rob"},{"family":"Huttley","given":"Gavin A."},{"family":"Gregory Caporaso","given":"J."}],"issued":{"date-parts":[["2018",5,17]]}}}],"schema":"https://github.com/citation-style-language/schema/raw/master/csl-citation.json"} </w:instrText>
      </w:r>
      <w:r w:rsidR="00617D92">
        <w:fldChar w:fldCharType="separate"/>
      </w:r>
      <w:r w:rsidR="00617D92" w:rsidRPr="00617D92">
        <w:rPr>
          <w:rFonts w:cs="Times New Roman"/>
          <w:vertAlign w:val="superscript"/>
        </w:rPr>
        <w:t>35</w:t>
      </w:r>
      <w:r w:rsidR="00617D92">
        <w:fldChar w:fldCharType="end"/>
      </w:r>
      <w:r>
        <w:t xml:space="preserve"> against </w:t>
      </w:r>
      <w:r w:rsidRPr="00816E1D">
        <w:t>the Naive Bayes classifier Geengenes 13_8 99% OTUs</w:t>
      </w:r>
      <w:r w:rsidR="00617D92">
        <w:fldChar w:fldCharType="begin"/>
      </w:r>
      <w:r w:rsidR="00660780">
        <w:instrText xml:space="preserve"> ADDIN ZOTERO_ITEM CSL_CITATION {"citationID":"rYdxItHw","properties":{"formattedCitation":"\\super 36\\nosupersub{}","plainCitation":"36","noteIndex":0},"citationItems":[{"id":11437,"uris":["http://zotero.org/users/5535808/items/9X3IRF26"],"itemData":{"id":11437,"type":"article-journal","abstract":"Reference phylogenies are crucial for providing a taxonomic framework for interpretation of marker gene and metagenomic surveys, which continue to reveal novel species at a remarkable rate. Greengenes is a dedicated full-length 16S rRNA gene database that provides users with a curated taxonomy based on de novo tree inference. We developed a ‘taxonomy to tree’ approach for transferring group names from an existing taxonomy to a tree topology, and used it to apply the Greengenes, National Center for Biotechnology Information (NCBI) and cyanoDB (Cyanobacteria only) taxonomies to a de novo tree comprising 408 315 sequences. We also incorporated explicit rank information provided by the NCBI taxonomy to group names (by prefixing rank designations) for better user orientation and classification consistency. The resulting merged taxonomy improved the classification of 75% of the sequences by one or more ranks relative to the original NCBI taxonomy with the most pronounced improvements occurring in under-classified environmental sequences. We also assessed candidate phyla (divisions) currently defined by NCBI and present recommendations for consolidation of 34 redundantly named groups. All intermediate results from the pipeline, which includes tree inference, jackknifing and transfer of a donor taxonomy to a recipient tree (tax2tree) are available for download. The improved Greengenes taxonomy should provide important infrastructure for a wide range of megasequencing projects studying ecosystems on scales ranging from our own bodies (the Human Microbiome Project) to the entire planet (the Earth Microbiome Project). The implementation of the software can be obtained from http://sourceforge.net/projects/tax2tree/.","container-title":"The ISME Journal","DOI":"10.1038/ismej.2011.139","ISSN":"1751-7370","issue":"3","journalAbbreviation":"ISME J","language":"en","license":"2012 The Author(s)","note":"number: 3\npublisher: Nature Publishing Group","page":"610-618","source":"www.nature.com","title":"An improved Greengenes taxonomy with explicit ranks for ecological and evolutionary analyses of bacteria and archaea","volume":"6","author":[{"family":"McDonald","given":"Daniel"},{"family":"Price","given":"Morgan N."},{"family":"Goodrich","given":"Julia"},{"family":"Nawrocki","given":"Eric P."},{"family":"DeSantis","given":"Todd Z."},{"family":"Probst","given":"Alexander"},{"family":"Andersen","given":"Gary L."},{"family":"Knight","given":"Rob"},{"family":"Hugenholtz","given":"Philip"}],"issued":{"date-parts":[["2012",3]]}}}],"schema":"https://github.com/citation-style-language/schema/raw/master/csl-citation.json"} </w:instrText>
      </w:r>
      <w:r w:rsidR="00617D92">
        <w:fldChar w:fldCharType="separate"/>
      </w:r>
      <w:r w:rsidR="00660780" w:rsidRPr="00660780">
        <w:rPr>
          <w:rFonts w:cs="Times New Roman"/>
          <w:vertAlign w:val="superscript"/>
        </w:rPr>
        <w:t>36</w:t>
      </w:r>
      <w:r w:rsidR="00617D92">
        <w:fldChar w:fldCharType="end"/>
      </w:r>
      <w:r>
        <w:t xml:space="preserve"> </w:t>
      </w:r>
      <w:r w:rsidRPr="00816E1D">
        <w:t xml:space="preserve">that was trained on this sample dataset. </w:t>
      </w:r>
      <w:r>
        <w:t>We filtered out non-bacterial sequences (i.e., c</w:t>
      </w:r>
      <w:r w:rsidRPr="00816E1D">
        <w:t>hloroplast</w:t>
      </w:r>
      <w:r>
        <w:t xml:space="preserve"> and</w:t>
      </w:r>
      <w:r w:rsidRPr="00816E1D">
        <w:t xml:space="preserve"> mitochondria</w:t>
      </w:r>
      <w:r>
        <w:t>)</w:t>
      </w:r>
      <w:r w:rsidRPr="00816E1D">
        <w:t xml:space="preserve"> and Wolbachia sequences</w:t>
      </w:r>
      <w:r w:rsidRPr="00816E1D">
        <w:rPr>
          <w:rFonts w:eastAsia="Gungsuh"/>
        </w:rPr>
        <w:t>. QIIME v</w:t>
      </w:r>
      <w:r>
        <w:rPr>
          <w:rFonts w:eastAsia="Gungsuh"/>
        </w:rPr>
        <w:t xml:space="preserve">. </w:t>
      </w:r>
      <w:r w:rsidRPr="00816E1D">
        <w:rPr>
          <w:rFonts w:eastAsia="Gungsuh"/>
        </w:rPr>
        <w:t>1.9</w:t>
      </w:r>
      <w:r w:rsidR="00660780">
        <w:rPr>
          <w:rFonts w:eastAsia="Gungsuh"/>
        </w:rPr>
        <w:fldChar w:fldCharType="begin"/>
      </w:r>
      <w:r w:rsidR="00660780">
        <w:rPr>
          <w:rFonts w:eastAsia="Gungsuh"/>
        </w:rPr>
        <w:instrText xml:space="preserve"> ADDIN ZOTERO_ITEM CSL_CITATION {"citationID":"YNFMJjf5","properties":{"formattedCitation":"\\super 37\\nosupersub{}","plainCitation":"37","noteIndex":0},"citationItems":[{"id":9719,"uris":["http://zotero.org/users/5535808/items/R8A7LAH6"],"itemData":{"id":9719,"type":"article-journal","abstract":"The ongoing revolution in high-throughput sequencing continues to democratize the ability of small groups of investigators to map the microbial component of the biosphere. In particular, the coevolution of new sequencing platforms and new software tools allows data acquisition and analysis on an unprecedented scale. Here we report the next stage in this coevolutionary arms race, using the Illumina GAIIx platform to sequence a diverse array of 25 environmental samples and three known \"mock communities\" at a depth averaging 3.1 million reads per sample. We demonstrate excellent consistency in taxonomic recovery and recapture diversity patterns that were previously reported on the basis of metaanalysis of many studies from the literature (notably, the saline/nonsaline split in environmental samples and the split between host-associated and free-living communities). We also demonstrate that 2,000 Illumina single-end reads are sufficient to recapture the same relationships among samples that we observe with the full dataset. The results thus open up the possibility of conducting large-scale studies analyzing thousands of samples simultaneously to survey microbial communities at an unprecedented spatial and temporal resolution.","container-title":"Proceedings of the National Academy of Sciences","DOI":"10.1073/pnas.1000080107","ISSN":"0027-8424","issue":"Supplement_1","page":"4516-4522","title":"Global patterns of 16S rRNA diversity at a depth of millions of sequences per sample","volume":"108","author":[{"family":"Caporaso","given":"J. G."},{"family":"Lauber","given":"C. L."},{"family":"Walters","given":"W. A."},{"family":"Berg-Lyons","given":"D."},{"family":"Lozupone","given":"C. A."},{"family":"Turnbaugh","given":"P. J."},{"family":"Fierer","given":"N."},{"family":"Knight","given":"R."}],"issued":{"date-parts":[["2011"]]}}}],"schema":"https://github.com/citation-style-language/schema/raw/master/csl-citation.json"} </w:instrText>
      </w:r>
      <w:r w:rsidR="00660780">
        <w:rPr>
          <w:rFonts w:eastAsia="Gungsuh"/>
        </w:rPr>
        <w:fldChar w:fldCharType="separate"/>
      </w:r>
      <w:r w:rsidR="00660780" w:rsidRPr="00660780">
        <w:rPr>
          <w:rFonts w:cs="Times New Roman"/>
          <w:vertAlign w:val="superscript"/>
        </w:rPr>
        <w:t>37</w:t>
      </w:r>
      <w:r w:rsidR="00660780">
        <w:rPr>
          <w:rFonts w:eastAsia="Gungsuh"/>
        </w:rPr>
        <w:fldChar w:fldCharType="end"/>
      </w:r>
      <w:r>
        <w:rPr>
          <w:rFonts w:eastAsia="Gungsuh"/>
        </w:rPr>
        <w:t xml:space="preserve"> </w:t>
      </w:r>
      <w:r w:rsidRPr="00816E1D">
        <w:rPr>
          <w:rFonts w:eastAsia="Gungsuh"/>
        </w:rPr>
        <w:t xml:space="preserve">was used to assign operational taxonomic units (OTUs) for vertebrate </w:t>
      </w:r>
      <w:r>
        <w:rPr>
          <w:rFonts w:eastAsia="Gungsuh"/>
        </w:rPr>
        <w:t>genera</w:t>
      </w:r>
      <w:r w:rsidRPr="00816E1D">
        <w:rPr>
          <w:rFonts w:eastAsia="Gungsuh"/>
        </w:rPr>
        <w:t xml:space="preserve"> identification with a custom reference database. We eliminated </w:t>
      </w:r>
      <w:r>
        <w:rPr>
          <w:rFonts w:eastAsia="Gungsuh"/>
        </w:rPr>
        <w:t>vertebrate genera</w:t>
      </w:r>
      <w:r w:rsidRPr="00816E1D">
        <w:rPr>
          <w:rFonts w:eastAsia="Gungsuh"/>
        </w:rPr>
        <w:t xml:space="preserve"> hits receiving ≤10% of total read hits for the sample. Blood meals assigned to house mice (</w:t>
      </w:r>
      <w:r w:rsidRPr="00816E1D">
        <w:rPr>
          <w:i/>
        </w:rPr>
        <w:t>Mus musculus</w:t>
      </w:r>
      <w:r w:rsidRPr="00816E1D">
        <w:t>) were not included in any blood meal analyses as house mice were used in the triatomine Nouri traps</w:t>
      </w:r>
      <w:r>
        <w:t>,</w:t>
      </w:r>
      <w:r w:rsidRPr="00816E1D">
        <w:t xml:space="preserve"> and humans were eliminated due to likely contamination during processing. Relative abundance plots were created using</w:t>
      </w:r>
      <w:r>
        <w:t xml:space="preserve"> the R package</w:t>
      </w:r>
      <w:r w:rsidRPr="00816E1D">
        <w:t xml:space="preserve"> </w:t>
      </w:r>
      <w:r>
        <w:rPr>
          <w:i/>
        </w:rPr>
        <w:t>p</w:t>
      </w:r>
      <w:r w:rsidRPr="00816E1D">
        <w:rPr>
          <w:i/>
        </w:rPr>
        <w:t>hyloseq</w:t>
      </w:r>
      <w:r w:rsidR="00660780">
        <w:fldChar w:fldCharType="begin"/>
      </w:r>
      <w:r w:rsidR="00660780">
        <w:instrText xml:space="preserve"> ADDIN ZOTERO_ITEM CSL_CITATION {"citationID":"0JQ0rbbd","properties":{"formattedCitation":"\\super 38\\nosupersub{}","plainCitation":"38","noteIndex":0},"citationItems":[{"id":11254,"uris":["http://zotero.org/users/5535808/items/P4N243V7"],"itemData":{"id":11254,"type":"article-journal","abstract":"Background: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ONE","language":"en","page":"e61217","source":"DOI.org (Crossref)","title":"phyloseq: An R Package for Reproducible Interactive Analysis and Graphics of Microbiome Census Data","title-short":"phyloseq","volume":"8","author":[{"family":"McMurdie","given":"Paul J."},{"family":"Holmes","given":"Susan"}],"editor":[{"family":"Watson","given":"Michael"}],"issued":{"date-parts":[["2013",4,22]]}}}],"schema":"https://github.com/citation-style-language/schema/raw/master/csl-citation.json"} </w:instrText>
      </w:r>
      <w:r w:rsidR="00660780">
        <w:fldChar w:fldCharType="separate"/>
      </w:r>
      <w:r w:rsidR="00660780" w:rsidRPr="00660780">
        <w:rPr>
          <w:rFonts w:cs="Times New Roman"/>
          <w:vertAlign w:val="superscript"/>
        </w:rPr>
        <w:t>38</w:t>
      </w:r>
      <w:r w:rsidR="00660780">
        <w:fldChar w:fldCharType="end"/>
      </w:r>
      <w:r w:rsidR="00660780">
        <w:t xml:space="preserve"> </w:t>
      </w:r>
      <w:r w:rsidRPr="00816E1D">
        <w:t xml:space="preserve">to calculate the bacterial community composition across sampling regions, habitat type, and blood meal type and visualized using </w:t>
      </w:r>
      <w:r w:rsidRPr="00816E1D">
        <w:rPr>
          <w:i/>
        </w:rPr>
        <w:t>ggplot2</w:t>
      </w:r>
      <w:r w:rsidR="00660780">
        <w:fldChar w:fldCharType="begin"/>
      </w:r>
      <w:r w:rsidR="00660780">
        <w:instrText xml:space="preserve"> ADDIN ZOTERO_ITEM CSL_CITATION {"citationID":"wKml1hQ7","properties":{"formattedCitation":"\\super 39\\nosupersub{}","plainCitation":"39","noteIndex":0},"citationItems":[{"id":11258,"uris":["http://zotero.org/users/5535808/items/YVQGAQVX"],"itemData":{"id":11258,"type":"book","event-place":"New York, NY","ISBN":"978-0-387-98140-6","language":"en","note":"DOI: 10.1007/978-0-387-98141-3","publisher":"Springer New York","publisher-place":"New York, NY","source":"DOI.org (Crossref)","title":"ggplot2: Elegant Graphics for Data Analysis","URL":"http://link.springer.com/10.1007/978-0-387-98141-3","author":[{"family":"Wickham","given":"Hadley"}],"accessed":{"date-parts":[["2022",8,8]]},"issued":{"date-parts":[["2009"]]}}}],"schema":"https://github.com/citation-style-language/schema/raw/master/csl-citation.json"} </w:instrText>
      </w:r>
      <w:r w:rsidR="00660780">
        <w:fldChar w:fldCharType="separate"/>
      </w:r>
      <w:r w:rsidR="00660780" w:rsidRPr="00660780">
        <w:rPr>
          <w:rFonts w:cs="Times New Roman"/>
          <w:vertAlign w:val="superscript"/>
        </w:rPr>
        <w:t>39</w:t>
      </w:r>
      <w:r w:rsidR="00660780">
        <w:fldChar w:fldCharType="end"/>
      </w:r>
      <w:r>
        <w:t xml:space="preserve"> </w:t>
      </w:r>
      <w:r w:rsidRPr="00816E1D">
        <w:t>in R</w:t>
      </w:r>
      <w:r>
        <w:t xml:space="preserve"> v. 4.2.0</w:t>
      </w:r>
      <w:r w:rsidR="00660780">
        <w:fldChar w:fldCharType="begin"/>
      </w:r>
      <w:r w:rsidR="00660780">
        <w:instrText xml:space="preserve"> ADDIN ZOTERO_ITEM CSL_CITATION {"citationID":"YQY7jV4p","properties":{"formattedCitation":"\\super 40\\nosupersub{}","plainCitation":"40","noteIndex":0},"citationItems":[{"id":11454,"uris":["http://zotero.org/users/5535808/items/T7BYXPAD"],"itemData":{"id":11454,"type":"article-journal","title":"R: A language and environment for statistical computing. R Foundation for Statistical Computing, Vienna, Austria.","URL":"https://www.R-project.org/","author":[{"family":"R Core Team","given":""}],"issued":{"date-parts":[["2022"]]}}}],"schema":"https://github.com/citation-style-language/schema/raw/master/csl-citation.json"} </w:instrText>
      </w:r>
      <w:r w:rsidR="00660780">
        <w:fldChar w:fldCharType="separate"/>
      </w:r>
      <w:r w:rsidR="00660780" w:rsidRPr="00660780">
        <w:rPr>
          <w:rFonts w:cs="Times New Roman"/>
          <w:vertAlign w:val="superscript"/>
        </w:rPr>
        <w:t>40</w:t>
      </w:r>
      <w:r w:rsidR="00660780">
        <w:fldChar w:fldCharType="end"/>
      </w:r>
      <w:r w:rsidRPr="00816E1D">
        <w:t>.</w:t>
      </w:r>
    </w:p>
    <w:p w14:paraId="20190F66" w14:textId="77777777" w:rsidR="00BA51F4" w:rsidRDefault="00BA51F4" w:rsidP="00BA51F4">
      <w:pPr>
        <w:spacing w:line="480" w:lineRule="auto"/>
        <w:ind w:firstLine="720"/>
        <w:rPr>
          <w:b/>
          <w:i/>
        </w:rPr>
      </w:pPr>
    </w:p>
    <w:p w14:paraId="7C7090A5" w14:textId="77777777" w:rsidR="00BA51F4" w:rsidRDefault="00BA51F4" w:rsidP="00BA51F4">
      <w:pPr>
        <w:spacing w:line="480" w:lineRule="auto"/>
      </w:pPr>
      <w:r w:rsidRPr="00DE5AA1">
        <w:rPr>
          <w:b/>
          <w:iCs/>
        </w:rPr>
        <w:t>Blood meal analyses</w:t>
      </w:r>
      <w:r>
        <w:t>.</w:t>
      </w:r>
    </w:p>
    <w:p w14:paraId="056A0CEC" w14:textId="77777777" w:rsidR="00BA51F4" w:rsidRPr="00816E1D" w:rsidRDefault="00BA51F4" w:rsidP="00BA51F4">
      <w:pPr>
        <w:spacing w:line="480" w:lineRule="auto"/>
        <w:ind w:firstLine="720"/>
      </w:pPr>
      <w:r w:rsidRPr="00816E1D">
        <w:t xml:space="preserve">Across </w:t>
      </w:r>
      <w:r>
        <w:t>the</w:t>
      </w:r>
      <w:r w:rsidRPr="00816E1D">
        <w:t xml:space="preserve"> triatomine sample</w:t>
      </w:r>
      <w:r>
        <w:t>s</w:t>
      </w:r>
      <w:r w:rsidRPr="00816E1D">
        <w:t xml:space="preserve">, up to 5 distinct blood meal vertebrate genera were identified from </w:t>
      </w:r>
      <w:r w:rsidRPr="00816E1D">
        <w:rPr>
          <w:i/>
        </w:rPr>
        <w:t>12S</w:t>
      </w:r>
      <w:r w:rsidRPr="00816E1D">
        <w:t xml:space="preserve"> rRNA gene sequencing (</w:t>
      </w:r>
      <w:r w:rsidRPr="004169C5">
        <w:t>Table S1</w:t>
      </w:r>
      <w:r w:rsidRPr="00816E1D">
        <w:t>)</w:t>
      </w:r>
      <w:r>
        <w:t xml:space="preserve"> (Fig. S1)</w:t>
      </w:r>
      <w:r w:rsidRPr="00816E1D">
        <w:t xml:space="preserve">. However, in the alpha and beta analyses, </w:t>
      </w:r>
      <w:r>
        <w:t xml:space="preserve">the dominant </w:t>
      </w:r>
      <w:r w:rsidRPr="00816E1D">
        <w:t xml:space="preserve">blood meal only includes a single vertebrate animal per triatomine sample </w:t>
      </w:r>
      <w:r>
        <w:t>with</w:t>
      </w:r>
      <w:r w:rsidRPr="00816E1D">
        <w:t xml:space="preserve"> the greatest number of reads. </w:t>
      </w:r>
    </w:p>
    <w:p w14:paraId="507E5A54" w14:textId="77777777" w:rsidR="00BA51F4" w:rsidRPr="00816E1D" w:rsidRDefault="00BA51F4" w:rsidP="00BA51F4">
      <w:pPr>
        <w:spacing w:line="480" w:lineRule="auto"/>
        <w:rPr>
          <w:b/>
          <w:i/>
        </w:rPr>
      </w:pPr>
    </w:p>
    <w:p w14:paraId="1A5C22E2" w14:textId="77777777" w:rsidR="00BA51F4" w:rsidRPr="00FF6B50" w:rsidRDefault="00BA51F4" w:rsidP="00BA51F4">
      <w:pPr>
        <w:spacing w:line="480" w:lineRule="auto"/>
        <w:rPr>
          <w:iCs/>
        </w:rPr>
      </w:pPr>
      <w:r w:rsidRPr="00A07065">
        <w:rPr>
          <w:b/>
          <w:iCs/>
        </w:rPr>
        <w:t>Statistical Analyses</w:t>
      </w:r>
      <w:r>
        <w:rPr>
          <w:b/>
          <w:iCs/>
        </w:rPr>
        <w:t>.</w:t>
      </w:r>
    </w:p>
    <w:p w14:paraId="5BB2EDD3" w14:textId="60418952" w:rsidR="00BA51F4" w:rsidRPr="00816E1D" w:rsidRDefault="00BA51F4" w:rsidP="00BA51F4">
      <w:pPr>
        <w:spacing w:line="480" w:lineRule="auto"/>
        <w:ind w:firstLine="720"/>
      </w:pPr>
      <w:r w:rsidRPr="00816E1D">
        <w:rPr>
          <w:b/>
          <w:i/>
        </w:rPr>
        <w:t xml:space="preserve">Alpha </w:t>
      </w:r>
      <w:r>
        <w:rPr>
          <w:b/>
          <w:i/>
        </w:rPr>
        <w:t>(within-sample) d</w:t>
      </w:r>
      <w:r w:rsidRPr="00816E1D">
        <w:rPr>
          <w:b/>
          <w:i/>
        </w:rPr>
        <w:t>iversity.</w:t>
      </w:r>
      <w:r w:rsidRPr="00816E1D">
        <w:t xml:space="preserve"> Statistical analyses were completed using </w:t>
      </w:r>
      <w:r>
        <w:t>QIIME2</w:t>
      </w:r>
      <w:r w:rsidRPr="00816E1D">
        <w:t xml:space="preserve"> and R. For alpha and beta diversity analyses, samples were rarefied to 2133 sequences. </w:t>
      </w:r>
      <w:r>
        <w:t>Four</w:t>
      </w:r>
      <w:r w:rsidRPr="00816E1D">
        <w:t xml:space="preserve"> alpha </w:t>
      </w:r>
      <w:r w:rsidRPr="00816E1D">
        <w:lastRenderedPageBreak/>
        <w:t xml:space="preserve">diversity metrics (ASV </w:t>
      </w:r>
      <w:r>
        <w:t xml:space="preserve">observed </w:t>
      </w:r>
      <w:r w:rsidRPr="00816E1D">
        <w:t xml:space="preserve">richness, Shannon </w:t>
      </w:r>
      <w:r>
        <w:t>d</w:t>
      </w:r>
      <w:r w:rsidRPr="00816E1D">
        <w:t>iversity</w:t>
      </w:r>
      <w:r w:rsidR="00660780">
        <w:fldChar w:fldCharType="begin"/>
      </w:r>
      <w:r w:rsidR="00660780">
        <w:instrText xml:space="preserve"> ADDIN ZOTERO_ITEM CSL_CITATION {"citationID":"9yuJ1SVq","properties":{"formattedCitation":"\\super 41\\nosupersub{}","plainCitation":"41","noteIndex":0},"citationItems":[{"id":11447,"uris":["http://zotero.org/users/5535808/items/277XNMBQ"],"itemData":{"id":11447,"type":"article-journal","container-title":"The Bell System Technical Journal","DOI":"https://doi.org/10.1002/j.1538-7305.1948.tb01338.x.","page":"379–423","title":"A Mathematical Theory of Communication","author":[{"family":"Shannon","given":"CE"}],"issued":{"date-parts":[["1948"]]}}}],"schema":"https://github.com/citation-style-language/schema/raw/master/csl-citation.json"} </w:instrText>
      </w:r>
      <w:r w:rsidR="00660780">
        <w:fldChar w:fldCharType="separate"/>
      </w:r>
      <w:r w:rsidR="00660780" w:rsidRPr="00660780">
        <w:rPr>
          <w:rFonts w:cs="Times New Roman"/>
          <w:vertAlign w:val="superscript"/>
        </w:rPr>
        <w:t>41</w:t>
      </w:r>
      <w:r w:rsidR="00660780">
        <w:fldChar w:fldCharType="end"/>
      </w:r>
      <w:r w:rsidRPr="00816E1D">
        <w:t>, Faith’s phylogenetic diversity</w:t>
      </w:r>
      <w:r w:rsidR="00660780">
        <w:fldChar w:fldCharType="begin"/>
      </w:r>
      <w:r w:rsidR="00660780">
        <w:instrText xml:space="preserve"> ADDIN ZOTERO_ITEM CSL_CITATION {"citationID":"4VNq82Fq","properties":{"formattedCitation":"\\super 42\\nosupersub{}","plainCitation":"42","noteIndex":0},"citationItems":[{"id":11445,"uris":["http://zotero.org/users/5535808/items/YZTJIIYY"],"itemData":{"id":11445,"type":"article-journal","container-title":"Biological Conservation","issue":"1","title":"Conservation evaluation and phylogenetic diversity","volume":"61","author":[{"family":"Faith","given":"Daniel"}],"issued":{"date-parts":[["1992"]]}}}],"schema":"https://github.com/citation-style-language/schema/raw/master/csl-citation.json"} </w:instrText>
      </w:r>
      <w:r w:rsidR="00660780">
        <w:fldChar w:fldCharType="separate"/>
      </w:r>
      <w:r w:rsidR="00660780" w:rsidRPr="00660780">
        <w:rPr>
          <w:rFonts w:cs="Times New Roman"/>
          <w:vertAlign w:val="superscript"/>
        </w:rPr>
        <w:t>42</w:t>
      </w:r>
      <w:r w:rsidR="00660780">
        <w:fldChar w:fldCharType="end"/>
      </w:r>
      <w:r>
        <w:t>, and Pielou’s evenness</w:t>
      </w:r>
      <w:r w:rsidR="00660780">
        <w:fldChar w:fldCharType="begin"/>
      </w:r>
      <w:r w:rsidR="00F80E8A">
        <w:instrText xml:space="preserve"> ADDIN ZOTERO_ITEM CSL_CITATION {"citationID":"UyFRJw0X","properties":{"formattedCitation":"\\super 43\\nosupersub{}","plainCitation":"43","noteIndex":0},"citationItems":[{"id":11450,"uris":["http://zotero.org/users/5535808/items/DIMTAZX5"],"itemData":{"id":11450,"type":"article-journal","container-title":"Journal of Theoretical Biology","DOI":"10.1016/0022-5193(66)90013-0","ISSN":"0022-5193","language":"en","page":"131-144","title":"The measurement of diversity in different types of biological collections","title-short":"PII","volume":"13","author":[{"family":"Pielou","given":"EC"}],"issued":{"date-parts":[["1966"]]}}}],"schema":"https://github.com/citation-style-language/schema/raw/master/csl-citation.json"} </w:instrText>
      </w:r>
      <w:r w:rsidR="00660780">
        <w:fldChar w:fldCharType="separate"/>
      </w:r>
      <w:r w:rsidR="00F80E8A" w:rsidRPr="00F80E8A">
        <w:rPr>
          <w:rFonts w:cs="Times New Roman"/>
          <w:vertAlign w:val="superscript"/>
        </w:rPr>
        <w:t>43</w:t>
      </w:r>
      <w:r w:rsidR="00660780">
        <w:fldChar w:fldCharType="end"/>
      </w:r>
      <w:r w:rsidRPr="00816E1D">
        <w:t xml:space="preserve">) were calculated using </w:t>
      </w:r>
      <w:r>
        <w:rPr>
          <w:i/>
        </w:rPr>
        <w:t>p</w:t>
      </w:r>
      <w:r w:rsidRPr="00816E1D">
        <w:rPr>
          <w:i/>
        </w:rPr>
        <w:t>hyloseq</w:t>
      </w:r>
      <w:r w:rsidRPr="00816E1D">
        <w:t xml:space="preserve"> and </w:t>
      </w:r>
      <w:r>
        <w:t>QIIME2</w:t>
      </w:r>
      <w:r w:rsidRPr="00816E1D">
        <w:t xml:space="preserve">. Each test was compared among </w:t>
      </w:r>
      <w:r>
        <w:t xml:space="preserve">variables </w:t>
      </w:r>
      <w:r w:rsidRPr="00816E1D">
        <w:t>using Pairwise Wilcoxon Rank Sum Tests</w:t>
      </w:r>
      <w:r>
        <w:t xml:space="preserve"> with Benjamini-Hochberg adjustments</w:t>
      </w:r>
      <w:r w:rsidRPr="00816E1D">
        <w:t xml:space="preserve"> (for groups of two) or a Kruskal-Wallis analysis of variance (for more than two groups) followed by Pairwise Wilcoxon Rank Sum Tests </w:t>
      </w:r>
      <w:r>
        <w:t>with Benjamini-Hochberg adjustments</w:t>
      </w:r>
      <w:r w:rsidR="00F80E8A">
        <w:fldChar w:fldCharType="begin"/>
      </w:r>
      <w:r w:rsidR="00F80E8A">
        <w:instrText xml:space="preserve"> ADDIN ZOTERO_ITEM CSL_CITATION {"citationID":"oKn5j0ni","properties":{"formattedCitation":"\\super 44\\nosupersub{}","plainCitation":"44","noteIndex":0},"citationItems":[{"id":11457,"uris":["http://zotero.org/users/5535808/items/7XW9DRUC"],"itemData":{"id":11457,"type":"article-journal","abstract":"The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F80E8A">
        <w:fldChar w:fldCharType="separate"/>
      </w:r>
      <w:r w:rsidR="00F80E8A" w:rsidRPr="00F80E8A">
        <w:rPr>
          <w:rFonts w:cs="Times New Roman"/>
          <w:vertAlign w:val="superscript"/>
        </w:rPr>
        <w:t>44</w:t>
      </w:r>
      <w:r w:rsidR="00F80E8A">
        <w:fldChar w:fldCharType="end"/>
      </w:r>
      <w:r>
        <w:t xml:space="preserve"> </w:t>
      </w:r>
      <w:r w:rsidRPr="00816E1D">
        <w:t xml:space="preserve">to test for pairwise significance. Boxplots were visualized using </w:t>
      </w:r>
      <w:r w:rsidRPr="00816E1D">
        <w:rPr>
          <w:i/>
        </w:rPr>
        <w:t>ggplot2</w:t>
      </w:r>
      <w:r w:rsidRPr="00816E1D">
        <w:t xml:space="preserve">. </w:t>
      </w:r>
      <w:r>
        <w:t xml:space="preserve">We used </w:t>
      </w:r>
      <w:r w:rsidRPr="00816E1D">
        <w:t xml:space="preserve">linear mixed models (LMMs) </w:t>
      </w:r>
      <w:r>
        <w:t>that were</w:t>
      </w:r>
      <w:r w:rsidRPr="00816E1D">
        <w:t xml:space="preserve"> implemented using the </w:t>
      </w:r>
      <w:r w:rsidRPr="00816E1D">
        <w:rPr>
          <w:i/>
        </w:rPr>
        <w:t>lme4</w:t>
      </w:r>
      <w:r w:rsidR="00F80E8A">
        <w:fldChar w:fldCharType="begin"/>
      </w:r>
      <w:r w:rsidR="00366ADF">
        <w:instrText xml:space="preserve"> ADDIN ZOTERO_ITEM CSL_CITATION {"citationID":"aAu6zrR2","properties":{"formattedCitation":"\\super 45\\nosupersub{}","plainCitation":"45","noteIndex":0},"citationItems":[{"id":11477,"uris":["http://zotero.org/users/5535808/items/UQ2VXKR9"],"itemData":{"id":11477,"type":"article-journal","abstract":"Maximum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9,12]]},"issued":{"date-parts":[["2015"]]}}}],"schema":"https://github.com/citation-style-language/schema/raw/master/csl-citation.json"} </w:instrText>
      </w:r>
      <w:r w:rsidR="00F80E8A">
        <w:fldChar w:fldCharType="separate"/>
      </w:r>
      <w:r w:rsidR="00366ADF" w:rsidRPr="00366ADF">
        <w:rPr>
          <w:rFonts w:cs="Times New Roman"/>
          <w:vertAlign w:val="superscript"/>
        </w:rPr>
        <w:t>45</w:t>
      </w:r>
      <w:r w:rsidR="00F80E8A">
        <w:fldChar w:fldCharType="end"/>
      </w:r>
      <w:r>
        <w:t xml:space="preserve"> </w:t>
      </w:r>
      <w:r w:rsidRPr="00816E1D">
        <w:t xml:space="preserve">and </w:t>
      </w:r>
      <w:r w:rsidRPr="00816E1D">
        <w:rPr>
          <w:i/>
        </w:rPr>
        <w:t>lmerTest</w:t>
      </w:r>
      <w:r w:rsidR="00366ADF">
        <w:fldChar w:fldCharType="begin"/>
      </w:r>
      <w:r w:rsidR="00366ADF">
        <w:instrText xml:space="preserve"> ADDIN ZOTERO_ITEM CSL_CITATION {"citationID":"Q6FgoPFb","properties":{"formattedCitation":"\\super 46\\nosupersub{}","plainCitation":"46","noteIndex":0},"citationItems":[{"id":11476,"uris":["http://zotero.org/users/5535808/items/VSJ2PJYE"],"itemData":{"id":11476,"type":"article-journal","abstract":"One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B."}],"accessed":{"date-parts":[["2022",9,12]]},"issued":{"date-parts":[["2017"]]}}}],"schema":"https://github.com/citation-style-language/schema/raw/master/csl-citation.json"} </w:instrText>
      </w:r>
      <w:r w:rsidR="00366ADF">
        <w:fldChar w:fldCharType="separate"/>
      </w:r>
      <w:r w:rsidR="00366ADF" w:rsidRPr="00366ADF">
        <w:rPr>
          <w:rFonts w:cs="Times New Roman"/>
          <w:vertAlign w:val="superscript"/>
        </w:rPr>
        <w:t>46</w:t>
      </w:r>
      <w:r w:rsidR="00366ADF">
        <w:fldChar w:fldCharType="end"/>
      </w:r>
      <w:r>
        <w:t xml:space="preserve"> </w:t>
      </w:r>
      <w:r w:rsidRPr="00816E1D">
        <w:t>packages in R</w:t>
      </w:r>
      <w:r>
        <w:t xml:space="preserve"> t</w:t>
      </w:r>
      <w:r w:rsidRPr="00816E1D">
        <w:t>o evaluate the associations between sampling region</w:t>
      </w:r>
      <w:r>
        <w:t xml:space="preserve">, </w:t>
      </w:r>
      <w:r w:rsidRPr="00816E1D">
        <w:t>habitat type</w:t>
      </w:r>
      <w:r>
        <w:t>, dominant blood meals, and blood meal richness</w:t>
      </w:r>
      <w:r w:rsidRPr="00816E1D">
        <w:t xml:space="preserve"> on changes in bacterial alpha diversity</w:t>
      </w:r>
      <w:r>
        <w:t>.</w:t>
      </w:r>
      <w:r w:rsidRPr="00816E1D">
        <w:t xml:space="preserve"> </w:t>
      </w:r>
      <w:r>
        <w:t>Log-transformed a</w:t>
      </w:r>
      <w:r w:rsidRPr="00816E1D">
        <w:t xml:space="preserve">lpha diversity </w:t>
      </w:r>
      <w:r>
        <w:t>metrics were</w:t>
      </w:r>
      <w:r w:rsidRPr="00816E1D">
        <w:t xml:space="preserve"> used as the response variable</w:t>
      </w:r>
      <w:r>
        <w:t>s</w:t>
      </w:r>
      <w:r w:rsidRPr="00816E1D">
        <w:t xml:space="preserve"> (ASV richness, Shannon </w:t>
      </w:r>
      <w:r>
        <w:t>d</w:t>
      </w:r>
      <w:r w:rsidRPr="00816E1D">
        <w:t>iversity, Faith’s phylogenetic diversity</w:t>
      </w:r>
      <w:r>
        <w:t>, and Pielou’s evenness</w:t>
      </w:r>
      <w:r w:rsidRPr="00816E1D">
        <w:t>)</w:t>
      </w:r>
      <w:r>
        <w:t>,</w:t>
      </w:r>
      <w:r w:rsidRPr="00816E1D">
        <w:t xml:space="preserve"> and model predictors included sampling region, habitat type, </w:t>
      </w:r>
      <w:r>
        <w:t xml:space="preserve">dominant </w:t>
      </w:r>
      <w:r w:rsidRPr="00816E1D">
        <w:t>blood meal</w:t>
      </w:r>
      <w:r>
        <w:t>,</w:t>
      </w:r>
      <w:r w:rsidRPr="00816E1D">
        <w:t xml:space="preserve"> </w:t>
      </w:r>
      <w:r>
        <w:t>and</w:t>
      </w:r>
      <w:r w:rsidRPr="00816E1D">
        <w:t xml:space="preserve"> </w:t>
      </w:r>
      <w:r>
        <w:t>blood meal richness, and</w:t>
      </w:r>
      <w:r w:rsidRPr="00816E1D">
        <w:t xml:space="preserve"> </w:t>
      </w:r>
      <w:r>
        <w:t>p</w:t>
      </w:r>
      <w:r w:rsidRPr="00816E1D">
        <w:t xml:space="preserve">alm </w:t>
      </w:r>
      <w:r>
        <w:t>identity</w:t>
      </w:r>
      <w:r w:rsidRPr="00816E1D">
        <w:t xml:space="preserve"> was treated as </w:t>
      </w:r>
      <w:r>
        <w:t xml:space="preserve">a </w:t>
      </w:r>
      <w:r w:rsidRPr="00816E1D">
        <w:t xml:space="preserve">random effect. </w:t>
      </w:r>
      <w:r w:rsidRPr="00816E1D">
        <w:rPr>
          <w:i/>
        </w:rPr>
        <w:t xml:space="preserve">R. pallescens </w:t>
      </w:r>
      <w:r w:rsidRPr="00816E1D">
        <w:t>developmental stage</w:t>
      </w:r>
      <w:r>
        <w:t>, split into two groups by early nymphs (N1-N3) and older nymphs and adults (N4-adult), was included as a covariate to account for the known effects on triatomine bacterial communities</w:t>
      </w:r>
      <w:r w:rsidR="00366ADF">
        <w:fldChar w:fldCharType="begin"/>
      </w:r>
      <w:r w:rsidR="00893C57">
        <w:instrText xml:space="preserve"> ADDIN ZOTERO_ITEM CSL_CITATION {"citationID":"bgYpLDAv","properties":{"formattedCitation":"\\super 47\\nosupersub{}","plainCitation":"47","noteIndex":0},"citationItems":[{"id":2451,"uris":["http://zotero.org/users/5535808/items/TZWL95XL"],"itemData":{"id":2451,"type":"article-journal","abstract":"Conclusion: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schema":"https://github.com/citation-style-language/schema/raw/master/csl-citation.json"} </w:instrText>
      </w:r>
      <w:r w:rsidR="00366ADF">
        <w:fldChar w:fldCharType="separate"/>
      </w:r>
      <w:r w:rsidR="00893C57" w:rsidRPr="00893C57">
        <w:rPr>
          <w:rFonts w:cs="Times New Roman"/>
          <w:vertAlign w:val="superscript"/>
        </w:rPr>
        <w:t>47</w:t>
      </w:r>
      <w:r w:rsidR="00366ADF">
        <w:fldChar w:fldCharType="end"/>
      </w:r>
      <w:r>
        <w:t>. R</w:t>
      </w:r>
      <w:r w:rsidRPr="00D669A8">
        <w:rPr>
          <w:vertAlign w:val="superscript"/>
        </w:rPr>
        <w:t>2</w:t>
      </w:r>
      <w:r>
        <w:t xml:space="preserve"> values were calculated using </w:t>
      </w:r>
      <w:r w:rsidRPr="00F90E44">
        <w:rPr>
          <w:i/>
          <w:iCs/>
        </w:rPr>
        <w:t>partR2</w:t>
      </w:r>
      <w:r>
        <w:t xml:space="preserve"> in R</w:t>
      </w:r>
      <w:r w:rsidR="00893C57">
        <w:fldChar w:fldCharType="begin"/>
      </w:r>
      <w:r w:rsidR="00893C57">
        <w:instrText xml:space="preserve"> ADDIN ZOTERO_ITEM CSL_CITATION {"citationID":"v2tQ9dlo","properties":{"formattedCitation":"\\super 48\\nosupersub{}","plainCitation":"48","noteIndex":0},"citationItems":[{"id":11492,"uris":["http://zotero.org/users/5535808/items/GA658L2P"],"itemData":{"id":11492,"type":"article-journal","abstract":"The coefficient of determination R2 quantifies the amount of variance explained by regression coefficients in a linear model. It can be seen as the fixed-effects complement to the repeatability R (intra-class correlation) for the variance explained by random effects and thus as a tool for variance decomposition. The R2 of a model can be further partitioned into the variance explained by a particular predictor or a combination of predictors using semi-partial (part) R2 and structure coefficients, but this is rarely done due to a lack of software implementing these statistics. Here, we introduce partR2, an R package that quantifies part R2 for fixed effect predictors based on (generalized) linear mixed-effect model fits. The package iteratively removes predictors of interest from the model and monitors the change in the variance of the linear predictor. The difference to the full model gives a measure of the amount of variance explained uniquely by a particular predictor or a set of predictors. partR2 also estimates structure coefficients as the correlation between a predictor and fitted values, which provide an estimate of the total contribution of a fixed effect to the overall prediction, independent of other predictors. Structure coefficients can be converted to the total variance explained by a predictor, here called ‘inclusive’ R2, as the square of the structure coefficients times total R2. Furthermore, the package reports beta weights (standardized regression coefficients). Finally, partR2 implements parametric bootstrapping to quantify confidence intervals for each estimate. We illustrate the use of partR2 with real example datasets for Gaussian and binomial GLMMs and discuss interactions, which pose a specific challenge for partitioning the explained variance among predictors.","container-title":"PeerJ","DOI":"10.7717/peerj.11414","ISSN":"2167-8359","language":"en","page":"e11414","source":"DOI.org (Crossref)","title":"partR2 : partitioning R &lt;sup&gt;2&lt;/sup&gt; in generalized linear mixed models","title-short":"partR2","volume":"9","author":[{"family":"Stoffel","given":"Martin A."},{"family":"Nakagawa","given":"Shinichi"},{"family":"Schielzeth","given":"Holger"}],"issued":{"date-parts":[["2021",5,25]]}}}],"schema":"https://github.com/citation-style-language/schema/raw/master/csl-citation.json"} </w:instrText>
      </w:r>
      <w:r w:rsidR="00893C57">
        <w:fldChar w:fldCharType="separate"/>
      </w:r>
      <w:r w:rsidR="00893C57" w:rsidRPr="00893C57">
        <w:rPr>
          <w:rFonts w:cs="Times New Roman"/>
          <w:vertAlign w:val="superscript"/>
        </w:rPr>
        <w:t>48</w:t>
      </w:r>
      <w:r w:rsidR="00893C57">
        <w:fldChar w:fldCharType="end"/>
      </w:r>
      <w:r>
        <w:t xml:space="preserve">. </w:t>
      </w:r>
    </w:p>
    <w:p w14:paraId="7A5A9A8E" w14:textId="77777777" w:rsidR="00BA51F4" w:rsidRPr="00816E1D" w:rsidRDefault="00BA51F4" w:rsidP="00BA51F4">
      <w:pPr>
        <w:spacing w:line="480" w:lineRule="auto"/>
        <w:ind w:firstLine="720"/>
      </w:pPr>
      <w:r w:rsidRPr="00816E1D">
        <w:rPr>
          <w:b/>
          <w:i/>
        </w:rPr>
        <w:t xml:space="preserve">Beta </w:t>
      </w:r>
      <w:r>
        <w:rPr>
          <w:b/>
          <w:i/>
        </w:rPr>
        <w:t>(between-sample) d</w:t>
      </w:r>
      <w:r w:rsidRPr="00816E1D">
        <w:rPr>
          <w:b/>
          <w:i/>
        </w:rPr>
        <w:t>iversity.</w:t>
      </w:r>
      <w:r w:rsidRPr="00816E1D">
        <w:t xml:space="preserve">  Beta diversity calculations were used to measure community structure and composition </w:t>
      </w:r>
      <w:r>
        <w:t xml:space="preserve">differences </w:t>
      </w:r>
      <w:r w:rsidRPr="00816E1D">
        <w:t xml:space="preserve">across </w:t>
      </w:r>
      <w:r>
        <w:t>sampling regions</w:t>
      </w:r>
      <w:r w:rsidRPr="00816E1D">
        <w:t>, habitat type, blood</w:t>
      </w:r>
      <w:r>
        <w:t xml:space="preserve"> </w:t>
      </w:r>
      <w:r w:rsidRPr="00816E1D">
        <w:t>meal richness</w:t>
      </w:r>
      <w:r>
        <w:t>, and dominant blood meal</w:t>
      </w:r>
      <w:r w:rsidRPr="00816E1D">
        <w:t>. Differences in beta diversity between samples were</w:t>
      </w:r>
      <w:r>
        <w:t xml:space="preserve"> estimated using </w:t>
      </w:r>
      <w:r w:rsidRPr="00816E1D">
        <w:t xml:space="preserve">a permutational multivariate analysis of variance (PERMANOVA) on unweighted and weighted UniFrac distance matrices with 999 permutations using the </w:t>
      </w:r>
      <w:r>
        <w:t>QIIME2</w:t>
      </w:r>
      <w:r w:rsidRPr="00816E1D">
        <w:t xml:space="preserve"> </w:t>
      </w:r>
      <w:r w:rsidRPr="00796246">
        <w:rPr>
          <w:i/>
          <w:iCs/>
        </w:rPr>
        <w:t>q2-</w:t>
      </w:r>
      <w:r w:rsidRPr="00816E1D">
        <w:rPr>
          <w:i/>
        </w:rPr>
        <w:t>diversity</w:t>
      </w:r>
      <w:r w:rsidRPr="00816E1D">
        <w:t xml:space="preserve"> </w:t>
      </w:r>
      <w:sdt>
        <w:sdtPr>
          <w:tag w:val="goog_rdk_44"/>
          <w:id w:val="-126944931"/>
        </w:sdtPr>
        <w:sdtContent/>
      </w:sdt>
      <w:r w:rsidRPr="00816E1D">
        <w:t>plugin</w:t>
      </w:r>
      <w:r>
        <w:t xml:space="preserve"> and with Benjamini-Hochberg adjustments and were supported with beta-dispersion</w:t>
      </w:r>
      <w:r w:rsidRPr="00816E1D">
        <w:t xml:space="preserve">. </w:t>
      </w:r>
      <w:r>
        <w:t>U</w:t>
      </w:r>
      <w:r w:rsidRPr="00816E1D">
        <w:t xml:space="preserve">nweighted UniFrac </w:t>
      </w:r>
      <w:r>
        <w:t xml:space="preserve">(community composition) </w:t>
      </w:r>
      <w:r w:rsidRPr="00816E1D">
        <w:t xml:space="preserve">measures the presence/absence of </w:t>
      </w:r>
      <w:r w:rsidRPr="00816E1D">
        <w:lastRenderedPageBreak/>
        <w:t>ASVs that incorporates phylogenetic distances</w:t>
      </w:r>
      <w:r>
        <w:t>,</w:t>
      </w:r>
      <w:r w:rsidRPr="00816E1D">
        <w:t xml:space="preserve"> while weighted UniFrac </w:t>
      </w:r>
      <w:r>
        <w:t xml:space="preserve">(community structure) </w:t>
      </w:r>
      <w:r w:rsidRPr="00816E1D">
        <w:t xml:space="preserve">considers the phylogenetic distances between observed ASVs in addition to </w:t>
      </w:r>
      <w:r>
        <w:t xml:space="preserve">the </w:t>
      </w:r>
      <w:r w:rsidRPr="00816E1D">
        <w:t xml:space="preserve">relative abundance of ASVs. </w:t>
      </w:r>
      <w:r>
        <w:t xml:space="preserve">Palm identity and </w:t>
      </w:r>
      <w:r w:rsidRPr="0047754D">
        <w:rPr>
          <w:i/>
        </w:rPr>
        <w:t xml:space="preserve">R. </w:t>
      </w:r>
      <w:r w:rsidRPr="00625A91">
        <w:rPr>
          <w:i/>
          <w:iCs/>
        </w:rPr>
        <w:t>pallescens</w:t>
      </w:r>
      <w:r>
        <w:t xml:space="preserve"> triatomine age groups were included as model predictors, as they contributed most to beta diversity in the full models (Tables S2) and were included first in each full model to specifically test the effects of sampling region, habitat type, blood meal type, and blood meal richness. </w:t>
      </w:r>
      <w:r w:rsidRPr="00816E1D">
        <w:t>Principal coordinate analysis ordinations (PCoA) were calculated based on unweighted and weighted UniFrac distance matrices with 999 permutations using</w:t>
      </w:r>
      <w:r>
        <w:t xml:space="preserve"> the</w:t>
      </w:r>
      <w:r w:rsidRPr="00816E1D">
        <w:t xml:space="preserve"> </w:t>
      </w:r>
      <w:r w:rsidRPr="001D5CBB">
        <w:rPr>
          <w:i/>
          <w:iCs/>
        </w:rPr>
        <w:t>q2-</w:t>
      </w:r>
      <w:r w:rsidRPr="0054580B">
        <w:rPr>
          <w:i/>
          <w:iCs/>
        </w:rPr>
        <w:t>diversity</w:t>
      </w:r>
      <w:r w:rsidRPr="00816E1D">
        <w:t xml:space="preserve"> plugin in </w:t>
      </w:r>
      <w:r>
        <w:t>QIIME2</w:t>
      </w:r>
      <w:r w:rsidRPr="00816E1D">
        <w:t xml:space="preserve"> and visualized using </w:t>
      </w:r>
      <w:r w:rsidRPr="00816E1D">
        <w:rPr>
          <w:i/>
        </w:rPr>
        <w:t>ggplot2</w:t>
      </w:r>
      <w:r w:rsidRPr="00816E1D">
        <w:t xml:space="preserve">. </w:t>
      </w:r>
    </w:p>
    <w:p w14:paraId="00E830CD" w14:textId="77777777" w:rsidR="00BA51F4" w:rsidRPr="00816E1D" w:rsidRDefault="00BA51F4" w:rsidP="00BA51F4">
      <w:pPr>
        <w:spacing w:line="480" w:lineRule="auto"/>
      </w:pPr>
    </w:p>
    <w:p w14:paraId="66A4DBA6" w14:textId="4BAD2BDF" w:rsidR="00BA51F4" w:rsidRPr="00F8544C" w:rsidRDefault="00BA51F4" w:rsidP="00BA51F4">
      <w:pPr>
        <w:spacing w:line="480" w:lineRule="auto"/>
        <w:rPr>
          <w:b/>
        </w:rPr>
      </w:pPr>
      <w:r>
        <w:rPr>
          <w:b/>
        </w:rPr>
        <w:t xml:space="preserve">3.4 </w:t>
      </w:r>
      <w:r w:rsidRPr="00F8544C">
        <w:rPr>
          <w:b/>
        </w:rPr>
        <w:t xml:space="preserve">Results </w:t>
      </w:r>
    </w:p>
    <w:p w14:paraId="5D8B4B77" w14:textId="77777777" w:rsidR="00BA51F4" w:rsidRDefault="00BA51F4" w:rsidP="00BA51F4">
      <w:pPr>
        <w:spacing w:after="300" w:line="480" w:lineRule="auto"/>
        <w:ind w:firstLine="720"/>
      </w:pPr>
      <w:r w:rsidRPr="00816E1D">
        <w:t xml:space="preserve">A total of 288 </w:t>
      </w:r>
      <w:r w:rsidRPr="00816E1D">
        <w:rPr>
          <w:i/>
        </w:rPr>
        <w:t>R. pallescens</w:t>
      </w:r>
      <w:r w:rsidRPr="00816E1D">
        <w:t xml:space="preserve"> samples were sequenced</w:t>
      </w:r>
      <w:r>
        <w:t>, yielding</w:t>
      </w:r>
      <w:r w:rsidRPr="00816E1D">
        <w:t xml:space="preserve"> a total of 3,124,000 raw sequencing reads. After filtering and denoising the samples with DADA2, the remaining read total was 1,444,104. The samples were then rarefied to a sampling depth of 2,133 based on rarefaction curves, which resulted in 603,639 reads, 283 samples, and 3543 unique ASVs. In total, 452 vertebrate blood meals across </w:t>
      </w:r>
      <w:r>
        <w:t>eight</w:t>
      </w:r>
      <w:r w:rsidRPr="00816E1D">
        <w:t xml:space="preserve"> orders and 19 genera of vertebrate blood meals were identified across all sampled </w:t>
      </w:r>
      <w:r w:rsidRPr="00816E1D">
        <w:rPr>
          <w:i/>
        </w:rPr>
        <w:t>R. pallescens</w:t>
      </w:r>
      <w:r>
        <w:rPr>
          <w:i/>
        </w:rPr>
        <w:t xml:space="preserve"> </w:t>
      </w:r>
      <w:r w:rsidRPr="00B276DC">
        <w:rPr>
          <w:iCs/>
        </w:rPr>
        <w:t>(Table S1)</w:t>
      </w:r>
      <w:r w:rsidRPr="00816E1D">
        <w:t>.</w:t>
      </w:r>
      <w:r>
        <w:t xml:space="preserve"> Figures S2-S3 show the microbial community composition and structure across palm identity, age group, sampling region, and habitat type.</w:t>
      </w:r>
    </w:p>
    <w:p w14:paraId="43DB0991" w14:textId="77777777" w:rsidR="00BA51F4" w:rsidRDefault="00BA51F4" w:rsidP="00BA51F4">
      <w:pPr>
        <w:spacing w:after="300" w:line="480" w:lineRule="auto"/>
        <w:rPr>
          <w:b/>
          <w:bCs/>
        </w:rPr>
      </w:pPr>
      <w:r w:rsidRPr="009131AF">
        <w:rPr>
          <w:b/>
          <w:bCs/>
        </w:rPr>
        <w:t>Palm identity strongly influences gut microbial communities of triatomines</w:t>
      </w:r>
      <w:r>
        <w:rPr>
          <w:b/>
          <w:bCs/>
        </w:rPr>
        <w:t>.</w:t>
      </w:r>
    </w:p>
    <w:p w14:paraId="450AEAC0" w14:textId="77777777" w:rsidR="00BA51F4" w:rsidRPr="006845A8" w:rsidRDefault="00BA51F4" w:rsidP="00BA51F4">
      <w:pPr>
        <w:spacing w:after="300" w:line="480" w:lineRule="auto"/>
      </w:pPr>
      <w:r>
        <w:rPr>
          <w:b/>
          <w:bCs/>
        </w:rPr>
        <w:tab/>
      </w:r>
      <w:r>
        <w:t xml:space="preserve">Across all samples, palm identity, which is each individual palm we sampled from, had the greatest effect on gut microbial community composition and structure. We found that palm </w:t>
      </w:r>
      <w:r>
        <w:lastRenderedPageBreak/>
        <w:t>significantly contributed to 31-41% of the variations in community composition and 31-51% of the variation in community structure (Tables 9,11,18,19-20, Fig. S4)</w:t>
      </w:r>
    </w:p>
    <w:p w14:paraId="4EDC90E1" w14:textId="77777777" w:rsidR="00BA51F4" w:rsidRDefault="00BA51F4" w:rsidP="00BA51F4">
      <w:pPr>
        <w:spacing w:line="480" w:lineRule="auto"/>
        <w:rPr>
          <w:b/>
          <w:bCs/>
        </w:rPr>
      </w:pPr>
      <w:r>
        <w:rPr>
          <w:b/>
          <w:bCs/>
        </w:rPr>
        <w:t>D</w:t>
      </w:r>
      <w:r w:rsidRPr="0047754D">
        <w:rPr>
          <w:b/>
        </w:rPr>
        <w:t>evelopmental stage influence</w:t>
      </w:r>
      <w:r>
        <w:rPr>
          <w:b/>
          <w:bCs/>
        </w:rPr>
        <w:t>s</w:t>
      </w:r>
      <w:r w:rsidRPr="0047754D">
        <w:rPr>
          <w:b/>
        </w:rPr>
        <w:t xml:space="preserve"> gut bacteria communities</w:t>
      </w:r>
      <w:r>
        <w:rPr>
          <w:b/>
          <w:bCs/>
        </w:rPr>
        <w:t xml:space="preserve">. </w:t>
      </w:r>
    </w:p>
    <w:p w14:paraId="7EAEEC5D" w14:textId="77777777" w:rsidR="00BA51F4" w:rsidRDefault="00BA51F4" w:rsidP="00BA51F4">
      <w:pPr>
        <w:spacing w:line="480" w:lineRule="auto"/>
        <w:ind w:firstLine="720"/>
      </w:pPr>
      <w:r>
        <w:t>Across all samples, older nymphs and adults (N4-adults, N = 91) displayed greater alpha diversity for all four metrics than younger nymphs (N1-N3, N = 191) (Fig. S5, Table S3). In the linear mixed models, triatomine age group was only a significant predictor of Shannon diversity (LMM: R</w:t>
      </w:r>
      <w:r w:rsidRPr="22313F8F">
        <w:rPr>
          <w:vertAlign w:val="superscript"/>
        </w:rPr>
        <w:t>2</w:t>
      </w:r>
      <w:r>
        <w:t xml:space="preserve"> = 0.019, </w:t>
      </w:r>
      <w:r w:rsidRPr="22313F8F">
        <w:rPr>
          <w:i/>
          <w:iCs/>
        </w:rPr>
        <w:t>p</w:t>
      </w:r>
      <w:r>
        <w:t xml:space="preserve"> = 0.006) and Pielou’s evenness (R</w:t>
      </w:r>
      <w:r w:rsidRPr="22313F8F">
        <w:rPr>
          <w:vertAlign w:val="superscript"/>
        </w:rPr>
        <w:t>2</w:t>
      </w:r>
      <w:r>
        <w:t xml:space="preserve"> = 0.018, </w:t>
      </w:r>
      <w:r w:rsidRPr="22313F8F">
        <w:rPr>
          <w:i/>
          <w:iCs/>
        </w:rPr>
        <w:t>p</w:t>
      </w:r>
      <w:r>
        <w:t xml:space="preserve"> = 0.0101) (Table S3). Across pasture palms, triatomine age group was only a significant predictor of Faith’s phylogenetic diversity (LMM: R</w:t>
      </w:r>
      <w:r w:rsidRPr="22313F8F">
        <w:rPr>
          <w:vertAlign w:val="superscript"/>
        </w:rPr>
        <w:t>2</w:t>
      </w:r>
      <w:r>
        <w:t xml:space="preserve"> = 0.018, </w:t>
      </w:r>
      <w:r w:rsidRPr="22313F8F">
        <w:rPr>
          <w:i/>
          <w:iCs/>
        </w:rPr>
        <w:t>p</w:t>
      </w:r>
      <w:r>
        <w:t xml:space="preserve"> = 0.02032) (Table 1), across the peridomestic palms triatomine age group was a significant predictor of Shannon diversity (LMM: R</w:t>
      </w:r>
      <w:r w:rsidRPr="22313F8F">
        <w:rPr>
          <w:vertAlign w:val="superscript"/>
        </w:rPr>
        <w:t>2</w:t>
      </w:r>
      <w:r>
        <w:t xml:space="preserve"> = 0.042, </w:t>
      </w:r>
      <w:r w:rsidRPr="22313F8F">
        <w:rPr>
          <w:i/>
          <w:iCs/>
        </w:rPr>
        <w:t>p</w:t>
      </w:r>
      <w:r>
        <w:t xml:space="preserve"> = 0.03293) (Table 2), and finally, across Veraguas palms, triatomine age group was a significant predictor across Shannon diversity (LMM: R</w:t>
      </w:r>
      <w:r w:rsidRPr="22313F8F">
        <w:rPr>
          <w:vertAlign w:val="superscript"/>
        </w:rPr>
        <w:t>2</w:t>
      </w:r>
      <w:r>
        <w:t xml:space="preserve"> = 0.0279, </w:t>
      </w:r>
      <w:r w:rsidRPr="22313F8F">
        <w:rPr>
          <w:i/>
          <w:iCs/>
        </w:rPr>
        <w:t>p</w:t>
      </w:r>
      <w:r>
        <w:t xml:space="preserve"> = 0.0255) (Table 3). Triatomine age group did not affect any alpha diversity metrics across Capira or La Chorrera palms (Tables 4-5). </w:t>
      </w:r>
    </w:p>
    <w:p w14:paraId="17AEA9D1" w14:textId="77777777" w:rsidR="00BA51F4" w:rsidRPr="00E13EC9" w:rsidRDefault="00BA51F4" w:rsidP="00BA51F4">
      <w:pPr>
        <w:spacing w:line="480" w:lineRule="auto"/>
        <w:ind w:firstLine="720"/>
        <w:rPr>
          <w:rFonts w:eastAsia="Helvetica Neue"/>
          <w:color w:val="333333"/>
          <w:sz w:val="21"/>
          <w:szCs w:val="21"/>
        </w:rPr>
      </w:pPr>
      <w:r>
        <w:t>Triatomine age group was also a significant predictor of the bacterial composition and structure of the triatomines across all sampling regions and habitat types, and it explained 1.5% of the variation in bacterial composition and 2.5% of the variation in bacterial structure (UniFrac: R</w:t>
      </w:r>
      <w:r w:rsidRPr="004A17D8">
        <w:rPr>
          <w:vertAlign w:val="superscript"/>
        </w:rPr>
        <w:t>2</w:t>
      </w:r>
      <w:r>
        <w:t xml:space="preserve"> = </w:t>
      </w:r>
      <w:r w:rsidRPr="005A10CE">
        <w:t>0.015</w:t>
      </w:r>
      <w:r>
        <w:t xml:space="preserve">, </w:t>
      </w:r>
      <w:r w:rsidRPr="004A17D8">
        <w:rPr>
          <w:i/>
          <w:iCs/>
        </w:rPr>
        <w:t>p</w:t>
      </w:r>
      <w:r>
        <w:t xml:space="preserve"> = 0.001, wUniFrac: R</w:t>
      </w:r>
      <w:r w:rsidRPr="004A17D8">
        <w:rPr>
          <w:vertAlign w:val="superscript"/>
        </w:rPr>
        <w:t>2</w:t>
      </w:r>
      <w:r>
        <w:t xml:space="preserve"> = </w:t>
      </w:r>
      <w:r w:rsidRPr="005A10CE">
        <w:t>0.025</w:t>
      </w:r>
      <w:r>
        <w:t xml:space="preserve">, </w:t>
      </w:r>
      <w:r w:rsidRPr="004A17D8">
        <w:rPr>
          <w:i/>
          <w:iCs/>
        </w:rPr>
        <w:t>p</w:t>
      </w:r>
      <w:r>
        <w:t xml:space="preserve"> = 0.001) (Table S2). </w:t>
      </w:r>
    </w:p>
    <w:p w14:paraId="22B57E7C" w14:textId="77777777" w:rsidR="00BA51F4" w:rsidRDefault="00BA51F4" w:rsidP="00BA51F4">
      <w:pPr>
        <w:spacing w:line="480" w:lineRule="auto"/>
        <w:rPr>
          <w:b/>
          <w:bCs/>
        </w:rPr>
      </w:pPr>
    </w:p>
    <w:p w14:paraId="27C2206F" w14:textId="77777777" w:rsidR="00BA51F4" w:rsidRDefault="00BA51F4" w:rsidP="00BA51F4">
      <w:pPr>
        <w:spacing w:line="480" w:lineRule="auto"/>
        <w:rPr>
          <w:b/>
          <w:bCs/>
        </w:rPr>
      </w:pPr>
      <w:r w:rsidRPr="00816E1D">
        <w:rPr>
          <w:b/>
          <w:bCs/>
        </w:rPr>
        <w:t>Gut microbial composition and structure across sampling regions.</w:t>
      </w:r>
    </w:p>
    <w:p w14:paraId="5D62FD71" w14:textId="77777777" w:rsidR="00BA51F4" w:rsidRPr="00816E1D" w:rsidRDefault="00BA51F4" w:rsidP="00BA51F4">
      <w:pPr>
        <w:spacing w:line="480" w:lineRule="auto"/>
        <w:ind w:firstLine="720"/>
        <w:rPr>
          <w:b/>
          <w:bCs/>
        </w:rPr>
      </w:pPr>
      <w:r w:rsidRPr="00F52F21">
        <w:rPr>
          <w:b/>
          <w:i/>
          <w:iCs/>
        </w:rPr>
        <w:t xml:space="preserve">Relative </w:t>
      </w:r>
      <w:r>
        <w:rPr>
          <w:b/>
          <w:i/>
          <w:iCs/>
        </w:rPr>
        <w:t>b</w:t>
      </w:r>
      <w:r w:rsidRPr="00F52F21">
        <w:rPr>
          <w:b/>
          <w:i/>
          <w:iCs/>
        </w:rPr>
        <w:t xml:space="preserve">acterial </w:t>
      </w:r>
      <w:r>
        <w:rPr>
          <w:b/>
          <w:i/>
          <w:iCs/>
        </w:rPr>
        <w:t>a</w:t>
      </w:r>
      <w:r w:rsidRPr="00F52F21">
        <w:rPr>
          <w:b/>
          <w:i/>
          <w:iCs/>
        </w:rPr>
        <w:t>bundance.</w:t>
      </w:r>
      <w:r w:rsidRPr="00816E1D">
        <w:rPr>
          <w:b/>
        </w:rPr>
        <w:t xml:space="preserve"> </w:t>
      </w:r>
      <w:r w:rsidRPr="00816E1D">
        <w:t xml:space="preserve">Across all samples, </w:t>
      </w:r>
      <w:r w:rsidRPr="00816E1D">
        <w:rPr>
          <w:i/>
        </w:rPr>
        <w:t xml:space="preserve">Sphingomonas </w:t>
      </w:r>
      <w:r w:rsidRPr="00816E1D">
        <w:t xml:space="preserve">was the dominant genera at 74.5% mean relative abundance. After </w:t>
      </w:r>
      <w:r w:rsidRPr="00816E1D">
        <w:rPr>
          <w:i/>
        </w:rPr>
        <w:t xml:space="preserve">Sphingomonas, </w:t>
      </w:r>
      <w:r w:rsidRPr="00816E1D">
        <w:t xml:space="preserve">the most abundant genera were </w:t>
      </w:r>
      <w:r w:rsidRPr="00816E1D">
        <w:rPr>
          <w:i/>
        </w:rPr>
        <w:t>Erwinia</w:t>
      </w:r>
      <w:r w:rsidRPr="00816E1D">
        <w:t xml:space="preserve"> (6.1% mean relative abundance), </w:t>
      </w:r>
      <w:r w:rsidRPr="00816E1D">
        <w:rPr>
          <w:i/>
        </w:rPr>
        <w:t>Stenotrophomonas</w:t>
      </w:r>
      <w:r w:rsidRPr="00816E1D">
        <w:t xml:space="preserve"> (5.4% relative abundance), and </w:t>
      </w:r>
      <w:r w:rsidRPr="00816E1D">
        <w:rPr>
          <w:i/>
        </w:rPr>
        <w:t>Dietzia</w:t>
      </w:r>
      <w:r w:rsidRPr="00816E1D">
        <w:t xml:space="preserve"> (3.6% relative abundance). Across the three sampling regions, </w:t>
      </w:r>
      <w:r w:rsidRPr="00816E1D">
        <w:rPr>
          <w:i/>
        </w:rPr>
        <w:t>Sphingomonas</w:t>
      </w:r>
      <w:r w:rsidRPr="00816E1D">
        <w:t xml:space="preserve"> was the </w:t>
      </w:r>
      <w:r>
        <w:lastRenderedPageBreak/>
        <w:t>dominant</w:t>
      </w:r>
      <w:r w:rsidRPr="00816E1D">
        <w:t xml:space="preserve"> genera (mean relative abundance at Capira: 70.6%, La Chorrera: 74.4%, and Veraguas: 58.8%) (Fig. 2). At Veraguas, </w:t>
      </w:r>
      <w:r w:rsidRPr="00816E1D">
        <w:rPr>
          <w:i/>
        </w:rPr>
        <w:t>Sphingomonas</w:t>
      </w:r>
      <w:r w:rsidRPr="00816E1D">
        <w:t xml:space="preserve"> displayed a lower abundance than at the other two regions, with </w:t>
      </w:r>
      <w:r w:rsidRPr="00816E1D">
        <w:rPr>
          <w:i/>
        </w:rPr>
        <w:t>Erwinia</w:t>
      </w:r>
      <w:r w:rsidRPr="00816E1D">
        <w:t xml:space="preserve"> and </w:t>
      </w:r>
      <w:r w:rsidRPr="00816E1D">
        <w:rPr>
          <w:i/>
        </w:rPr>
        <w:t>Dietzia</w:t>
      </w:r>
      <w:r w:rsidRPr="00816E1D">
        <w:t xml:space="preserve"> having greater mean relative abundance than at the other two </w:t>
      </w:r>
      <w:r>
        <w:t xml:space="preserve">sampling </w:t>
      </w:r>
      <w:r w:rsidRPr="00816E1D">
        <w:t>regions (13.3% and 7.6%, respectively).</w:t>
      </w:r>
    </w:p>
    <w:p w14:paraId="39A1BDF4" w14:textId="77777777" w:rsidR="00BA51F4" w:rsidRDefault="00BA51F4" w:rsidP="00BA51F4">
      <w:pPr>
        <w:spacing w:line="480" w:lineRule="auto"/>
        <w:ind w:firstLine="720"/>
      </w:pPr>
      <w:r w:rsidRPr="00816E1D">
        <w:rPr>
          <w:b/>
          <w:i/>
          <w:iCs/>
        </w:rPr>
        <w:t xml:space="preserve">Alpha </w:t>
      </w:r>
      <w:r>
        <w:rPr>
          <w:b/>
          <w:i/>
          <w:iCs/>
        </w:rPr>
        <w:t>(within-sample)</w:t>
      </w:r>
      <w:r w:rsidRPr="00816E1D">
        <w:rPr>
          <w:b/>
          <w:i/>
          <w:iCs/>
        </w:rPr>
        <w:t>.</w:t>
      </w:r>
      <w:r w:rsidRPr="00816E1D">
        <w:rPr>
          <w:b/>
        </w:rPr>
        <w:t xml:space="preserve"> </w:t>
      </w:r>
      <w:r w:rsidRPr="00816E1D">
        <w:t xml:space="preserve">Alpha diversity was greatest </w:t>
      </w:r>
      <w:r>
        <w:t xml:space="preserve">at </w:t>
      </w:r>
      <w:r w:rsidRPr="00816E1D">
        <w:t xml:space="preserve">Veraguas </w:t>
      </w:r>
      <w:r>
        <w:t>as measured by</w:t>
      </w:r>
      <w:r w:rsidRPr="00816E1D">
        <w:t xml:space="preserve"> </w:t>
      </w:r>
      <w:r>
        <w:t xml:space="preserve">ASV </w:t>
      </w:r>
      <w:r w:rsidRPr="00816E1D">
        <w:t xml:space="preserve">richness, Shannon diversity, </w:t>
      </w:r>
      <w:r>
        <w:t>and Faith’s p</w:t>
      </w:r>
      <w:r w:rsidRPr="00816E1D">
        <w:t xml:space="preserve">hylogenetic diversity (Fig. </w:t>
      </w:r>
      <w:r>
        <w:t>S10)</w:t>
      </w:r>
      <w:r w:rsidRPr="00816E1D">
        <w:t xml:space="preserve"> and </w:t>
      </w:r>
      <w:r>
        <w:t xml:space="preserve">was </w:t>
      </w:r>
      <w:r w:rsidRPr="00816E1D">
        <w:t xml:space="preserve">significantly different compared to samples from both La Chorrera (Richness: </w:t>
      </w:r>
      <w:r w:rsidRPr="00816E1D">
        <w:rPr>
          <w:i/>
        </w:rPr>
        <w:t>p</w:t>
      </w:r>
      <w:r w:rsidRPr="00816E1D">
        <w:t xml:space="preserve"> &lt; 0.001; Shannon </w:t>
      </w:r>
      <w:r>
        <w:t>d</w:t>
      </w:r>
      <w:r w:rsidRPr="00816E1D">
        <w:t xml:space="preserve">iversity: </w:t>
      </w:r>
      <w:r w:rsidRPr="00816E1D">
        <w:rPr>
          <w:i/>
        </w:rPr>
        <w:t>p</w:t>
      </w:r>
      <w:r w:rsidRPr="00816E1D">
        <w:t xml:space="preserve"> &lt; 0.001; Faith’s </w:t>
      </w:r>
      <w:r>
        <w:t>p</w:t>
      </w:r>
      <w:r w:rsidRPr="00816E1D">
        <w:t xml:space="preserve">hylogenetic </w:t>
      </w:r>
      <w:r>
        <w:t>d</w:t>
      </w:r>
      <w:r w:rsidRPr="00816E1D">
        <w:t xml:space="preserve">iversity: </w:t>
      </w:r>
      <w:r w:rsidRPr="00816E1D">
        <w:rPr>
          <w:i/>
        </w:rPr>
        <w:t>p</w:t>
      </w:r>
      <w:r w:rsidRPr="00816E1D">
        <w:t xml:space="preserve"> &lt; 0.001; Pielou’s </w:t>
      </w:r>
      <w:r>
        <w:t>e</w:t>
      </w:r>
      <w:r w:rsidRPr="00816E1D">
        <w:t xml:space="preserve">venness: </w:t>
      </w:r>
      <w:r w:rsidRPr="00816E1D">
        <w:rPr>
          <w:i/>
          <w:iCs/>
        </w:rPr>
        <w:t xml:space="preserve">p </w:t>
      </w:r>
      <w:r w:rsidRPr="00816E1D">
        <w:t xml:space="preserve">= 0.92) and Capira (Richness: </w:t>
      </w:r>
      <w:r w:rsidRPr="00816E1D">
        <w:rPr>
          <w:i/>
        </w:rPr>
        <w:t>p</w:t>
      </w:r>
      <w:r w:rsidRPr="00816E1D">
        <w:t xml:space="preserve"> = 0.0025; Shannon </w:t>
      </w:r>
      <w:r>
        <w:t>d</w:t>
      </w:r>
      <w:r w:rsidRPr="00816E1D">
        <w:t xml:space="preserve">iversity </w:t>
      </w:r>
      <w:r>
        <w:t>i</w:t>
      </w:r>
      <w:r w:rsidRPr="00816E1D">
        <w:t xml:space="preserve">ndex: </w:t>
      </w:r>
      <w:r w:rsidRPr="00816E1D">
        <w:rPr>
          <w:i/>
        </w:rPr>
        <w:t>p</w:t>
      </w:r>
      <w:r w:rsidRPr="00816E1D">
        <w:t xml:space="preserve"> &lt; 0.001; Faith’s </w:t>
      </w:r>
      <w:r>
        <w:t>p</w:t>
      </w:r>
      <w:r w:rsidRPr="00816E1D">
        <w:t xml:space="preserve">hylogenetic </w:t>
      </w:r>
      <w:r>
        <w:t>d</w:t>
      </w:r>
      <w:r w:rsidRPr="00816E1D">
        <w:t xml:space="preserve">iversity: </w:t>
      </w:r>
      <w:r w:rsidRPr="00816E1D">
        <w:rPr>
          <w:i/>
        </w:rPr>
        <w:t>p</w:t>
      </w:r>
      <w:r w:rsidRPr="00816E1D">
        <w:t xml:space="preserve"> = 0.0059; Pielou’s </w:t>
      </w:r>
      <w:r>
        <w:t>e</w:t>
      </w:r>
      <w:r w:rsidRPr="00816E1D">
        <w:t xml:space="preserve">venness: </w:t>
      </w:r>
      <w:r w:rsidRPr="00816E1D">
        <w:rPr>
          <w:i/>
          <w:iCs/>
        </w:rPr>
        <w:t>p</w:t>
      </w:r>
      <w:r w:rsidRPr="00816E1D">
        <w:t xml:space="preserve"> = 0.92</w:t>
      </w:r>
      <w:r>
        <w:t>)</w:t>
      </w:r>
      <w:r w:rsidRPr="00816E1D">
        <w:t xml:space="preserve"> </w:t>
      </w:r>
      <w:r>
        <w:t>(Table</w:t>
      </w:r>
      <w:r w:rsidRPr="00816E1D">
        <w:t xml:space="preserve"> </w:t>
      </w:r>
      <w:r>
        <w:t>S4</w:t>
      </w:r>
      <w:r w:rsidRPr="00816E1D">
        <w:t xml:space="preserve">). Between the two </w:t>
      </w:r>
      <w:r>
        <w:t xml:space="preserve">Panama </w:t>
      </w:r>
      <w:r w:rsidRPr="00816E1D">
        <w:t xml:space="preserve">Canal sites, Capira </w:t>
      </w:r>
      <w:r>
        <w:t>had greater</w:t>
      </w:r>
      <w:r w:rsidRPr="00816E1D">
        <w:t xml:space="preserve"> ASV richness and Shannon diversity (Richness: </w:t>
      </w:r>
      <w:r w:rsidRPr="00816E1D">
        <w:rPr>
          <w:i/>
        </w:rPr>
        <w:t>p</w:t>
      </w:r>
      <w:r w:rsidRPr="00816E1D">
        <w:t xml:space="preserve"> = 0.017; Shannon </w:t>
      </w:r>
      <w:r>
        <w:t>d</w:t>
      </w:r>
      <w:r w:rsidRPr="00816E1D">
        <w:t xml:space="preserve">iversity: </w:t>
      </w:r>
      <w:r w:rsidRPr="00816E1D">
        <w:rPr>
          <w:i/>
        </w:rPr>
        <w:t>p</w:t>
      </w:r>
      <w:r w:rsidRPr="00816E1D">
        <w:t xml:space="preserve"> = 0.044</w:t>
      </w:r>
      <w:r>
        <w:t>) (Fig. S10) compared to La Chorrera; however,</w:t>
      </w:r>
      <w:r w:rsidRPr="00816E1D">
        <w:t xml:space="preserve"> there was no difference in Faith’s phylogenetic diversity or Pielou’s evenness (</w:t>
      </w:r>
      <w:r w:rsidRPr="00816E1D">
        <w:rPr>
          <w:i/>
        </w:rPr>
        <w:t>p</w:t>
      </w:r>
      <w:r w:rsidRPr="00816E1D">
        <w:t xml:space="preserve"> = 0.501 and </w:t>
      </w:r>
      <w:r w:rsidRPr="00816E1D">
        <w:rPr>
          <w:i/>
          <w:iCs/>
        </w:rPr>
        <w:t xml:space="preserve">p </w:t>
      </w:r>
      <w:r w:rsidRPr="00816E1D">
        <w:t>= 0.917, respectively</w:t>
      </w:r>
      <w:r>
        <w:t>) (Fig. S10; Table S4)</w:t>
      </w:r>
      <w:r w:rsidRPr="00816E1D">
        <w:t xml:space="preserve">. </w:t>
      </w:r>
    </w:p>
    <w:p w14:paraId="0D0114AF" w14:textId="77777777" w:rsidR="00BA51F4" w:rsidRPr="00816E1D" w:rsidRDefault="00BA51F4" w:rsidP="00BA51F4">
      <w:pPr>
        <w:spacing w:line="480" w:lineRule="auto"/>
        <w:ind w:firstLine="720"/>
      </w:pPr>
      <w:r>
        <w:t>The dataset was split by habitat type to examine associations between sampling region and gut bacterial diversity more closely. When only examining pasture palms, a slightly different pattern was found. Vector gut microbial diversity in Veraguas was significantly greater than La Chorrera in ASV richness (</w:t>
      </w:r>
      <w:r w:rsidRPr="22313F8F">
        <w:rPr>
          <w:i/>
          <w:iCs/>
        </w:rPr>
        <w:t>p</w:t>
      </w:r>
      <w:r>
        <w:t xml:space="preserve"> = 0.0019) and Shannon diversity (</w:t>
      </w:r>
      <w:r w:rsidRPr="22313F8F">
        <w:rPr>
          <w:i/>
          <w:iCs/>
        </w:rPr>
        <w:t>p</w:t>
      </w:r>
      <w:r>
        <w:t xml:space="preserve"> &lt; 0.001) and only significantly greater than Capira in Shannon diversity (</w:t>
      </w:r>
      <w:r w:rsidRPr="22313F8F">
        <w:rPr>
          <w:i/>
          <w:iCs/>
        </w:rPr>
        <w:t>p</w:t>
      </w:r>
      <w:r>
        <w:t xml:space="preserve"> = 0.019) (Table 6). Additionally, Capira had greater richness (</w:t>
      </w:r>
      <w:r w:rsidRPr="22313F8F">
        <w:rPr>
          <w:i/>
          <w:iCs/>
        </w:rPr>
        <w:t>p</w:t>
      </w:r>
      <w:r>
        <w:t xml:space="preserve"> = 0.017) and Shannon diversity (</w:t>
      </w:r>
      <w:r w:rsidRPr="22313F8F">
        <w:rPr>
          <w:i/>
          <w:iCs/>
        </w:rPr>
        <w:t>p</w:t>
      </w:r>
      <w:r>
        <w:t xml:space="preserve"> = 0.019) when compared to La Chorrera samples (Fig. 3; Table 6). Across all peridomestic palms, samples collected at Veraguas were also significantly greater than samples collected at Capira and La Chorrera in richness (</w:t>
      </w:r>
      <w:r w:rsidRPr="22313F8F">
        <w:rPr>
          <w:i/>
          <w:iCs/>
        </w:rPr>
        <w:t>p</w:t>
      </w:r>
      <w:r>
        <w:t xml:space="preserve"> &lt; 0.001; </w:t>
      </w:r>
      <w:r w:rsidRPr="22313F8F">
        <w:rPr>
          <w:i/>
          <w:iCs/>
        </w:rPr>
        <w:t>p</w:t>
      </w:r>
      <w:r>
        <w:t xml:space="preserve"> &lt; 0.001, respectively), Shannon diversity (</w:t>
      </w:r>
      <w:r w:rsidRPr="22313F8F">
        <w:rPr>
          <w:i/>
          <w:iCs/>
        </w:rPr>
        <w:t>p</w:t>
      </w:r>
      <w:r>
        <w:t xml:space="preserve"> = 0.0015; </w:t>
      </w:r>
      <w:r w:rsidRPr="22313F8F">
        <w:rPr>
          <w:i/>
          <w:iCs/>
        </w:rPr>
        <w:t>p</w:t>
      </w:r>
      <w:r>
        <w:t xml:space="preserve"> &lt; 0.001), and Faith’s phylogenetic </w:t>
      </w:r>
      <w:r>
        <w:lastRenderedPageBreak/>
        <w:t>diversity (</w:t>
      </w:r>
      <w:r w:rsidRPr="22313F8F">
        <w:rPr>
          <w:i/>
          <w:iCs/>
        </w:rPr>
        <w:t>p</w:t>
      </w:r>
      <w:r>
        <w:t xml:space="preserve"> &lt; 0.001; </w:t>
      </w:r>
      <w:r w:rsidRPr="22313F8F">
        <w:rPr>
          <w:i/>
          <w:iCs/>
        </w:rPr>
        <w:t>p</w:t>
      </w:r>
      <w:r>
        <w:t xml:space="preserve"> &lt; 0.001). However, at peridomestic palms, there was no difference in alpha diversity between Capira and La Chorrera samples (Fig. 3, Table 7). Forest remnant palms were only sampled in Veraguas and were therefore not compared to any other sampling regions. </w:t>
      </w:r>
    </w:p>
    <w:p w14:paraId="7D832548" w14:textId="77777777" w:rsidR="00BA51F4" w:rsidRDefault="00BA51F4" w:rsidP="00BA51F4">
      <w:pPr>
        <w:spacing w:line="480" w:lineRule="auto"/>
        <w:ind w:firstLine="720"/>
      </w:pPr>
      <w:r w:rsidRPr="00816E1D">
        <w:rPr>
          <w:b/>
          <w:bCs/>
          <w:i/>
          <w:iCs/>
        </w:rPr>
        <w:t xml:space="preserve">Mixed linear models for alpha diversity. </w:t>
      </w:r>
      <w:r>
        <w:t>Sampling region affected the Shannon diversity (R</w:t>
      </w:r>
      <w:r w:rsidRPr="0047754D">
        <w:rPr>
          <w:vertAlign w:val="superscript"/>
        </w:rPr>
        <w:t>2</w:t>
      </w:r>
      <w:r>
        <w:t xml:space="preserve"> = 0.0762, </w:t>
      </w:r>
      <w:r w:rsidRPr="0047754D">
        <w:rPr>
          <w:i/>
        </w:rPr>
        <w:t>p</w:t>
      </w:r>
      <w:r>
        <w:t xml:space="preserve"> = 0.0338) across all triatomine samples, however, after splitting the data by habitat type, sampling region did not affect the alpha diversity within the pasture or peridomestic palms (Tables 1-2). </w:t>
      </w:r>
    </w:p>
    <w:p w14:paraId="2B3A45B3" w14:textId="77777777" w:rsidR="00BA51F4" w:rsidRDefault="00BA51F4" w:rsidP="00BA51F4">
      <w:pPr>
        <w:spacing w:line="480" w:lineRule="auto"/>
        <w:ind w:firstLine="720"/>
      </w:pPr>
      <w:r w:rsidRPr="22313F8F">
        <w:rPr>
          <w:b/>
          <w:bCs/>
          <w:i/>
          <w:iCs/>
        </w:rPr>
        <w:t>Beta (between-sample) diversity.</w:t>
      </w:r>
      <w:r w:rsidRPr="22313F8F">
        <w:rPr>
          <w:b/>
          <w:bCs/>
        </w:rPr>
        <w:t xml:space="preserve"> </w:t>
      </w:r>
      <w:r>
        <w:t xml:space="preserve">Without accounting for other factors, community composition varied across sampling regions (UniFrac PERMANOVA: pseudo-F statistic = 13.033199, </w:t>
      </w:r>
      <w:r w:rsidRPr="22313F8F">
        <w:rPr>
          <w:i/>
          <w:iCs/>
        </w:rPr>
        <w:t>p</w:t>
      </w:r>
      <w:r>
        <w:t xml:space="preserve"> = 0.001, with non-significant beta-dispersion on 999 permutations: </w:t>
      </w:r>
      <w:r w:rsidRPr="22313F8F">
        <w:rPr>
          <w:i/>
          <w:iCs/>
        </w:rPr>
        <w:t>p</w:t>
      </w:r>
      <w:r>
        <w:t xml:space="preserve"> = 0.261) (Table S6), whereas community structure (wUniFrac) showed considerably more overlap across all regions, and Veraguas had significantly greater variance than the other two regions (wUniFrac PERMANOVA: pseudo-F statistic = 25.136, </w:t>
      </w:r>
      <w:r w:rsidRPr="22313F8F">
        <w:rPr>
          <w:i/>
          <w:iCs/>
        </w:rPr>
        <w:t>p</w:t>
      </w:r>
      <w:r>
        <w:t xml:space="preserve"> = 0.001, with significant beta-dispersion on 999 permutations: </w:t>
      </w:r>
      <w:r w:rsidRPr="22313F8F">
        <w:rPr>
          <w:i/>
          <w:iCs/>
        </w:rPr>
        <w:t>p</w:t>
      </w:r>
      <w:r>
        <w:t xml:space="preserve"> = 0.001) (Table S6). Across only pasture palms, community composition clustered by sampling region with Capira samples more distinct than the other regions and no differences in variances (UniFrac: pseudo-F statistic = 9.195085, </w:t>
      </w:r>
      <w:r w:rsidRPr="22313F8F">
        <w:rPr>
          <w:i/>
          <w:iCs/>
        </w:rPr>
        <w:t>p</w:t>
      </w:r>
      <w:r>
        <w:t xml:space="preserve"> = 0.001 with non-significant beta-dispersion on 999 permutations: p = 0.127) (Table 8) while community structure showed more overlap across all regions and Veraguas had significantly greater variance than the other two regions (wUniFrac: pseudo-F statistic = 13.223361, </w:t>
      </w:r>
      <w:r w:rsidRPr="22313F8F">
        <w:rPr>
          <w:i/>
          <w:iCs/>
        </w:rPr>
        <w:t>p</w:t>
      </w:r>
      <w:r>
        <w:t xml:space="preserve"> = 0.001, beta-dispersion on 999 permutations: </w:t>
      </w:r>
      <w:r w:rsidRPr="22313F8F">
        <w:rPr>
          <w:i/>
          <w:iCs/>
        </w:rPr>
        <w:t>p</w:t>
      </w:r>
      <w:r>
        <w:t xml:space="preserve"> = 0.019) (Fig. 5, Table 8). These results suggest variance is driven, in part, by less abundant taxa. However, palm identity and triatomine age group explained 38% of the variation in community composition and 52% of the variation in community structure (Table </w:t>
      </w:r>
      <w:r>
        <w:lastRenderedPageBreak/>
        <w:t>9). After accounting for palm identity and triatomine age groups, sampling region alone did not explain any variation (Table 9).</w:t>
      </w:r>
    </w:p>
    <w:p w14:paraId="7590B852" w14:textId="77777777" w:rsidR="00BA51F4" w:rsidRPr="005E185B" w:rsidRDefault="00BA51F4" w:rsidP="00BA51F4">
      <w:pPr>
        <w:spacing w:line="480" w:lineRule="auto"/>
        <w:ind w:firstLine="720"/>
      </w:pPr>
      <w:r>
        <w:t>At peridomestic palms, there was significant clustering across sampling region with some overlap for both measures of beta diversity and differences in variances using weighted UniFrac distances (</w:t>
      </w:r>
      <w:r w:rsidRPr="00816E1D">
        <w:t xml:space="preserve">UniFrac: pseudo-F statistic = 6.491517, </w:t>
      </w:r>
      <w:r w:rsidRPr="00816E1D">
        <w:rPr>
          <w:i/>
          <w:iCs/>
        </w:rPr>
        <w:t>p</w:t>
      </w:r>
      <w:r w:rsidRPr="00816E1D">
        <w:t xml:space="preserve"> = 0.001</w:t>
      </w:r>
      <w:r>
        <w:t xml:space="preserve">, with non-significant beta-dispersion on 999 permutations: </w:t>
      </w:r>
      <w:r w:rsidRPr="00B276DC">
        <w:rPr>
          <w:i/>
          <w:iCs/>
        </w:rPr>
        <w:t>p</w:t>
      </w:r>
      <w:r>
        <w:t xml:space="preserve"> = 0.051; </w:t>
      </w:r>
      <w:r w:rsidRPr="00816E1D">
        <w:t xml:space="preserve">wUniFrac: pseudo-F statistic = 12.048014, </w:t>
      </w:r>
      <w:r w:rsidRPr="00816E1D">
        <w:rPr>
          <w:i/>
          <w:iCs/>
        </w:rPr>
        <w:t>p</w:t>
      </w:r>
      <w:r w:rsidRPr="00816E1D">
        <w:t xml:space="preserve"> = 0.001</w:t>
      </w:r>
      <w:r>
        <w:t xml:space="preserve">, with significant beta-dispersion on 999 permutations: </w:t>
      </w:r>
      <w:r w:rsidRPr="00606D90">
        <w:rPr>
          <w:i/>
          <w:iCs/>
        </w:rPr>
        <w:t>p</w:t>
      </w:r>
      <w:r>
        <w:t xml:space="preserve"> = 0.028) (Table 10)</w:t>
      </w:r>
      <w:r w:rsidRPr="00816E1D">
        <w:t>.</w:t>
      </w:r>
      <w:r>
        <w:t xml:space="preserve"> Similar to pasture palms, after accounting for palm identity and triatomine age groups (42% of total variation in community composition and 48% of total variation in community structure), sampling region alone did not contribute to variation in beta diversity amongst peridomestic palm samples (Table 11). </w:t>
      </w:r>
    </w:p>
    <w:p w14:paraId="4BFC08E4" w14:textId="77777777" w:rsidR="00BA51F4" w:rsidRDefault="00BA51F4" w:rsidP="00BA51F4">
      <w:pPr>
        <w:spacing w:line="480" w:lineRule="auto"/>
        <w:rPr>
          <w:b/>
          <w:bCs/>
        </w:rPr>
      </w:pPr>
    </w:p>
    <w:p w14:paraId="1EEDEA46" w14:textId="77777777" w:rsidR="00BA51F4" w:rsidRDefault="00BA51F4" w:rsidP="00BA51F4">
      <w:pPr>
        <w:spacing w:line="480" w:lineRule="auto"/>
        <w:rPr>
          <w:b/>
          <w:bCs/>
        </w:rPr>
      </w:pPr>
      <w:r w:rsidRPr="00816E1D">
        <w:rPr>
          <w:b/>
          <w:bCs/>
        </w:rPr>
        <w:t>Gut microbial composition and structure across palm habitat type.</w:t>
      </w:r>
    </w:p>
    <w:p w14:paraId="284131EF" w14:textId="77777777" w:rsidR="00BA51F4" w:rsidRPr="00F36DBA" w:rsidRDefault="00BA51F4" w:rsidP="00BA51F4">
      <w:pPr>
        <w:spacing w:line="480" w:lineRule="auto"/>
        <w:ind w:firstLine="720"/>
        <w:rPr>
          <w:iCs/>
        </w:rPr>
      </w:pPr>
      <w:r w:rsidRPr="00835AEB">
        <w:rPr>
          <w:b/>
          <w:bCs/>
          <w:i/>
          <w:iCs/>
        </w:rPr>
        <w:t>Relative abundance.</w:t>
      </w:r>
      <w:r>
        <w:t xml:space="preserve"> </w:t>
      </w:r>
      <w:r w:rsidRPr="00816E1D">
        <w:t xml:space="preserve">Across habitat </w:t>
      </w:r>
      <w:r>
        <w:t>types for all samples</w:t>
      </w:r>
      <w:r w:rsidRPr="00816E1D">
        <w:t xml:space="preserve">, </w:t>
      </w:r>
      <w:r w:rsidRPr="00816E1D">
        <w:rPr>
          <w:i/>
        </w:rPr>
        <w:t xml:space="preserve">Sphingomonas </w:t>
      </w:r>
      <w:r w:rsidRPr="00816E1D">
        <w:t>was the domina</w:t>
      </w:r>
      <w:r>
        <w:t>nt</w:t>
      </w:r>
      <w:r w:rsidRPr="00816E1D">
        <w:t xml:space="preserve"> </w:t>
      </w:r>
      <w:r>
        <w:t xml:space="preserve">bacterial </w:t>
      </w:r>
      <w:r w:rsidRPr="00816E1D">
        <w:t>genera</w:t>
      </w:r>
      <w:r>
        <w:t xml:space="preserve">. </w:t>
      </w:r>
      <w:r w:rsidRPr="00816E1D">
        <w:t xml:space="preserve">Similar to </w:t>
      </w:r>
      <w:r>
        <w:t xml:space="preserve">samples collected across </w:t>
      </w:r>
      <w:r w:rsidRPr="00816E1D">
        <w:t>Veraguas</w:t>
      </w:r>
      <w:r>
        <w:t xml:space="preserve">, bugs captured from forest remnants displayed lowered mean relative abundances of </w:t>
      </w:r>
      <w:r w:rsidRPr="00816E1D">
        <w:rPr>
          <w:i/>
        </w:rPr>
        <w:t xml:space="preserve">Sphingomonas </w:t>
      </w:r>
      <w:r w:rsidRPr="00816E1D">
        <w:t xml:space="preserve">(pasture palms: 69.8%, peridomestic palms: 68.1%, and forest remnant palms: 55.6%) </w:t>
      </w:r>
      <w:r>
        <w:t xml:space="preserve">and greater </w:t>
      </w:r>
      <w:r>
        <w:rPr>
          <w:iCs/>
        </w:rPr>
        <w:t>relative mean abundance of</w:t>
      </w:r>
      <w:r w:rsidRPr="00816E1D">
        <w:t xml:space="preserve"> </w:t>
      </w:r>
      <w:r w:rsidRPr="00816E1D">
        <w:rPr>
          <w:i/>
        </w:rPr>
        <w:t>Erwinia</w:t>
      </w:r>
      <w:r>
        <w:t xml:space="preserve"> </w:t>
      </w:r>
      <w:r>
        <w:rPr>
          <w:iCs/>
        </w:rPr>
        <w:t>(pasture palms: 2.9%, peridomestic palms: 4.6%, forest remnant palms: 20.1%) than bugs collected from the other two habitat types.</w:t>
      </w:r>
    </w:p>
    <w:p w14:paraId="682561A2" w14:textId="77777777" w:rsidR="00BA51F4" w:rsidRDefault="00BA51F4" w:rsidP="00BA51F4">
      <w:pPr>
        <w:spacing w:line="480" w:lineRule="auto"/>
        <w:ind w:firstLine="720"/>
      </w:pPr>
      <w:r w:rsidRPr="00816E1D">
        <w:rPr>
          <w:b/>
          <w:bCs/>
          <w:i/>
          <w:iCs/>
        </w:rPr>
        <w:t xml:space="preserve">Alpha </w:t>
      </w:r>
      <w:r>
        <w:rPr>
          <w:b/>
          <w:bCs/>
          <w:i/>
          <w:iCs/>
        </w:rPr>
        <w:t>d</w:t>
      </w:r>
      <w:r w:rsidRPr="00816E1D">
        <w:rPr>
          <w:b/>
          <w:bCs/>
          <w:i/>
          <w:iCs/>
        </w:rPr>
        <w:t>iversity</w:t>
      </w:r>
      <w:r w:rsidRPr="00816E1D">
        <w:t xml:space="preserve">. Across habitat types, samples from forest remnant palms were consistently different from samples </w:t>
      </w:r>
      <w:r>
        <w:t>collected in</w:t>
      </w:r>
      <w:r w:rsidRPr="00816E1D">
        <w:t xml:space="preserve"> both pasture</w:t>
      </w:r>
      <w:r>
        <w:t xml:space="preserve"> palms</w:t>
      </w:r>
      <w:r w:rsidRPr="00816E1D">
        <w:t xml:space="preserve"> (Richness: </w:t>
      </w:r>
      <w:r w:rsidRPr="00816E1D">
        <w:rPr>
          <w:i/>
        </w:rPr>
        <w:t>p</w:t>
      </w:r>
      <w:r w:rsidRPr="00816E1D">
        <w:t xml:space="preserve"> = 0.0204; Shannon </w:t>
      </w:r>
      <w:r>
        <w:t>d</w:t>
      </w:r>
      <w:r w:rsidRPr="00816E1D">
        <w:t xml:space="preserve">iversity: </w:t>
      </w:r>
      <w:r w:rsidRPr="00816E1D">
        <w:rPr>
          <w:i/>
        </w:rPr>
        <w:t>p</w:t>
      </w:r>
      <w:r w:rsidRPr="00816E1D">
        <w:t xml:space="preserve"> &lt; 0.001; Faith’s phylogenetic diversity: </w:t>
      </w:r>
      <w:r w:rsidRPr="00816E1D">
        <w:rPr>
          <w:i/>
        </w:rPr>
        <w:t>p</w:t>
      </w:r>
      <w:r w:rsidRPr="00816E1D">
        <w:t xml:space="preserve"> = 0.00270; Pielou’s evenness </w:t>
      </w:r>
      <w:r w:rsidRPr="00816E1D">
        <w:rPr>
          <w:i/>
          <w:iCs/>
        </w:rPr>
        <w:t>p</w:t>
      </w:r>
      <w:r w:rsidRPr="00816E1D">
        <w:t xml:space="preserve"> &lt; 0.001) and peridomestic palms (Richness: </w:t>
      </w:r>
      <w:r w:rsidRPr="00816E1D">
        <w:rPr>
          <w:i/>
        </w:rPr>
        <w:t>p</w:t>
      </w:r>
      <w:r w:rsidRPr="00816E1D">
        <w:t xml:space="preserve"> &lt; 0.001; Shannon </w:t>
      </w:r>
      <w:r>
        <w:t>d</w:t>
      </w:r>
      <w:r w:rsidRPr="00816E1D">
        <w:t xml:space="preserve">iversity: </w:t>
      </w:r>
      <w:r w:rsidRPr="00816E1D">
        <w:rPr>
          <w:i/>
        </w:rPr>
        <w:t>p</w:t>
      </w:r>
      <w:r w:rsidRPr="00816E1D">
        <w:t xml:space="preserve"> &lt; 0.001; Faith’s </w:t>
      </w:r>
      <w:r>
        <w:lastRenderedPageBreak/>
        <w:t>p</w:t>
      </w:r>
      <w:r w:rsidRPr="00816E1D">
        <w:t xml:space="preserve">hylogenetic </w:t>
      </w:r>
      <w:r>
        <w:t>d</w:t>
      </w:r>
      <w:r w:rsidRPr="00816E1D">
        <w:t xml:space="preserve">iversity: </w:t>
      </w:r>
      <w:r w:rsidRPr="00816E1D">
        <w:rPr>
          <w:i/>
        </w:rPr>
        <w:t>p</w:t>
      </w:r>
      <w:r w:rsidRPr="00816E1D">
        <w:t xml:space="preserve"> = 0.00631, Pielou’s </w:t>
      </w:r>
      <w:r>
        <w:t>e</w:t>
      </w:r>
      <w:r w:rsidRPr="00816E1D">
        <w:t xml:space="preserve">venness: </w:t>
      </w:r>
      <w:r w:rsidRPr="00816E1D">
        <w:rPr>
          <w:i/>
          <w:iCs/>
        </w:rPr>
        <w:t xml:space="preserve">p </w:t>
      </w:r>
      <w:r w:rsidRPr="00816E1D">
        <w:t>= 0.001)</w:t>
      </w:r>
      <w:r>
        <w:t xml:space="preserve"> (Table S7)</w:t>
      </w:r>
      <w:r w:rsidRPr="00816E1D">
        <w:t xml:space="preserve">. Pasture and peridomestic </w:t>
      </w:r>
      <w:r>
        <w:t xml:space="preserve">palm </w:t>
      </w:r>
      <w:r w:rsidRPr="00816E1D">
        <w:t xml:space="preserve">samples, however, were only significantly different across ASV richness (Richness: </w:t>
      </w:r>
      <w:r w:rsidRPr="00816E1D">
        <w:rPr>
          <w:i/>
        </w:rPr>
        <w:t>p</w:t>
      </w:r>
      <w:r w:rsidRPr="00816E1D">
        <w:t xml:space="preserve"> = 0.045; Shannon </w:t>
      </w:r>
      <w:r>
        <w:t>d</w:t>
      </w:r>
      <w:r w:rsidRPr="00816E1D">
        <w:t xml:space="preserve">iversity: </w:t>
      </w:r>
      <w:r w:rsidRPr="00816E1D">
        <w:rPr>
          <w:i/>
        </w:rPr>
        <w:t>p</w:t>
      </w:r>
      <w:r w:rsidRPr="00816E1D">
        <w:t xml:space="preserve"> = 0.880; Faith’s </w:t>
      </w:r>
      <w:r>
        <w:t>p</w:t>
      </w:r>
      <w:r w:rsidRPr="00816E1D">
        <w:t xml:space="preserve">hylogenetic </w:t>
      </w:r>
      <w:r>
        <w:t>d</w:t>
      </w:r>
      <w:r w:rsidRPr="00816E1D">
        <w:t xml:space="preserve">iversity: </w:t>
      </w:r>
      <w:r w:rsidRPr="00816E1D">
        <w:rPr>
          <w:i/>
        </w:rPr>
        <w:t>p</w:t>
      </w:r>
      <w:r w:rsidRPr="00816E1D">
        <w:t xml:space="preserve"> = 0.377; Pielou’s </w:t>
      </w:r>
      <w:r>
        <w:t>e</w:t>
      </w:r>
      <w:r w:rsidRPr="00816E1D">
        <w:t xml:space="preserve">venness: </w:t>
      </w:r>
      <w:r w:rsidRPr="00816E1D">
        <w:rPr>
          <w:i/>
          <w:iCs/>
        </w:rPr>
        <w:t>p</w:t>
      </w:r>
      <w:r w:rsidRPr="00816E1D">
        <w:t xml:space="preserve"> = 0.534) (Fig. </w:t>
      </w:r>
      <w:r>
        <w:t>S10, Table S7)</w:t>
      </w:r>
      <w:r w:rsidRPr="00816E1D">
        <w:t xml:space="preserve">. </w:t>
      </w:r>
    </w:p>
    <w:p w14:paraId="7D1F6C73" w14:textId="77777777" w:rsidR="00BA51F4" w:rsidRPr="00816E1D" w:rsidRDefault="00BA51F4" w:rsidP="00BA51F4">
      <w:pPr>
        <w:spacing w:line="480" w:lineRule="auto"/>
        <w:ind w:firstLine="720"/>
      </w:pPr>
      <w:r w:rsidRPr="00816E1D">
        <w:t xml:space="preserve">To further examine the relationships between </w:t>
      </w:r>
      <w:r>
        <w:t xml:space="preserve">within-sample </w:t>
      </w:r>
      <w:r w:rsidRPr="00816E1D">
        <w:t xml:space="preserve">bacterial communities and habitat type, </w:t>
      </w:r>
      <w:r>
        <w:t xml:space="preserve">we split </w:t>
      </w:r>
      <w:r w:rsidRPr="00816E1D">
        <w:t xml:space="preserve">the dataset by sampling region. At Capira, pasture and peridomestic samples were statistically similar as measured by Shannon </w:t>
      </w:r>
      <w:r>
        <w:t>d</w:t>
      </w:r>
      <w:r w:rsidRPr="00816E1D">
        <w:t xml:space="preserve">iversity, Faith’s </w:t>
      </w:r>
      <w:r>
        <w:t>p</w:t>
      </w:r>
      <w:r w:rsidRPr="00816E1D">
        <w:t xml:space="preserve">hylogenetic </w:t>
      </w:r>
      <w:r>
        <w:t>d</w:t>
      </w:r>
      <w:r w:rsidRPr="00816E1D">
        <w:t xml:space="preserve">iversity, and Pielou’s </w:t>
      </w:r>
      <w:r>
        <w:t>e</w:t>
      </w:r>
      <w:r w:rsidRPr="00816E1D">
        <w:t>venness</w:t>
      </w:r>
      <w:r>
        <w:t>; however,</w:t>
      </w:r>
      <w:r w:rsidRPr="00816E1D">
        <w:t xml:space="preserve"> pasture palms displayed greater ASV richness compared to peridomestic palms</w:t>
      </w:r>
      <w:r>
        <w:t xml:space="preserve"> (</w:t>
      </w:r>
      <w:r>
        <w:rPr>
          <w:i/>
          <w:iCs/>
        </w:rPr>
        <w:t>p</w:t>
      </w:r>
      <w:r>
        <w:t xml:space="preserve"> = 0.0074) (Fig. 4, Table 12)</w:t>
      </w:r>
      <w:r w:rsidRPr="00816E1D">
        <w:t xml:space="preserve">. At La Chorrera, pasture and peridomestic palms were not significantly different across </w:t>
      </w:r>
      <w:r>
        <w:t>any</w:t>
      </w:r>
      <w:r w:rsidRPr="00816E1D">
        <w:t xml:space="preserve"> alpha diversity metrics (</w:t>
      </w:r>
      <w:r>
        <w:t>Fig. 4, Table 13</w:t>
      </w:r>
      <w:r w:rsidRPr="00816E1D">
        <w:t xml:space="preserve">). </w:t>
      </w:r>
      <w:r>
        <w:t xml:space="preserve">Similarly, at </w:t>
      </w:r>
      <w:r w:rsidRPr="00816E1D">
        <w:t xml:space="preserve">Veraguas, </w:t>
      </w:r>
      <w:r>
        <w:t xml:space="preserve">pasture palms were also not significantly different across any alpha diversity metric than peridomestic palms (Fig. 5, Table 14). However, at Veraguas, </w:t>
      </w:r>
      <w:r w:rsidRPr="00816E1D">
        <w:t>forest remnant palm</w:t>
      </w:r>
      <w:r>
        <w:t xml:space="preserve"> samples</w:t>
      </w:r>
      <w:r w:rsidRPr="00816E1D">
        <w:t xml:space="preserve"> were significantly greater than pasture palms when measured by Shannon </w:t>
      </w:r>
      <w:r>
        <w:t>d</w:t>
      </w:r>
      <w:r w:rsidRPr="00816E1D">
        <w:t>iversity (</w:t>
      </w:r>
      <w:r w:rsidRPr="00816E1D">
        <w:rPr>
          <w:i/>
          <w:iCs/>
        </w:rPr>
        <w:t>p</w:t>
      </w:r>
      <w:r w:rsidRPr="00816E1D">
        <w:t xml:space="preserve"> = 0.0087) and Pielou’s </w:t>
      </w:r>
      <w:r>
        <w:t>e</w:t>
      </w:r>
      <w:r w:rsidRPr="00816E1D">
        <w:t>venness (</w:t>
      </w:r>
      <w:r w:rsidRPr="00816E1D">
        <w:rPr>
          <w:i/>
          <w:iCs/>
        </w:rPr>
        <w:t>p</w:t>
      </w:r>
      <w:r w:rsidRPr="00816E1D">
        <w:t xml:space="preserve"> = 0.00043), but not Faith’s </w:t>
      </w:r>
      <w:r>
        <w:t>p</w:t>
      </w:r>
      <w:r w:rsidRPr="00816E1D">
        <w:t xml:space="preserve">hylogenetic </w:t>
      </w:r>
      <w:r>
        <w:t>d</w:t>
      </w:r>
      <w:r w:rsidRPr="00816E1D">
        <w:t xml:space="preserve">iversity or ASV richness, and forest remnant palms were significantly greater than peridomestic palms as measured by Shannon </w:t>
      </w:r>
      <w:r>
        <w:t>d</w:t>
      </w:r>
      <w:r w:rsidRPr="00816E1D">
        <w:t>iversity (</w:t>
      </w:r>
      <w:r w:rsidRPr="00816E1D">
        <w:rPr>
          <w:i/>
          <w:iCs/>
        </w:rPr>
        <w:t>p</w:t>
      </w:r>
      <w:r w:rsidRPr="00816E1D">
        <w:t xml:space="preserve"> = 0.0159) and Pielou’s </w:t>
      </w:r>
      <w:r>
        <w:t>e</w:t>
      </w:r>
      <w:r w:rsidRPr="00816E1D">
        <w:t>venness (</w:t>
      </w:r>
      <w:r w:rsidRPr="00816E1D">
        <w:rPr>
          <w:i/>
          <w:iCs/>
        </w:rPr>
        <w:t>p</w:t>
      </w:r>
      <w:r w:rsidRPr="00816E1D">
        <w:t xml:space="preserve"> = 0.00533), but </w:t>
      </w:r>
      <w:r>
        <w:t xml:space="preserve">again </w:t>
      </w:r>
      <w:r w:rsidRPr="00816E1D">
        <w:t xml:space="preserve">not Faith’s </w:t>
      </w:r>
      <w:r>
        <w:t>p</w:t>
      </w:r>
      <w:r w:rsidRPr="00816E1D">
        <w:t xml:space="preserve">hylogenetic </w:t>
      </w:r>
      <w:r>
        <w:t>d</w:t>
      </w:r>
      <w:r w:rsidRPr="00816E1D">
        <w:t>iversity or ASV richness</w:t>
      </w:r>
      <w:r>
        <w:t xml:space="preserve"> (Table 14).</w:t>
      </w:r>
      <w:r w:rsidRPr="00816E1D">
        <w:t xml:space="preserve"> </w:t>
      </w:r>
    </w:p>
    <w:p w14:paraId="3990677F" w14:textId="77777777" w:rsidR="00BA51F4" w:rsidRDefault="00BA51F4" w:rsidP="00BA51F4">
      <w:pPr>
        <w:spacing w:line="480" w:lineRule="auto"/>
        <w:ind w:firstLine="720"/>
      </w:pPr>
      <w:r w:rsidRPr="22313F8F">
        <w:rPr>
          <w:b/>
          <w:bCs/>
          <w:i/>
          <w:iCs/>
        </w:rPr>
        <w:t>Mixed linear models for alpha diversity across habitat types.</w:t>
      </w:r>
      <w:r>
        <w:t xml:space="preserve"> Habitat type was marginally associated with Shannon diversity across La Chorrera samples (R</w:t>
      </w:r>
      <w:r w:rsidRPr="22313F8F">
        <w:rPr>
          <w:vertAlign w:val="superscript"/>
        </w:rPr>
        <w:t>2</w:t>
      </w:r>
      <w:r>
        <w:t xml:space="preserve"> = 0.04, </w:t>
      </w:r>
      <w:r w:rsidRPr="22313F8F">
        <w:rPr>
          <w:i/>
          <w:iCs/>
        </w:rPr>
        <w:t>p</w:t>
      </w:r>
      <w:r>
        <w:t xml:space="preserve"> = 0.047) (Table 5) but was not associated with alpha diversity across Capira or Veraguas samples (Tables 3-4).</w:t>
      </w:r>
    </w:p>
    <w:p w14:paraId="73DF4661" w14:textId="77777777" w:rsidR="00BA51F4" w:rsidRDefault="00BA51F4" w:rsidP="00BA51F4">
      <w:pPr>
        <w:spacing w:line="480" w:lineRule="auto"/>
        <w:ind w:firstLine="720"/>
      </w:pPr>
      <w:r w:rsidRPr="00BA1153">
        <w:rPr>
          <w:b/>
          <w:bCs/>
          <w:i/>
          <w:iCs/>
        </w:rPr>
        <w:t xml:space="preserve">Beta </w:t>
      </w:r>
      <w:r>
        <w:rPr>
          <w:b/>
          <w:bCs/>
          <w:i/>
          <w:iCs/>
        </w:rPr>
        <w:t>d</w:t>
      </w:r>
      <w:r w:rsidRPr="00BA1153">
        <w:rPr>
          <w:b/>
          <w:bCs/>
          <w:i/>
          <w:iCs/>
        </w:rPr>
        <w:t>iversity</w:t>
      </w:r>
      <w:r>
        <w:rPr>
          <w:b/>
          <w:bCs/>
          <w:i/>
          <w:iCs/>
        </w:rPr>
        <w:t>.</w:t>
      </w:r>
      <w:r>
        <w:t xml:space="preserve"> Using a PCoA for visualization, both beta diversity metrics demonstrated that the samples clustered by habitat type (</w:t>
      </w:r>
      <w:r w:rsidRPr="00816E1D">
        <w:t xml:space="preserve">UniFrac: pseudo-F statistic: </w:t>
      </w:r>
      <w:r w:rsidRPr="00686CF5">
        <w:t>4.385148</w:t>
      </w:r>
      <w:r w:rsidRPr="00816E1D">
        <w:t xml:space="preserve">, </w:t>
      </w:r>
      <w:r w:rsidRPr="00816E1D">
        <w:rPr>
          <w:i/>
          <w:iCs/>
        </w:rPr>
        <w:t>p</w:t>
      </w:r>
      <w:r w:rsidRPr="00816E1D">
        <w:t xml:space="preserve"> = 0.001</w:t>
      </w:r>
      <w:r>
        <w:t xml:space="preserve">, with </w:t>
      </w:r>
      <w:r>
        <w:lastRenderedPageBreak/>
        <w:t xml:space="preserve">non-significant beta-dispersion on 999 permutations: </w:t>
      </w:r>
      <w:r w:rsidRPr="0047754D">
        <w:rPr>
          <w:i/>
        </w:rPr>
        <w:t>p</w:t>
      </w:r>
      <w:r>
        <w:t xml:space="preserve"> = </w:t>
      </w:r>
      <w:r w:rsidRPr="00990607">
        <w:t>0.</w:t>
      </w:r>
      <w:r>
        <w:t>464;</w:t>
      </w:r>
      <w:r w:rsidRPr="00456179">
        <w:t xml:space="preserve"> </w:t>
      </w:r>
      <w:r w:rsidRPr="00816E1D">
        <w:t xml:space="preserve">wUniFrac: pseudo-F statistic= </w:t>
      </w:r>
      <w:r w:rsidRPr="00CB6E7E">
        <w:t>6.847971</w:t>
      </w:r>
      <w:r w:rsidRPr="00816E1D">
        <w:t xml:space="preserve">, </w:t>
      </w:r>
      <w:r w:rsidRPr="00816E1D">
        <w:rPr>
          <w:i/>
          <w:iCs/>
        </w:rPr>
        <w:t>p</w:t>
      </w:r>
      <w:r w:rsidRPr="00816E1D">
        <w:t xml:space="preserve"> = 0.001</w:t>
      </w:r>
      <w:r>
        <w:t xml:space="preserve">, with non-significant beta-dispersion on 999 permutations: </w:t>
      </w:r>
      <w:r w:rsidRPr="0047754D">
        <w:rPr>
          <w:i/>
        </w:rPr>
        <w:t>p</w:t>
      </w:r>
      <w:r>
        <w:t xml:space="preserve"> = </w:t>
      </w:r>
      <w:r w:rsidRPr="000239F5">
        <w:t>0.097</w:t>
      </w:r>
      <w:r>
        <w:t xml:space="preserve">) (Fig. S11; Table S8). </w:t>
      </w:r>
    </w:p>
    <w:p w14:paraId="579BEFDF" w14:textId="77777777" w:rsidR="00BA51F4" w:rsidRDefault="00BA51F4" w:rsidP="00BA51F4">
      <w:pPr>
        <w:spacing w:line="480" w:lineRule="auto"/>
        <w:ind w:firstLine="720"/>
      </w:pPr>
      <w:r>
        <w:t xml:space="preserve">At Capira, pasture and peridomestic palms had significantly different beta diversity variances using unweighted UniFrac distances (pseudo-F statistic: </w:t>
      </w:r>
      <w:r w:rsidRPr="00714973">
        <w:t>5.146824</w:t>
      </w:r>
      <w:r>
        <w:t xml:space="preserve">, </w:t>
      </w:r>
      <w:r w:rsidRPr="00714973">
        <w:rPr>
          <w:i/>
          <w:iCs/>
        </w:rPr>
        <w:t>p</w:t>
      </w:r>
      <w:r>
        <w:t xml:space="preserve"> = 0.001, with marginal beta-dispersion on 999 permutations: </w:t>
      </w:r>
      <w:r w:rsidRPr="00B276DC">
        <w:rPr>
          <w:i/>
          <w:iCs/>
        </w:rPr>
        <w:t>p</w:t>
      </w:r>
      <w:r>
        <w:t xml:space="preserve"> = 0.049, Table 15) but showed no difference in clustering or variance using weighted UniFrac (pseudo-F statistic: </w:t>
      </w:r>
      <w:r w:rsidRPr="00EC2471">
        <w:t>3.046044</w:t>
      </w:r>
      <w:r>
        <w:t xml:space="preserve">, </w:t>
      </w:r>
      <w:r w:rsidRPr="00EC2471">
        <w:rPr>
          <w:i/>
          <w:iCs/>
        </w:rPr>
        <w:t>p</w:t>
      </w:r>
      <w:r>
        <w:t xml:space="preserve"> = 0.061, with non-significant beta-dispersion on 999 permutations: </w:t>
      </w:r>
      <w:r w:rsidRPr="00B276DC">
        <w:rPr>
          <w:i/>
          <w:iCs/>
        </w:rPr>
        <w:t>p</w:t>
      </w:r>
      <w:r>
        <w:t xml:space="preserve"> = 0.631) (Table 15). </w:t>
      </w:r>
      <w:r w:rsidDel="00275C96">
        <w:t>After accounting for palm identity and triatomine age groups (about 44%</w:t>
      </w:r>
      <w:r>
        <w:t xml:space="preserve"> of the variation in community composition and about 54% of the variation in community structure), habitat type alone did not contribute to any variation in beta diversity (Table 18).</w:t>
      </w:r>
      <w:r w:rsidDel="0003512A">
        <w:t xml:space="preserve"> </w:t>
      </w:r>
    </w:p>
    <w:p w14:paraId="144E28F0" w14:textId="77777777" w:rsidR="00BA51F4" w:rsidRDefault="00BA51F4" w:rsidP="00BA51F4">
      <w:pPr>
        <w:spacing w:line="480" w:lineRule="auto"/>
        <w:ind w:firstLine="720"/>
      </w:pPr>
      <w:r>
        <w:t xml:space="preserve">Amongst La Chorrera samples there were some differences in composition across pasture and peridomestic using unweighted UniFrac distances (pseudo-F statistic: </w:t>
      </w:r>
      <w:r w:rsidRPr="007D7525">
        <w:t>2.754805</w:t>
      </w:r>
      <w:r>
        <w:t xml:space="preserve">, </w:t>
      </w:r>
      <w:r w:rsidRPr="006531E8">
        <w:rPr>
          <w:i/>
          <w:iCs/>
        </w:rPr>
        <w:t>p</w:t>
      </w:r>
      <w:r>
        <w:t xml:space="preserve"> = 0.004, with non-significant beta-dispersion on 999 permutations: </w:t>
      </w:r>
      <w:r w:rsidRPr="00B276DC">
        <w:rPr>
          <w:i/>
          <w:iCs/>
        </w:rPr>
        <w:t>p</w:t>
      </w:r>
      <w:r>
        <w:t xml:space="preserve"> = 0.152) (Table 16) but no differences using weighted UniFrac (pseudo-F statistic: 1.909, </w:t>
      </w:r>
      <w:r w:rsidRPr="00451E55">
        <w:rPr>
          <w:i/>
          <w:iCs/>
        </w:rPr>
        <w:t>p</w:t>
      </w:r>
      <w:r>
        <w:t xml:space="preserve"> = 0.058, with non-significant beta-dispersion on 999 permutations: </w:t>
      </w:r>
      <w:r w:rsidRPr="00451E55">
        <w:rPr>
          <w:i/>
          <w:iCs/>
        </w:rPr>
        <w:t>p</w:t>
      </w:r>
      <w:r>
        <w:t xml:space="preserve"> = 0.129) (Table 16). At Veraguas, the forest and peridomestic samples clustered together, indicating little difference in composition between the two habitat types, while pasture palms only slightly overlapped using unweighted UniFrac distances (pseudo-F statistic: 2.732, </w:t>
      </w:r>
      <w:r w:rsidRPr="00CA143C">
        <w:rPr>
          <w:i/>
          <w:iCs/>
        </w:rPr>
        <w:t>p</w:t>
      </w:r>
      <w:r>
        <w:t xml:space="preserve"> = 0.001, with non-significant beta-dispersion on 999 permutations, </w:t>
      </w:r>
      <w:r w:rsidRPr="00CA143C">
        <w:rPr>
          <w:i/>
          <w:iCs/>
        </w:rPr>
        <w:t>p</w:t>
      </w:r>
      <w:r>
        <w:t xml:space="preserve"> = 0.427) (Table 17), demonstrating some differences in composition across habitat types. Similarly, although there was some overlap between the habitat types using weighted UniFrac distances, the community structure differs across habitat types (pseudo-F statistic: </w:t>
      </w:r>
      <w:r w:rsidRPr="00767A6A">
        <w:t>3.98348</w:t>
      </w:r>
      <w:r>
        <w:t xml:space="preserve">, </w:t>
      </w:r>
      <w:r w:rsidRPr="00CA143C">
        <w:rPr>
          <w:i/>
          <w:iCs/>
        </w:rPr>
        <w:t>p</w:t>
      </w:r>
      <w:r>
        <w:t xml:space="preserve"> = 0.001, with non-significant beta-dispersion on 999 permutations, </w:t>
      </w:r>
      <w:r w:rsidRPr="00CA143C">
        <w:rPr>
          <w:i/>
          <w:iCs/>
        </w:rPr>
        <w:t>p</w:t>
      </w:r>
      <w:r>
        <w:t xml:space="preserve"> = </w:t>
      </w:r>
      <w:r>
        <w:lastRenderedPageBreak/>
        <w:t xml:space="preserve">0.222) (Table 17). After accounting for palm identity and triatomine age groups (about 33-44% of the variation in community composition and 37-54% of the variation in community structure), habitat type only did not significantly contribute to variation in composition or structure across any of the sampling regions (Tables 18-20). </w:t>
      </w:r>
    </w:p>
    <w:p w14:paraId="15853A62" w14:textId="77777777" w:rsidR="00BA51F4" w:rsidRDefault="00BA51F4" w:rsidP="00BA51F4">
      <w:pPr>
        <w:spacing w:line="480" w:lineRule="auto"/>
        <w:ind w:firstLine="720"/>
        <w:rPr>
          <w:b/>
          <w:bCs/>
        </w:rPr>
      </w:pPr>
    </w:p>
    <w:p w14:paraId="331D881C" w14:textId="77777777" w:rsidR="00BA51F4" w:rsidRDefault="00BA51F4" w:rsidP="00BA51F4">
      <w:pPr>
        <w:spacing w:line="480" w:lineRule="auto"/>
      </w:pPr>
      <w:r w:rsidRPr="00600C4F">
        <w:rPr>
          <w:b/>
          <w:bCs/>
        </w:rPr>
        <w:t xml:space="preserve">Associations between gut microbial </w:t>
      </w:r>
      <w:r>
        <w:rPr>
          <w:b/>
          <w:bCs/>
        </w:rPr>
        <w:t>diversity</w:t>
      </w:r>
      <w:r w:rsidRPr="00600C4F">
        <w:rPr>
          <w:b/>
          <w:bCs/>
        </w:rPr>
        <w:t xml:space="preserve"> and </w:t>
      </w:r>
      <w:r>
        <w:rPr>
          <w:b/>
          <w:bCs/>
        </w:rPr>
        <w:t xml:space="preserve">vertebrate </w:t>
      </w:r>
      <w:r w:rsidRPr="00600C4F">
        <w:rPr>
          <w:b/>
          <w:bCs/>
        </w:rPr>
        <w:t>blood meal</w:t>
      </w:r>
      <w:r>
        <w:rPr>
          <w:b/>
          <w:bCs/>
        </w:rPr>
        <w:t>s</w:t>
      </w:r>
      <w:r w:rsidRPr="00600C4F">
        <w:t>.</w:t>
      </w:r>
    </w:p>
    <w:p w14:paraId="0EFB7118" w14:textId="77777777" w:rsidR="00BA51F4" w:rsidRPr="00816E1D" w:rsidRDefault="00BA51F4" w:rsidP="00BA51F4">
      <w:pPr>
        <w:spacing w:line="480" w:lineRule="auto"/>
        <w:ind w:firstLine="720"/>
      </w:pPr>
      <w:r w:rsidRPr="22313F8F">
        <w:rPr>
          <w:b/>
          <w:bCs/>
          <w:i/>
          <w:iCs/>
        </w:rPr>
        <w:t>Relative abundance</w:t>
      </w:r>
      <w:r w:rsidRPr="22313F8F">
        <w:rPr>
          <w:i/>
          <w:iCs/>
        </w:rPr>
        <w:t>.</w:t>
      </w:r>
      <w:r>
        <w:t xml:space="preserve"> After specifically examining dominant blood meal genera across sampling regions, </w:t>
      </w:r>
      <w:r w:rsidRPr="22313F8F">
        <w:rPr>
          <w:i/>
          <w:iCs/>
        </w:rPr>
        <w:t>Didelphis</w:t>
      </w:r>
      <w:r>
        <w:rPr>
          <w:i/>
          <w:iCs/>
        </w:rPr>
        <w:softHyphen/>
      </w:r>
      <w:r>
        <w:t xml:space="preserve">- and </w:t>
      </w:r>
      <w:r w:rsidRPr="22313F8F">
        <w:rPr>
          <w:i/>
          <w:iCs/>
        </w:rPr>
        <w:t>Heteromys</w:t>
      </w:r>
      <w:r>
        <w:t xml:space="preserve">-fed individuals were primarily collected at Veraguas, and </w:t>
      </w:r>
      <w:r w:rsidRPr="22313F8F">
        <w:rPr>
          <w:i/>
          <w:iCs/>
        </w:rPr>
        <w:t>Philander</w:t>
      </w:r>
      <w:r>
        <w:t xml:space="preserve">-fed individuals were primarily only found at Capira and La Chorrera (Fig. S10). We only considered individuals that fed on </w:t>
      </w:r>
      <w:r w:rsidRPr="22313F8F">
        <w:rPr>
          <w:i/>
          <w:iCs/>
        </w:rPr>
        <w:t>Didelphis</w:t>
      </w:r>
      <w:r>
        <w:t xml:space="preserve">, </w:t>
      </w:r>
      <w:r w:rsidRPr="22313F8F">
        <w:rPr>
          <w:i/>
          <w:iCs/>
        </w:rPr>
        <w:t>Heteromys</w:t>
      </w:r>
      <w:r>
        <w:t xml:space="preserve">, and </w:t>
      </w:r>
      <w:r w:rsidRPr="22313F8F">
        <w:rPr>
          <w:i/>
          <w:iCs/>
        </w:rPr>
        <w:t>Philander</w:t>
      </w:r>
      <w:r>
        <w:t xml:space="preserve"> as their dominant blood meal for the relative abundance figures and the alpha diversity analyses. Compared to </w:t>
      </w:r>
      <w:r w:rsidRPr="22313F8F">
        <w:rPr>
          <w:i/>
          <w:iCs/>
        </w:rPr>
        <w:t>Heteromys</w:t>
      </w:r>
      <w:r>
        <w:t xml:space="preserve">-fed and </w:t>
      </w:r>
      <w:r w:rsidRPr="22313F8F">
        <w:rPr>
          <w:i/>
          <w:iCs/>
        </w:rPr>
        <w:t>Philander</w:t>
      </w:r>
      <w:r>
        <w:t>-fed triatomines, i</w:t>
      </w:r>
      <w:r w:rsidRPr="00816E1D">
        <w:t xml:space="preserve">ndividuals that fed on </w:t>
      </w:r>
      <w:r w:rsidRPr="22313F8F">
        <w:rPr>
          <w:i/>
          <w:iCs/>
        </w:rPr>
        <w:t>Didelphis</w:t>
      </w:r>
      <w:r w:rsidRPr="00816E1D">
        <w:t xml:space="preserve"> displayed lower</w:t>
      </w:r>
      <w:r>
        <w:t xml:space="preserve"> mean relative abundance of</w:t>
      </w:r>
      <w:r w:rsidRPr="00816E1D">
        <w:t xml:space="preserve"> </w:t>
      </w:r>
      <w:r w:rsidRPr="22313F8F">
        <w:rPr>
          <w:i/>
          <w:iCs/>
        </w:rPr>
        <w:t xml:space="preserve">Sphingomonas </w:t>
      </w:r>
      <w:r w:rsidRPr="00816E1D">
        <w:t>(</w:t>
      </w:r>
      <w:r w:rsidRPr="22313F8F">
        <w:rPr>
          <w:i/>
          <w:iCs/>
        </w:rPr>
        <w:t>Didelphis</w:t>
      </w:r>
      <w:r>
        <w:t xml:space="preserve">: </w:t>
      </w:r>
      <w:r w:rsidRPr="00816E1D">
        <w:t>46.0%</w:t>
      </w:r>
      <w:r>
        <w:t xml:space="preserve">, </w:t>
      </w:r>
      <w:r w:rsidRPr="22313F8F">
        <w:rPr>
          <w:i/>
          <w:iCs/>
        </w:rPr>
        <w:t>Heteromys</w:t>
      </w:r>
      <w:r>
        <w:t xml:space="preserve">: 66.1%, </w:t>
      </w:r>
      <w:r w:rsidRPr="22313F8F">
        <w:rPr>
          <w:i/>
          <w:iCs/>
        </w:rPr>
        <w:t>Philander</w:t>
      </w:r>
      <w:r>
        <w:t>: 75.0%</w:t>
      </w:r>
      <w:r w:rsidRPr="00816E1D">
        <w:t xml:space="preserve">) </w:t>
      </w:r>
      <w:r>
        <w:t>but a greater</w:t>
      </w:r>
      <w:r w:rsidRPr="00816E1D">
        <w:t xml:space="preserve"> </w:t>
      </w:r>
      <w:r>
        <w:t xml:space="preserve">mean relative abundance of </w:t>
      </w:r>
      <w:r w:rsidRPr="22313F8F">
        <w:rPr>
          <w:i/>
          <w:iCs/>
        </w:rPr>
        <w:t>Erwinia</w:t>
      </w:r>
      <w:r w:rsidRPr="00816E1D">
        <w:t xml:space="preserve"> (</w:t>
      </w:r>
      <w:r w:rsidRPr="22313F8F">
        <w:rPr>
          <w:i/>
          <w:iCs/>
        </w:rPr>
        <w:t>Didelphis</w:t>
      </w:r>
      <w:r>
        <w:t xml:space="preserve">: </w:t>
      </w:r>
      <w:r w:rsidRPr="00816E1D">
        <w:t>21.4%</w:t>
      </w:r>
      <w:r>
        <w:t xml:space="preserve">, </w:t>
      </w:r>
      <w:r w:rsidRPr="22313F8F">
        <w:rPr>
          <w:i/>
          <w:iCs/>
        </w:rPr>
        <w:t>Heteromys</w:t>
      </w:r>
      <w:r>
        <w:t xml:space="preserve">: 8.7%, </w:t>
      </w:r>
      <w:r w:rsidRPr="22313F8F">
        <w:rPr>
          <w:i/>
          <w:iCs/>
        </w:rPr>
        <w:t>Philander</w:t>
      </w:r>
      <w:r>
        <w:t>: 0.96%</w:t>
      </w:r>
      <w:r w:rsidRPr="00816E1D">
        <w:t>)</w:t>
      </w:r>
      <w:r>
        <w:t xml:space="preserve"> and </w:t>
      </w:r>
      <w:r w:rsidRPr="22313F8F">
        <w:rPr>
          <w:i/>
          <w:iCs/>
        </w:rPr>
        <w:t>Dietzia</w:t>
      </w:r>
      <w:r>
        <w:t xml:space="preserve"> (Didelphis: 15.3%, Heteromys: 3.5%, Philander: 0.54%) (Figure 14). Conversely, the mean relative of bacteria genera across blood meal richness was similar (Fig. S11)</w:t>
      </w:r>
    </w:p>
    <w:p w14:paraId="5F2E4DCE" w14:textId="77777777" w:rsidR="00BA51F4" w:rsidRDefault="00BA51F4" w:rsidP="00BA51F4">
      <w:pPr>
        <w:spacing w:line="480" w:lineRule="auto"/>
        <w:ind w:firstLine="720"/>
      </w:pPr>
      <w:r w:rsidRPr="003C4F25">
        <w:rPr>
          <w:b/>
          <w:bCs/>
          <w:i/>
          <w:iCs/>
        </w:rPr>
        <w:t>Alpha diversity.</w:t>
      </w:r>
      <w:r w:rsidRPr="003C4F25">
        <w:rPr>
          <w:b/>
          <w:bCs/>
        </w:rPr>
        <w:t xml:space="preserve"> </w:t>
      </w:r>
      <w:r>
        <w:t xml:space="preserve">Compared to </w:t>
      </w:r>
      <w:r w:rsidRPr="003C4F25">
        <w:rPr>
          <w:i/>
          <w:iCs/>
        </w:rPr>
        <w:t>Heteromys</w:t>
      </w:r>
      <w:r>
        <w:t xml:space="preserve">-fed and </w:t>
      </w:r>
      <w:r w:rsidRPr="003C4F25">
        <w:rPr>
          <w:i/>
          <w:iCs/>
        </w:rPr>
        <w:t>Philander</w:t>
      </w:r>
      <w:r>
        <w:t>-fed individuals,</w:t>
      </w:r>
      <w:r w:rsidRPr="003C4F25">
        <w:t xml:space="preserve"> </w:t>
      </w:r>
      <w:r w:rsidRPr="003C4F25">
        <w:rPr>
          <w:i/>
          <w:iCs/>
        </w:rPr>
        <w:t>Didelphis-fed</w:t>
      </w:r>
      <w:r>
        <w:t xml:space="preserve"> individuals displayed the greatest alpha diversity, and </w:t>
      </w:r>
      <w:r w:rsidRPr="003C4F25">
        <w:rPr>
          <w:i/>
          <w:iCs/>
        </w:rPr>
        <w:t>Philander</w:t>
      </w:r>
      <w:r>
        <w:t xml:space="preserve">-fed individuals had the lowest alpha diversity (Figure 7). </w:t>
      </w:r>
      <w:r w:rsidRPr="00D35101">
        <w:t>Compared</w:t>
      </w:r>
      <w:r>
        <w:t xml:space="preserve"> to </w:t>
      </w:r>
      <w:r w:rsidRPr="00D45B41">
        <w:rPr>
          <w:i/>
          <w:iCs/>
        </w:rPr>
        <w:t>Heteromys</w:t>
      </w:r>
      <w:r>
        <w:t xml:space="preserve">-fed individuals, </w:t>
      </w:r>
      <w:r w:rsidRPr="00D45B41">
        <w:rPr>
          <w:i/>
          <w:iCs/>
        </w:rPr>
        <w:t>Didelphis</w:t>
      </w:r>
      <w:r>
        <w:t>-fed individuals had significantly greater alpha diversity when measured by Shannon diversity (</w:t>
      </w:r>
      <w:r w:rsidRPr="00D45B41">
        <w:rPr>
          <w:i/>
          <w:iCs/>
        </w:rPr>
        <w:t>p</w:t>
      </w:r>
      <w:r>
        <w:t xml:space="preserve"> &lt; 0.001), Faith’s phylogenetic diversity (</w:t>
      </w:r>
      <w:r w:rsidRPr="00D45B41">
        <w:rPr>
          <w:i/>
          <w:iCs/>
        </w:rPr>
        <w:t>p</w:t>
      </w:r>
      <w:r>
        <w:t xml:space="preserve"> = 0.023), and Pielou’s evenness (</w:t>
      </w:r>
      <w:r w:rsidRPr="00D45B41">
        <w:rPr>
          <w:i/>
          <w:iCs/>
        </w:rPr>
        <w:t>p</w:t>
      </w:r>
      <w:r>
        <w:t xml:space="preserve"> &lt; 0.001) and compared to </w:t>
      </w:r>
      <w:r w:rsidRPr="003C4F25">
        <w:rPr>
          <w:i/>
          <w:iCs/>
        </w:rPr>
        <w:t>Philander</w:t>
      </w:r>
      <w:r>
        <w:t xml:space="preserve">-fed individuals, </w:t>
      </w:r>
      <w:r>
        <w:rPr>
          <w:i/>
          <w:iCs/>
        </w:rPr>
        <w:t>Didelphis</w:t>
      </w:r>
      <w:r>
        <w:t xml:space="preserve">-fed individuals displayed the greatest alpha </w:t>
      </w:r>
      <w:r>
        <w:lastRenderedPageBreak/>
        <w:t xml:space="preserve">diversity across all metrics (Richness: </w:t>
      </w:r>
      <w:r w:rsidRPr="0010142E">
        <w:rPr>
          <w:i/>
          <w:iCs/>
        </w:rPr>
        <w:t>p</w:t>
      </w:r>
      <w:r>
        <w:t xml:space="preserve"> &lt; 0.001, Shannon diversity: </w:t>
      </w:r>
      <w:r w:rsidRPr="0010142E">
        <w:rPr>
          <w:i/>
          <w:iCs/>
        </w:rPr>
        <w:t>p</w:t>
      </w:r>
      <w:r>
        <w:t xml:space="preserve"> &lt; 0.001, Faith’s phylogenetic diversity: </w:t>
      </w:r>
      <w:r w:rsidRPr="0010142E">
        <w:rPr>
          <w:i/>
          <w:iCs/>
        </w:rPr>
        <w:t>p</w:t>
      </w:r>
      <w:r>
        <w:t xml:space="preserve"> &lt; 0.001, Pielou’s evenness: </w:t>
      </w:r>
      <w:r w:rsidRPr="0010142E">
        <w:rPr>
          <w:i/>
          <w:iCs/>
        </w:rPr>
        <w:t>p</w:t>
      </w:r>
      <w:r>
        <w:t xml:space="preserve"> &lt; 0.001) (Table 21). And finally, </w:t>
      </w:r>
      <w:r w:rsidRPr="003C4F25">
        <w:rPr>
          <w:i/>
          <w:iCs/>
        </w:rPr>
        <w:t>Heteromys</w:t>
      </w:r>
      <w:r>
        <w:t xml:space="preserve">-fed individuals displayed significantly greater alpha diversity across all metrics compared to </w:t>
      </w:r>
      <w:r w:rsidRPr="00E644C4">
        <w:rPr>
          <w:i/>
          <w:iCs/>
        </w:rPr>
        <w:t>Philander</w:t>
      </w:r>
      <w:r>
        <w:t xml:space="preserve">-fed individuals (Richness: </w:t>
      </w:r>
      <w:r w:rsidRPr="00E644C4">
        <w:rPr>
          <w:i/>
          <w:iCs/>
        </w:rPr>
        <w:t>p</w:t>
      </w:r>
      <w:r>
        <w:t xml:space="preserve"> &lt; 0.001, Shannon: </w:t>
      </w:r>
      <w:r w:rsidRPr="00E644C4">
        <w:rPr>
          <w:i/>
          <w:iCs/>
        </w:rPr>
        <w:t>p</w:t>
      </w:r>
      <w:r>
        <w:t xml:space="preserve"> &lt; 0.001, Faith’s phylogenetic diversity </w:t>
      </w:r>
      <w:r w:rsidRPr="00E644C4">
        <w:rPr>
          <w:i/>
          <w:iCs/>
        </w:rPr>
        <w:t>p</w:t>
      </w:r>
      <w:r>
        <w:t xml:space="preserve"> &lt; 0.001, and Pielou’s evenness: </w:t>
      </w:r>
      <w:r w:rsidRPr="00E644C4">
        <w:rPr>
          <w:i/>
          <w:iCs/>
        </w:rPr>
        <w:t>p</w:t>
      </w:r>
      <w:r>
        <w:t xml:space="preserve"> = 0.005) (Fig. 7). </w:t>
      </w:r>
    </w:p>
    <w:p w14:paraId="0E6BB87F" w14:textId="77777777" w:rsidR="00BA51F4" w:rsidRDefault="00BA51F4" w:rsidP="00BA51F4">
      <w:pPr>
        <w:spacing w:line="480" w:lineRule="auto"/>
        <w:ind w:firstLine="720"/>
      </w:pPr>
      <w:r>
        <w:t>The total number of blood meals identified for each sample corresponds to blood meal richness. For all pairwise comparisons across blood meal richness, the only significant associations were found between individuals with one identified blood meal versus individuals with two blood meals as measured by Pielou’s evenness (</w:t>
      </w:r>
      <w:r w:rsidRPr="00E644C4">
        <w:rPr>
          <w:i/>
          <w:iCs/>
        </w:rPr>
        <w:t>p</w:t>
      </w:r>
      <w:r>
        <w:t xml:space="preserve"> = 0.004) and between individuals with two blood meals versus three blood meals as measured by Shannon diversity (</w:t>
      </w:r>
      <w:r w:rsidRPr="00E644C4">
        <w:rPr>
          <w:i/>
          <w:iCs/>
        </w:rPr>
        <w:t>p</w:t>
      </w:r>
      <w:r>
        <w:t xml:space="preserve"> = 0.026) (Fig. S10, Table S9). </w:t>
      </w:r>
    </w:p>
    <w:p w14:paraId="55919FC0" w14:textId="77777777" w:rsidR="00BA51F4" w:rsidRDefault="00BA51F4" w:rsidP="00BA51F4">
      <w:pPr>
        <w:spacing w:line="480" w:lineRule="auto"/>
        <w:ind w:firstLine="720"/>
      </w:pPr>
      <w:r w:rsidRPr="009441E8">
        <w:rPr>
          <w:b/>
          <w:bCs/>
          <w:i/>
          <w:iCs/>
        </w:rPr>
        <w:t>Mixed linear models for alpha diversity across blood meals.</w:t>
      </w:r>
      <w:r>
        <w:rPr>
          <w:b/>
          <w:bCs/>
        </w:rPr>
        <w:t xml:space="preserve"> </w:t>
      </w:r>
      <w:r w:rsidRPr="00E644C4">
        <w:t>Across all samples</w:t>
      </w:r>
      <w:r>
        <w:rPr>
          <w:b/>
          <w:bCs/>
        </w:rPr>
        <w:t xml:space="preserve">, </w:t>
      </w:r>
      <w:r>
        <w:t>dominant blood meal genera affected both Faith’s phylogenetic diversity (R</w:t>
      </w:r>
      <w:r w:rsidRPr="00460C0D">
        <w:rPr>
          <w:vertAlign w:val="superscript"/>
        </w:rPr>
        <w:t>2</w:t>
      </w:r>
      <w:r>
        <w:t xml:space="preserve"> = 0.1542, </w:t>
      </w:r>
      <w:r w:rsidRPr="00F133DA">
        <w:rPr>
          <w:i/>
          <w:iCs/>
        </w:rPr>
        <w:t>p</w:t>
      </w:r>
      <w:r>
        <w:t xml:space="preserve"> = 0.002727) and Pielou’s evenness (R</w:t>
      </w:r>
      <w:r w:rsidRPr="00F133DA">
        <w:rPr>
          <w:vertAlign w:val="superscript"/>
        </w:rPr>
        <w:t>2</w:t>
      </w:r>
      <w:r>
        <w:t xml:space="preserve"> = 0.0825, </w:t>
      </w:r>
      <w:r w:rsidRPr="00F133DA">
        <w:rPr>
          <w:i/>
          <w:iCs/>
        </w:rPr>
        <w:t>p</w:t>
      </w:r>
      <w:r>
        <w:t xml:space="preserve"> = 0.046) while blood meal richness only affected Pielou’s evenness (R</w:t>
      </w:r>
      <w:r w:rsidRPr="00F133DA">
        <w:rPr>
          <w:vertAlign w:val="superscript"/>
        </w:rPr>
        <w:t>2</w:t>
      </w:r>
      <w:r>
        <w:t xml:space="preserve"> = 0.0454, </w:t>
      </w:r>
      <w:r w:rsidRPr="00F133DA">
        <w:rPr>
          <w:i/>
          <w:iCs/>
        </w:rPr>
        <w:t>p</w:t>
      </w:r>
      <w:r>
        <w:t xml:space="preserve"> = 0.01246) (Table S5). Across pasture palms, blood meal richness and dominant blood meals affected Pielou’s evenness (R</w:t>
      </w:r>
      <w:r w:rsidRPr="00460C0D">
        <w:rPr>
          <w:vertAlign w:val="superscript"/>
        </w:rPr>
        <w:t>2</w:t>
      </w:r>
      <w:r>
        <w:t xml:space="preserve"> = 0.0468, </w:t>
      </w:r>
      <w:r w:rsidRPr="00165993">
        <w:rPr>
          <w:i/>
          <w:iCs/>
        </w:rPr>
        <w:t>p</w:t>
      </w:r>
      <w:r>
        <w:t xml:space="preserve"> = 0.0127; R</w:t>
      </w:r>
      <w:r w:rsidRPr="00460C0D">
        <w:rPr>
          <w:vertAlign w:val="superscript"/>
        </w:rPr>
        <w:t>2</w:t>
      </w:r>
      <w:r>
        <w:t xml:space="preserve"> = 0.15, </w:t>
      </w:r>
      <w:r w:rsidRPr="00460C0D">
        <w:rPr>
          <w:i/>
          <w:iCs/>
        </w:rPr>
        <w:t>p</w:t>
      </w:r>
      <w:r>
        <w:t xml:space="preserve"> = 0.0280, respectively) (Table 1), and across peridomestic palms dominant blood meals affected the phylogenetic diversity (R</w:t>
      </w:r>
      <w:r w:rsidRPr="00460C0D">
        <w:rPr>
          <w:vertAlign w:val="superscript"/>
        </w:rPr>
        <w:t>2</w:t>
      </w:r>
      <w:r>
        <w:t xml:space="preserve"> = 0.3417, </w:t>
      </w:r>
      <w:r w:rsidRPr="00460C0D">
        <w:rPr>
          <w:i/>
          <w:iCs/>
        </w:rPr>
        <w:t>p</w:t>
      </w:r>
      <w:r>
        <w:t xml:space="preserve"> &lt; 0.001) (Table 2).</w:t>
      </w:r>
    </w:p>
    <w:p w14:paraId="4EAA6AC1" w14:textId="77777777" w:rsidR="00BA51F4" w:rsidRDefault="00BA51F4" w:rsidP="00BA51F4">
      <w:pPr>
        <w:spacing w:line="480" w:lineRule="auto"/>
        <w:ind w:firstLine="720"/>
      </w:pPr>
      <w:r w:rsidRPr="00C8042A">
        <w:rPr>
          <w:b/>
          <w:bCs/>
          <w:i/>
          <w:iCs/>
        </w:rPr>
        <w:t>Beta diversity</w:t>
      </w:r>
      <w:r w:rsidRPr="00C8042A">
        <w:t xml:space="preserve">. After accounting for palm identity and triatomine age group, blood meal richness and dominant blood meal did not explain any significant between sample variation across all pasture palm samples, however, both factors contributed to about 8% of the variation in </w:t>
      </w:r>
      <w:r>
        <w:t xml:space="preserve">community </w:t>
      </w:r>
      <w:r w:rsidRPr="00C8042A">
        <w:t>composition (</w:t>
      </w:r>
      <w:r>
        <w:t xml:space="preserve">UniFrac: </w:t>
      </w:r>
      <w:r w:rsidRPr="00C8042A">
        <w:t>R</w:t>
      </w:r>
      <w:r w:rsidRPr="00C8042A">
        <w:rPr>
          <w:vertAlign w:val="superscript"/>
        </w:rPr>
        <w:t>2</w:t>
      </w:r>
      <w:r w:rsidRPr="00C8042A">
        <w:t xml:space="preserve"> = 0.0583, </w:t>
      </w:r>
      <w:r w:rsidRPr="00C8042A">
        <w:rPr>
          <w:i/>
          <w:iCs/>
        </w:rPr>
        <w:t>p</w:t>
      </w:r>
      <w:r w:rsidRPr="00C8042A">
        <w:t xml:space="preserve"> = 0.165 for dominant blood meal; R</w:t>
      </w:r>
      <w:r w:rsidRPr="00C8042A">
        <w:rPr>
          <w:vertAlign w:val="superscript"/>
        </w:rPr>
        <w:t>2</w:t>
      </w:r>
      <w:r w:rsidRPr="00C8042A">
        <w:t xml:space="preserve"> = 0.0201, </w:t>
      </w:r>
      <w:r w:rsidRPr="00C8042A">
        <w:rPr>
          <w:i/>
          <w:iCs/>
        </w:rPr>
        <w:t>p</w:t>
      </w:r>
      <w:r w:rsidRPr="00C8042A">
        <w:t xml:space="preserve"> = 0.395 for blood meal richness) and about 6% of the variation in structure (</w:t>
      </w:r>
      <w:r>
        <w:t xml:space="preserve">wUniFrac: </w:t>
      </w:r>
      <w:r w:rsidRPr="00C8042A">
        <w:lastRenderedPageBreak/>
        <w:t>R</w:t>
      </w:r>
      <w:r w:rsidRPr="00C8042A">
        <w:rPr>
          <w:vertAlign w:val="superscript"/>
        </w:rPr>
        <w:t>2</w:t>
      </w:r>
      <w:r w:rsidRPr="00C8042A">
        <w:t xml:space="preserve"> = 0.040, </w:t>
      </w:r>
      <w:r w:rsidRPr="00C8042A">
        <w:rPr>
          <w:i/>
          <w:iCs/>
        </w:rPr>
        <w:t>p</w:t>
      </w:r>
      <w:r w:rsidRPr="00C8042A">
        <w:t xml:space="preserve"> = 0.322 for dominant blood meal; R</w:t>
      </w:r>
      <w:r w:rsidRPr="00C8042A">
        <w:rPr>
          <w:vertAlign w:val="superscript"/>
        </w:rPr>
        <w:t>2</w:t>
      </w:r>
      <w:r w:rsidRPr="00C8042A">
        <w:t xml:space="preserve"> = 0.024, </w:t>
      </w:r>
      <w:r w:rsidRPr="00C8042A">
        <w:rPr>
          <w:i/>
          <w:iCs/>
        </w:rPr>
        <w:t>p</w:t>
      </w:r>
      <w:r w:rsidRPr="00C8042A">
        <w:t xml:space="preserve"> = 0.109 for blood meal richness (Table 9). Similarly, while dominant blood meal and blood meal richness did not significantly contribute to beta diversity across peridomestic palm samples after accounting for palm identity and age groups, blood meals accounted for about 10% of variation in </w:t>
      </w:r>
      <w:r>
        <w:t xml:space="preserve">community </w:t>
      </w:r>
      <w:r w:rsidRPr="00C8042A">
        <w:t>composition (</w:t>
      </w:r>
      <w:r>
        <w:t xml:space="preserve">UniFrac: </w:t>
      </w:r>
      <w:r w:rsidRPr="00C8042A">
        <w:t>R</w:t>
      </w:r>
      <w:r w:rsidRPr="00C8042A">
        <w:rPr>
          <w:vertAlign w:val="superscript"/>
        </w:rPr>
        <w:t>2</w:t>
      </w:r>
      <w:r w:rsidRPr="00C8042A">
        <w:t xml:space="preserve"> = 0.0656, </w:t>
      </w:r>
      <w:r w:rsidRPr="00C8042A">
        <w:rPr>
          <w:i/>
          <w:iCs/>
        </w:rPr>
        <w:t>p</w:t>
      </w:r>
      <w:r w:rsidRPr="00C8042A">
        <w:t xml:space="preserve"> = 0.121 for dominant blood meal; R</w:t>
      </w:r>
      <w:r w:rsidRPr="00C8042A">
        <w:rPr>
          <w:vertAlign w:val="superscript"/>
        </w:rPr>
        <w:t>2</w:t>
      </w:r>
      <w:r w:rsidRPr="00C8042A">
        <w:t xml:space="preserve"> = 0.0317, </w:t>
      </w:r>
      <w:r w:rsidRPr="00C8042A">
        <w:rPr>
          <w:i/>
          <w:iCs/>
        </w:rPr>
        <w:t>p</w:t>
      </w:r>
      <w:r w:rsidRPr="00C8042A">
        <w:t xml:space="preserve"> = 0.255 for blood meal richness) (Table 11) and about 8% of variation in community structure (</w:t>
      </w:r>
      <w:r>
        <w:t xml:space="preserve">wUniFrac: </w:t>
      </w:r>
      <w:r w:rsidRPr="00C8042A">
        <w:t>R</w:t>
      </w:r>
      <w:r w:rsidRPr="00C8042A">
        <w:rPr>
          <w:vertAlign w:val="superscript"/>
        </w:rPr>
        <w:t>2</w:t>
      </w:r>
      <w:r w:rsidRPr="00C8042A">
        <w:t xml:space="preserve"> = 0.059, </w:t>
      </w:r>
      <w:r w:rsidRPr="00C8042A">
        <w:rPr>
          <w:i/>
          <w:iCs/>
        </w:rPr>
        <w:t>p</w:t>
      </w:r>
      <w:r w:rsidRPr="00C8042A">
        <w:t xml:space="preserve"> = 0.273 for dominant blood meal, R</w:t>
      </w:r>
      <w:r w:rsidRPr="00C8042A">
        <w:rPr>
          <w:vertAlign w:val="superscript"/>
        </w:rPr>
        <w:t>2</w:t>
      </w:r>
      <w:r w:rsidRPr="00C8042A">
        <w:t xml:space="preserve"> = 0.0205, </w:t>
      </w:r>
      <w:r w:rsidRPr="00C8042A">
        <w:rPr>
          <w:i/>
          <w:iCs/>
        </w:rPr>
        <w:t>p</w:t>
      </w:r>
      <w:r w:rsidRPr="00C8042A">
        <w:t xml:space="preserve"> = 0.663 for blood meal richness) (Table 11). </w:t>
      </w:r>
    </w:p>
    <w:p w14:paraId="7ACE5E6D" w14:textId="77777777" w:rsidR="00BA51F4" w:rsidRDefault="00BA51F4" w:rsidP="00BA51F4">
      <w:pPr>
        <w:spacing w:line="480" w:lineRule="auto"/>
        <w:ind w:firstLine="720"/>
        <w:rPr>
          <w:b/>
        </w:rPr>
      </w:pPr>
      <w:r>
        <w:t>Across Capira samples, blood meals contributed to about 18% of variation in community composition (R</w:t>
      </w:r>
      <w:r w:rsidRPr="22313F8F">
        <w:rPr>
          <w:vertAlign w:val="superscript"/>
        </w:rPr>
        <w:t>2</w:t>
      </w:r>
      <w:r>
        <w:t xml:space="preserve"> = 0.0901, </w:t>
      </w:r>
      <w:r w:rsidRPr="22313F8F">
        <w:rPr>
          <w:i/>
          <w:iCs/>
        </w:rPr>
        <w:t>p</w:t>
      </w:r>
      <w:r>
        <w:t xml:space="preserve"> = 0.354 for dominant blood meal, R</w:t>
      </w:r>
      <w:r w:rsidRPr="22313F8F">
        <w:rPr>
          <w:vertAlign w:val="superscript"/>
        </w:rPr>
        <w:t>2</w:t>
      </w:r>
      <w:r>
        <w:t xml:space="preserve">= 0.0860, </w:t>
      </w:r>
      <w:r w:rsidRPr="22313F8F">
        <w:rPr>
          <w:i/>
          <w:iCs/>
        </w:rPr>
        <w:t>p</w:t>
      </w:r>
      <w:r>
        <w:t xml:space="preserve"> = 0.08 for blood meal richness) and about 8% of variation in community structure (R</w:t>
      </w:r>
      <w:r w:rsidRPr="22313F8F">
        <w:rPr>
          <w:vertAlign w:val="superscript"/>
        </w:rPr>
        <w:t>2</w:t>
      </w:r>
      <w:r>
        <w:t xml:space="preserve"> = 0.0376, </w:t>
      </w:r>
      <w:r w:rsidRPr="22313F8F">
        <w:rPr>
          <w:i/>
          <w:iCs/>
        </w:rPr>
        <w:t>p</w:t>
      </w:r>
      <w:r>
        <w:t xml:space="preserve"> = 0.47, for dominant blood meal, R</w:t>
      </w:r>
      <w:r w:rsidRPr="22313F8F">
        <w:rPr>
          <w:vertAlign w:val="superscript"/>
        </w:rPr>
        <w:t>2</w:t>
      </w:r>
      <w:r>
        <w:t xml:space="preserve"> = 0.0385, </w:t>
      </w:r>
      <w:r w:rsidRPr="22313F8F">
        <w:rPr>
          <w:i/>
          <w:iCs/>
        </w:rPr>
        <w:t>p</w:t>
      </w:r>
      <w:r>
        <w:t xml:space="preserve"> = 0.613 for blood meal richness) (Table 18). Across La Chorrera palms, blood meals contributed to about 11% of variation in community composition (UniFrac R</w:t>
      </w:r>
      <w:r w:rsidRPr="22313F8F">
        <w:rPr>
          <w:vertAlign w:val="superscript"/>
        </w:rPr>
        <w:t>2</w:t>
      </w:r>
      <w:r>
        <w:t xml:space="preserve"> = 0.076422, </w:t>
      </w:r>
      <w:r w:rsidRPr="22313F8F">
        <w:rPr>
          <w:i/>
          <w:iCs/>
        </w:rPr>
        <w:t>p</w:t>
      </w:r>
      <w:r>
        <w:t xml:space="preserve"> = 0.269 for dominant blood meal, R</w:t>
      </w:r>
      <w:r w:rsidRPr="22313F8F">
        <w:rPr>
          <w:vertAlign w:val="superscript"/>
        </w:rPr>
        <w:t>2</w:t>
      </w:r>
      <w:r>
        <w:t xml:space="preserve"> = 0.033249, </w:t>
      </w:r>
      <w:r w:rsidRPr="22313F8F">
        <w:rPr>
          <w:i/>
          <w:iCs/>
        </w:rPr>
        <w:t>p</w:t>
      </w:r>
      <w:r>
        <w:t xml:space="preserve"> = 0.307 for blood meal richness) and about 10% of variation in community structure (wUniFrac: R</w:t>
      </w:r>
      <w:r w:rsidRPr="22313F8F">
        <w:rPr>
          <w:vertAlign w:val="superscript"/>
        </w:rPr>
        <w:t>2</w:t>
      </w:r>
      <w:r>
        <w:t xml:space="preserve"> = 0.05577, </w:t>
      </w:r>
      <w:r w:rsidRPr="22313F8F">
        <w:rPr>
          <w:i/>
          <w:iCs/>
        </w:rPr>
        <w:t>p</w:t>
      </w:r>
      <w:r>
        <w:t xml:space="preserve"> = 0.366 for dominant blood meal, R</w:t>
      </w:r>
      <w:r w:rsidRPr="22313F8F">
        <w:rPr>
          <w:vertAlign w:val="superscript"/>
        </w:rPr>
        <w:t>2</w:t>
      </w:r>
      <w:r>
        <w:t xml:space="preserve"> = 0.043824, </w:t>
      </w:r>
      <w:r w:rsidRPr="22313F8F">
        <w:rPr>
          <w:i/>
          <w:iCs/>
        </w:rPr>
        <w:t>p</w:t>
      </w:r>
      <w:r>
        <w:t xml:space="preserve"> = 0.051 for blood meal richness) (Table 19). And finally, across Veraguas samples, blood meals contributed to about 5% of variation in community composition (UniFrac: R</w:t>
      </w:r>
      <w:r w:rsidRPr="22313F8F">
        <w:rPr>
          <w:vertAlign w:val="superscript"/>
        </w:rPr>
        <w:t>2</w:t>
      </w:r>
      <w:r>
        <w:t xml:space="preserve"> = 0.018797, </w:t>
      </w:r>
      <w:r w:rsidRPr="22313F8F">
        <w:rPr>
          <w:i/>
          <w:iCs/>
        </w:rPr>
        <w:t>p</w:t>
      </w:r>
      <w:r>
        <w:t xml:space="preserve"> = 0.152 for dominant blood meal, R</w:t>
      </w:r>
      <w:r w:rsidRPr="22313F8F">
        <w:rPr>
          <w:vertAlign w:val="superscript"/>
        </w:rPr>
        <w:t>2</w:t>
      </w:r>
      <w:r>
        <w:t xml:space="preserve"> = 0.035174, </w:t>
      </w:r>
      <w:r w:rsidRPr="22313F8F">
        <w:rPr>
          <w:i/>
          <w:iCs/>
        </w:rPr>
        <w:t>p</w:t>
      </w:r>
      <w:r>
        <w:t xml:space="preserve"> = 0.182 for blood meal richness) and about 9% of variation in community structure (wUniFrac: R</w:t>
      </w:r>
      <w:r w:rsidRPr="22313F8F">
        <w:rPr>
          <w:vertAlign w:val="superscript"/>
        </w:rPr>
        <w:t>2</w:t>
      </w:r>
      <w:r>
        <w:t xml:space="preserve"> = 0.045345, </w:t>
      </w:r>
      <w:r w:rsidRPr="22313F8F">
        <w:rPr>
          <w:i/>
          <w:iCs/>
        </w:rPr>
        <w:t>p</w:t>
      </w:r>
      <w:r>
        <w:t xml:space="preserve"> = 0.006 for dominant blood meal, R</w:t>
      </w:r>
      <w:r w:rsidRPr="22313F8F">
        <w:rPr>
          <w:vertAlign w:val="superscript"/>
        </w:rPr>
        <w:t>2</w:t>
      </w:r>
      <w:r>
        <w:t xml:space="preserve"> = 0.044081, </w:t>
      </w:r>
      <w:r w:rsidRPr="22313F8F">
        <w:rPr>
          <w:i/>
          <w:iCs/>
        </w:rPr>
        <w:t>p</w:t>
      </w:r>
      <w:r>
        <w:t xml:space="preserve"> = 0.075 for blood meal richness) (Table 20). </w:t>
      </w:r>
    </w:p>
    <w:p w14:paraId="5A098683" w14:textId="56A76699" w:rsidR="00BA51F4" w:rsidRPr="00F8544C" w:rsidRDefault="00BA51F4" w:rsidP="00BA51F4">
      <w:pPr>
        <w:spacing w:line="480" w:lineRule="auto"/>
        <w:rPr>
          <w:b/>
        </w:rPr>
      </w:pPr>
      <w:r>
        <w:rPr>
          <w:b/>
        </w:rPr>
        <w:t xml:space="preserve">4.5 </w:t>
      </w:r>
      <w:r w:rsidRPr="00F8544C">
        <w:rPr>
          <w:b/>
        </w:rPr>
        <w:t>Discussion</w:t>
      </w:r>
    </w:p>
    <w:p w14:paraId="3A7A46CD" w14:textId="4FE742F9" w:rsidR="00BA51F4" w:rsidRDefault="00000000" w:rsidP="00BA51F4">
      <w:pPr>
        <w:spacing w:line="480" w:lineRule="auto"/>
      </w:pPr>
      <w:sdt>
        <w:sdtPr>
          <w:tag w:val="goog_rdk_46"/>
          <w:id w:val="681703770"/>
          <w:placeholder>
            <w:docPart w:val="3E4A65CA0098A846B54D810B49DD4210"/>
          </w:placeholder>
        </w:sdtPr>
        <w:sdtContent/>
      </w:sdt>
      <w:r w:rsidR="00BA51F4" w:rsidRPr="00816E1D">
        <w:rPr>
          <w:b/>
        </w:rPr>
        <w:tab/>
      </w:r>
      <w:r w:rsidR="00BA51F4" w:rsidRPr="00816E1D">
        <w:t xml:space="preserve">Host-associated microbes perform a myriad of beneficial functions within their host. Across arthropod disease vectors, </w:t>
      </w:r>
      <w:r w:rsidR="00BA51F4">
        <w:t>gut symbionts are associated with</w:t>
      </w:r>
      <w:r w:rsidR="00BA51F4" w:rsidRPr="00816E1D">
        <w:t xml:space="preserve"> increas</w:t>
      </w:r>
      <w:r w:rsidR="00BA51F4">
        <w:t>ing the vector’s</w:t>
      </w:r>
      <w:r w:rsidR="00BA51F4" w:rsidRPr="00816E1D">
        <w:t xml:space="preserve"> tolerance to environmental perturbations, prim</w:t>
      </w:r>
      <w:r w:rsidR="00BA51F4">
        <w:t>ing</w:t>
      </w:r>
      <w:r w:rsidR="00BA51F4" w:rsidRPr="00816E1D">
        <w:t xml:space="preserve"> the immune system, pathogen resistance, and aiding in digestion and nutrition</w:t>
      </w:r>
      <w:r w:rsidR="00567E3F">
        <w:fldChar w:fldCharType="begin"/>
      </w:r>
      <w:r w:rsidR="006E1868">
        <w:instrText xml:space="preserve"> ADDIN ZOTERO_ITEM CSL_CITATION {"citationID":"JOQPBBUE","properties":{"formattedCitation":"\\super 13,47,49\\uc0\\u8211{}52\\nosupersub{}","plainCitation":"13,47,49–52","noteIndex":0},"citationItems":[{"id":2108,"uris":["http://zotero.org/users/5535808/items/NNQHQQCM"],"itemData":{"id":2108,"type":"article-journal","abstract":"Insect symbioses lack the complexity and diversity of those associated with higher eukaryotic hosts. Symbiotic microbiomes are beneficial to their insect hosts in many ways, including dietary supplementation, tolerance to environmental perturbations and maintenance and/or enhancement of host immune system homeostasis. Recent studies have also highlighted the importance of the microbiome in the context of host pathogen transmission processes. Here we provide an overview of the relationship between insect disease vectors, such as tsetse flies and mosquitoes, and their associated microbiome. Several mechanisms are discussed through which symbiotic microbes may influence their host’s ability to transmit pathogens, as well as potential disease control strategies that harness symbiotic microbes to reduce pathogen transmission through an insect vector.","container-title":"Trends in Parasitology","DOI":"10.1016/j.pt.2011.05.001","ISSN":"14714922","issue":"11","language":"en","page":"514-522","source":"Crossref","title":"Microbiome influences on insect host vector competence","volume":"27","author":[{"family":"Weiss","given":"Brian"},{"family":"Aksoy","given":"Serap"}],"issued":{"date-parts":[["2011",11]]}}},{"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id":1412,"uris":["http://zotero.org/users/5535808/items/CLBDHKPK"],"itemData":{"id":1412,"type":"article-journal","abstract":"The diversity of the Insecta is reflected in the large and varied microbial communities inhabiting the gut. Studies, particularly with termites and cockroaches, have focused on the nutritional contributions of gut bacteria in insects living on suboptimal diets. The indigenous gut bacteria, however, also play a role in withstanding the colonization of the gut by non-indigenous species including pathogens. Gut bacterial consortia adapt by the transfer of plasmids and transconjugation between bacterial strains, and some insect species provide ideal conditions for bacterial conjugation, which suggests that the gut is a “hot spot” for gene transfer. Genomic analysis provides new avenues for the study of the gut microbial community and will reveal the molecular foundations of the relationships between the insect and its microbiome. In this review the intestinal bacteria is discussed in the context of developing our understanding of symbiotic relationships, of multitrophic interactions between insects and plant or animal host, and in developing new strategies for controlling insect pests.","container-title":"Annual Review of Entomology","DOI":"10.1146/annurev.ento.49.061802.123416","ISSN":"0066-4170, 1545-4487","issue":"1","language":"en","page":"71-92","source":"Crossref","title":"The Gut Bacteria of Insects: Nonpathogenic Interactions","title-short":"The Gut Bacteria of Insects: Nonpathogenic Interactions","volume":"49","author":[{"family":"Dillon","given":"R.J."},{"family":"Dillon","given":"V.M."}],"issued":{"date-parts":[["2004",1,7]]}}},{"id":463,"uris":["http://zotero.org/users/5535808/items/ID7FNZYN"],"itemData":{"id":463,"type":"article-journal","abstract":"Kissing bugs have long served as models to study many aspects of insect physiology. They also serve as vectors for the parasite Trypanosoma cruzi that causes Chagas disease in humans. The overall success of insects is due, in part, to their ability to recognize parasites and pathogens as non-self and to eliminate them using their innate immune system. This immune system comprises physical barriers, cellular responses (phagocytosis, nodulation and encapsulation), and humoral factors (antimicrobial peptides and the prophenoloxidase cascade). Trypanosoma cruzi survives solely in the gastrointestinal (GI) tract of the vector; if it migrates to the hemocoel it is eliminated. Kissing bugs may not mount a vigorous immune response in the GI tract to avoid eliminating obligate symbiotic microbes on which they rely for survival. Here we describe the current knowledge of innate immunity in kissing bugs and new opportunities using genomic and transcriptomic approaches to study the complex triatomine-trypanosome-microbiome interactions.","container-title":"Developmental &amp; Comparative Immunology","DOI":"10.1016/j.dci.2019.04.007","ISSN":"0145305X","language":"en","page":"119-128","source":"Crossref","title":"The innate immune system of kissing bugs, vectors of chagas disease","volume":"98","author":[{"family":"Salcedo-Porras","given":"Nicolás"},{"family":"Lowenberger","given":"Carl"}],"issued":{"date-parts":[["2019",9]]}}},{"id":2491,"uris":["http://zotero.org/users/5535808/items/2UPANZ7A"],"itemData":{"id":2491,"type":"article-journal","abstract":"Insects have established mutualistic symbiotic interactions with microorganisms that are beneﬁcial to both host and symbiont. Many insects have exploited these symbioses to diversify and expand their ecological ranges. In the Hemiptera (i.e., aphids, cicadas, and true bugs), symbioses have established and evolved with obligatory essential microorganisms (primary symbionts) and with facultative beneﬁcial symbionts (secondary symbionts). Primary symbionts are usually intracellular microorganisms found in insects with specialized diets such as obligate hematophagy or phytophagy. Most Heteroptera (true bugs), however, have gastrointestinal (GI) tract extracellular symbionts with functions analogous to primary endosymbionts. The triatomines, are vectors of the human parasite, Trypanosoma cruzi. A description of their small GI tract microbiota richness was based on a few culturable microorganisms ﬁrst described almost a century ago. A growing literature describes more complex interactions between triatomines and bacteria with properties characteristic of both primary and secondary symbionts. In this review, we provide an evolutionary perspective of beneﬁcial symbioses in the Hemiptera, illustrating the context that may drive the evolution of symbioses in triatomines. We highlight the diversity of the triatomine microbiota, bacterial taxa with potential to be beneﬁcial symbionts, the unique characteristics of triatomine-bacteria symbioses, and the interactions among trypanosomes, microbiota, and triatomines.","container-title":"Microorganisms","DOI":"10.3390/microorganisms8091438","ISSN":"2076-2607","issue":"9","journalAbbreviation":"Microorganisms","language":"en","page":"1438","source":"DOI.org (Crossref)","title":"The Role of Bacterial Symbionts in Triatomines: An Evolutionary Perspective","title-short":"The Role of Bacterial Symbionts in Triatomines","volume":"8","author":[{"family":"Salcedo-Porras","given":"Nicolas"},{"family":"Umaña-Diaz","given":"Claudia"},{"family":"Oliveira Barbosa Bitencourt","given":"Ricardo","non-dropping-particle":"de"},{"family":"Lowenberger","given":"Carl"}],"issued":{"date-parts":[["2020",9,19]]}}},{"id":2344,"uris":["http://zotero.org/users/5535808/items/TKTS6WPQ"],"itemData":{"id":2344,"type":"chapter","container-title":"Advances in Insect Physiology","ISBN":"978-0-08-102987-9","language":"en","note":"DOI: 10.1016/bs.aiip.2020.03.004","page":"233-275","publisher":"Elsevier","source":"Crossref","title":"Functions and mechanisms of symbionts of insect disease vectors","URL":"https://linkinghub.elsevier.com/retrieve/pii/S0065280620300047","volume":"58","author":[{"family":"Vogel","given":"Kevin J."},{"family":"Coon","given":"Kerri L."}],"accessed":{"date-parts":[["2020",11,25]]},"issued":{"date-parts":[["2020"]]}}}],"schema":"https://github.com/citation-style-language/schema/raw/master/csl-citation.json"} </w:instrText>
      </w:r>
      <w:r w:rsidR="00567E3F">
        <w:fldChar w:fldCharType="separate"/>
      </w:r>
      <w:r w:rsidR="006E1868" w:rsidRPr="006E1868">
        <w:rPr>
          <w:rFonts w:cs="Times New Roman"/>
          <w:vertAlign w:val="superscript"/>
        </w:rPr>
        <w:t>13,47,49–52</w:t>
      </w:r>
      <w:r w:rsidR="00567E3F">
        <w:fldChar w:fldCharType="end"/>
      </w:r>
      <w:r w:rsidR="00BA51F4" w:rsidRPr="00816E1D">
        <w:t xml:space="preserve">. </w:t>
      </w:r>
      <w:r w:rsidR="00BA51F4">
        <w:t>Triatomines, in particular, have</w:t>
      </w:r>
      <w:r w:rsidR="00BA51F4" w:rsidRPr="00816E1D">
        <w:t xml:space="preserve"> </w:t>
      </w:r>
      <w:r w:rsidR="00BA51F4">
        <w:t xml:space="preserve">co-evolved with specific </w:t>
      </w:r>
      <w:r w:rsidR="00BA51F4" w:rsidRPr="00816E1D">
        <w:t>gut-associated bacteria</w:t>
      </w:r>
      <w:r w:rsidR="00BA51F4">
        <w:t xml:space="preserve"> to</w:t>
      </w:r>
      <w:r w:rsidR="00BA51F4" w:rsidRPr="00816E1D">
        <w:t xml:space="preserve"> supplement their nutrient-poor diet</w:t>
      </w:r>
      <w:r w:rsidR="00BA51F4">
        <w:t xml:space="preserve"> </w:t>
      </w:r>
      <w:r w:rsidR="00BA51F4" w:rsidRPr="00570C67">
        <w:t>(Jiménez-Cortés et al., 2018; Vogel and Coon, 2020)</w:t>
      </w:r>
      <w:r w:rsidR="00BA51F4" w:rsidRPr="00816E1D">
        <w:t xml:space="preserve">. </w:t>
      </w:r>
      <w:r w:rsidR="00BA51F4">
        <w:t>Research suggests that ontogeny, vector species identity, and the environment are the primary factors that shape the gut bacterial communities of triatomines</w:t>
      </w:r>
      <w:r w:rsidR="006E1868">
        <w:fldChar w:fldCharType="begin"/>
      </w:r>
      <w:r w:rsidR="00BC2866">
        <w:instrText xml:space="preserve"> ADDIN ZOTERO_ITEM CSL_CITATION {"citationID":"A3ktRQUv","properties":{"formattedCitation":"\\super 47,52\\nosupersub{}","plainCitation":"47,52","noteIndex":0},"citationItems":[{"id":2451,"uris":["http://zotero.org/users/5535808/items/TZWL95XL"],"itemData":{"id":2451,"type":"article-journal","abstract":"Conclusion: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id":2344,"uris":["http://zotero.org/users/5535808/items/TKTS6WPQ"],"itemData":{"id":2344,"type":"chapter","container-title":"Advances in Insect Physiology","ISBN":"978-0-08-102987-9","language":"en","note":"DOI: 10.1016/bs.aiip.2020.03.004","page":"233-275","publisher":"Elsevier","source":"Crossref","title":"Functions and mechanisms of symbionts of insect disease vectors","URL":"https://linkinghub.elsevier.com/retrieve/pii/S0065280620300047","volume":"58","author":[{"family":"Vogel","given":"Kevin J."},{"family":"Coon","given":"Kerri L."}],"accessed":{"date-parts":[["2020",11,25]]},"issued":{"date-parts":[["2020"]]}}}],"schema":"https://github.com/citation-style-language/schema/raw/master/csl-citation.json"} </w:instrText>
      </w:r>
      <w:r w:rsidR="006E1868">
        <w:fldChar w:fldCharType="separate"/>
      </w:r>
      <w:r w:rsidR="00BC2866" w:rsidRPr="00BC2866">
        <w:rPr>
          <w:rFonts w:cs="Times New Roman"/>
          <w:vertAlign w:val="superscript"/>
        </w:rPr>
        <w:t>47,52</w:t>
      </w:r>
      <w:r w:rsidR="006E1868">
        <w:fldChar w:fldCharType="end"/>
      </w:r>
      <w:r w:rsidR="00BC2866">
        <w:t xml:space="preserve">. </w:t>
      </w:r>
      <w:r w:rsidR="00BA51F4">
        <w:t xml:space="preserve">The present study was designed to closely examine the influence of environmental factors on the gut communities of field-caught </w:t>
      </w:r>
      <w:r w:rsidR="00BA51F4" w:rsidRPr="004A5ADC">
        <w:rPr>
          <w:i/>
          <w:iCs/>
        </w:rPr>
        <w:t>R. pallescens</w:t>
      </w:r>
      <w:r w:rsidR="00BA51F4">
        <w:t xml:space="preserve"> after controlling for variations across ontogeny. S</w:t>
      </w:r>
      <w:r w:rsidR="00BA51F4" w:rsidRPr="00816E1D">
        <w:t>tudies have shown strong associations between collection site and gut microbial diversity of disease vectors</w:t>
      </w:r>
      <w:r w:rsidR="00BA51F4">
        <w:t xml:space="preserve"> in mosquitoes</w:t>
      </w:r>
      <w:r w:rsidR="00BC2866">
        <w:fldChar w:fldCharType="begin"/>
      </w:r>
      <w:r w:rsidR="002F4EE8">
        <w:instrText xml:space="preserve"> ADDIN ZOTERO_ITEM CSL_CITATION {"citationID":"8kGUuN6F","properties":{"formattedCitation":"\\super 53\\uc0\\u8211{}57\\nosupersub{}","plainCitation":"53–57","noteIndex":0},"citationItems":[{"id":10137,"uris":["http://zotero.org/users/5535808/items/55HM47ET"],"itemData":{"id":10137,"type":"article-journal","abstract":"Symbiotic bacteria can have important implications in the development and competence of disease vectors. In Anopheles mosquitoes, the composition of the midgut microbiota is largely influenced by the larval breeding site, but the exact factors shaping this composition are currently unknown. Here, we examined whether the proximity to urban areas and seasons have an impact on the midgut microbial community of the two major malaria vectors in Africa, An. coluzzii and An. gambiae. Larvae and pupae were collected from selected habitats in two districts of Ghana during the dry and rainy season periods. The midgut microbiota of adults that emerged from these collections was determined by 454-pyrosequencing of the 16S ribosomal DNA. We show that in both mosquito species, Shewanellaceae constituted on average of 54% and 73% of the midgut microbiota from each site in the dry and rainy season, respectively. Enterobacteriaceae was found in comparatively low abundance below 1% in 22/30 samples in the dry season, and in 25/38 samples in the rainy season. Our data indicate that seasonality and locality significantly affect both the diversity of microbiota and the relative abundance of bacterial families with a positive impact of dry season and peri-urban settings.","container-title":"PLoS ONE","DOI":"10.1371/journal.pone.0157529","issue":"6","title":"Seasonality and locality affect the diversity of Anopheles gambiae and Anopheles coluzzii midgut microbiota from Ghana","volume":"11","author":[{"family":"Akorli","given":"Jewelna"},{"family":"Gendrin","given":"Mathilde"},{"family":"Pels","given":"Nana Adjoa P"},{"family":"Yeboah-Manu","given":"Dorothy"},{"family":"Christophides","given":"George K."},{"family":"Wilson","given":"Michael D."}],"issued":{"date-parts":[["2016"]]}}},{"id":570,"uris":["http://zotero.org/users/5535808/items/7BEEH5A3"],"itemData":{"id":570,"type":"article-journal","abstract":"Background: The understanding of the roles of gut bacteria in the fitness and vectorial capacity of mosquitoes that transmit malaria, is improving; however, the factors shaping the composition and structure of such bacterial communities remain elusive. In this study, a high-throughput 16S rRNA gene sequencing was conducted to understand the effect of developmental stage, feeding status, species, and geography on the composition of the gut bacterial microbiota of two main Colombian malaria vectors, Anopheles nuneztovari and Anopheles darlingi.\nResults: The results revealed that mosquito developmental stage, followed by geographical location, are more important determinants of the gut bacterial composition than mosquito species or adult feeding status. Further, they showed that mosquito gut is a major filter for environmental bacteria colonization.\nConclusions: The sampling design and analytical approach of this study allowed to untangle the influence of factors that are simultaneously shaping the microbiota composition of two Latin-American malaria vectors, essential aspect for the design of vector biocontrol strategies.","container-title":"Microbiome","DOI":"10.1186/s40168-018-0528-y","ISSN":"2049-2618","issue":"1","language":"en","source":"Crossref","title":"Factors shaping the gut bacterial community assembly in two main Colombian malaria vectors","URL":"https://microbiomejournal.biomedcentral.com/articles/10.1186/s40168-018-0528-y","volume":"6","author":[{"family":"Bascuñán","given":"Priscila"},{"family":"Niño-Garcia","given":"Juan Pablo"},{"family":"Galeano-Castañeda","given":"Yadira"},{"family":"Serre","given":"David"},{"family":"Correa","given":"Margarita M."}],"accessed":{"date-parts":[["2019",9,11]]},"issued":{"date-parts":[["2018",12]]}}},{"id":703,"uris":["http://zotero.org/users/5535808/items/8QW4LNB5"],"itemData":{"id":703,"type":"article-journal","abstract":"Mosquitoes are insects of interest because several species vector disease-causing pathogens to humans and other vertebrates. We previously reported that mosquitoes from long-term laboratory cultures require living bacteria in their gut to develop, but development does not depend on particular species of bacteria. Here, we focused on three distinct but interrelated areas of study to better understand the role of bacteria in mosquito development by studying field and laboratory populations of Aedes aegypti, Aedes albopictus, and Culex quinquefasciatus from the Southeastern United States. Sequence analysis of bacterial 16S rRNA gene amplicons showed that bacteria community composition differed substantially in larvae from different collection sites, whereas larvae from the same site shared similarities. Although previously unknown to be infected by Wolbachia, results also indicated that Ae. aegypti from one field site hosted a dual infection. Regardless of collection site or factors like Wolbachia infection, however, each mosquito species required living bacteria in their digestive tract to develop. Results also identified several concerns in using antibiotics to eliminate the bacterial community in larvae in order to study its developmental consequences. Altogether, our results indicate that several mosquito species require living bacteria for development. We also hypothesize these species do not rely on particular bacteria because larvae do not reliably encounter the same bacteria in the aquatic habitats they colonize.","container-title":"Molecular Ecology","DOI":"10.1111/mec.13877","ISSN":"09621083","issue":"22","language":"en","page":"5806-5826","source":"Crossref","title":"Mosquitoes host communities of bacteria that are essential for development but vary greatly between local habitats","volume":"25","author":[{"family":"Coon","given":"Kerri L."},{"family":"Brown","given":"Mark R."},{"family":"Strand","given":"Michael R."}],"issued":{"date-parts":[["2016",11]]}}},{"id":705,"uris":["http://zotero.org/users/5535808/items/L4Y2Y6UL"],"itemData":{"id":705,"type":"article-journal","abstract":"The mosquito midgut is a hostile environment that vector-borne parasites must survive to be transmitted. Commensal bacteria in the midgut can reduce the ability of mosquitoes to transmit disease, either by having direct anti-parasite effects or by stimulating basal immune responses of the insect host. As different bacteria have different effects on parasite development, the composition of the bacterial community in the mosquito gut is likely to affect the probability of disease transmission. We investigated the diversity of mosquito gut bacteria in the ﬁeld using 454 pyrosequencing of 16S rRNA to build up a comprehensive picture of the diversity of gut bacteria in eight mosquito species in this population. We found that mosquito gut typically has a very simple gut microbiota that is dominated by a single bacterial taxon. Although different mosquito species share remarkably similar gut bacteria, individuals in a population are extremely variable and can have little overlap in the bacterial taxa present in their guts. This may be an important factor in causing differences in disease transmission rates within mosquito populations.","container-title":"Molecular Ecology","DOI":"10.1111/j.1365-294X.2012.05759.x","ISSN":"09621083","issue":"20","language":"en","page":"5138-5150","source":"Crossref","title":"Deep sequencing reveals extensive variation in the gut microbiota of wild mosquitoes from Kenya","volume":"21","author":[{"family":"Osei-Poku","given":"J."},{"family":"Mbogo","given":"C. M."},{"family":"Palmer","given":"W. J."},{"family":"Jiggins","given":"F. M."}],"issued":{"date-parts":[["2012",10]]}}},{"id":9905,"uris":["http://zotero.org/users/5535808/items/VF5XPFBM"],"itemData":{"id":9905,"type":"article-journal","abstract":"Symbiotic bacteria are known to play important roles in the biology of insects, but the current knowledge of bacterial communities associated with mosquitoes is very limited and consequently their contribution to host behaviors is mostly unknown. In this study, we explored the composition and diversity of mosquito-associated bacteria in relation with mosquitoes' habitats. Wild Aedes albopictus and Aedes aegypti were collected in three different geographic regions of Madagascar. Culturing methods and denaturing gradient gel electrophoresis (DGGE) and sequencing of the rrs amplicons revealed that Proteobacteria and Firmicutes were the major phyla. Isolated bacterial genera were dominated by Bacillus, followed by Acinetobacter, Agrobacterium and Enterobacter. Common DGGE bands belonged to Acinetobacter, Asaia, Delftia, Pseudomonas, Enterobacteriaceae and an uncultured Gammaproteobacterium. Double infection by maternally inherited Wolbachia pipientis prevailed in 98% of males (n=272) and 99% of females (n=413); few individuals were found to be monoinfected with Wolbachia wAlbB strain. Bacterial diversity (Shannon-Weaver and Simpson indices) differed significantly per habitat whereas evenness (Pielou index) was similar. Overall, the bacterial composition and diversity were influenced both by the sex of individuals and by the environment inhabited by the mosquitoes; the latter might be related to both the vegetation and the animal host populations that Aedes used as food sources.","container-title":"FEMS Microbiology Ecology","DOI":"10.1111/j.1574-6941.2010.01012.x","ISSN":"01686496","issue":"3","page":"377-389","title":"Bacterial diversity of field-caught mosquitoes, Aedes albopictus and Aedes aegypti, from different geographic regions of Madagascar","volume":"75","author":[{"family":"Zouache","given":"Karima"},{"family":"Raharimalala","given":"Fara Nantenaina"},{"family":"Raquin","given":"Vincent"},{"family":"Tran-Van","given":"Van"},{"family":"Raveloson","given":"Lala Harivelo Ravaomanarivo"},{"family":"Ravelonandro","given":"Pierre"},{"family":"Mavingui","given":"Patrick"}],"issued":{"date-parts":[["2011"]]}}}],"schema":"https://github.com/citation-style-language/schema/raw/master/csl-citation.json"} </w:instrText>
      </w:r>
      <w:r w:rsidR="00BC2866">
        <w:fldChar w:fldCharType="separate"/>
      </w:r>
      <w:r w:rsidR="002F4EE8" w:rsidRPr="002F4EE8">
        <w:rPr>
          <w:rFonts w:cs="Times New Roman"/>
          <w:vertAlign w:val="superscript"/>
        </w:rPr>
        <w:t>53–57</w:t>
      </w:r>
      <w:r w:rsidR="00BC2866">
        <w:fldChar w:fldCharType="end"/>
      </w:r>
      <w:r w:rsidR="00BA51F4">
        <w:t>, ticks</w:t>
      </w:r>
      <w:r w:rsidR="002F4EE8">
        <w:fldChar w:fldCharType="begin"/>
      </w:r>
      <w:r w:rsidR="008C0D2B">
        <w:instrText xml:space="preserve"> ADDIN ZOTERO_ITEM CSL_CITATION {"citationID":"m2cbbBxx","properties":{"formattedCitation":"\\super 17,58,59\\nosupersub{}","plainCitation":"17,58,59","noteIndex":0},"citationItems":[{"id":1330,"uris":["http://zotero.org/users/5535808/items/S4YJY6I3"],"itemData":{"id":1330,"type":"article-journal","container-title":"The ISME Journal","DOI":"10.1038/ismej.2016.152","ISSN":"1751-7362, 1751-7370","issue":"3","language":"en","page":"813-816","source":"Crossref","title":"Tick microbiome and pathogen acquisition altered by host blood meal","volume":"11","author":[{"family":"Swei","given":"Andrea"},{"family":"Kwan","given":"Jessica Y"}],"issued":{"date-parts":[["2017",3]]}}},{"id":11033,"uris":["http://zotero.org/users/5535808/items/PIEWGI6Q"],"itemData":{"id":11033,"type":"article-journal","abstract":"Ticks have a diversity of habitats and host blood meals. Whether and how factors such as tick developmental stages, habitats and host blood meals affect tick bacterial microbiota is poorly elucidated. In the present study, we investigated the bacterial microbiotas of the hard tick Haemaphysalis longicornis, their blood meals and habitats using 16S rRNA gene high-throughput sequencing. The bacterial richness and diversity in ticks varied depending on the tick developmental stage and feeding status. Results showed that fed ticks present a higher bacterial richness suggesting that ticks may acquire bacteria from blood meals. The significant overlap of the bacteria of fed ticks and the host blood also supports this possibility. Another possibility is that blood meals can stimulate the proliferation of certain bacteria. However, most shared bacteria cannot transmit throughout the tick life cycle, as they were not present in tick eggs. The most shared bacteria between ticks and habitats are members of the genera Staphylococcus, Pseudomonas, Enterobacter, Acinetobacter and Stenotrophomonas, suggesting that these environmental bacteria cannot be completely washed away and can be acquired by ticks. The predominant proportion of Coxiella in fed females further demonstrates that this genus is involved in H. longicornis physiology, such as feeding activity and nutritional provision. These findings further reveal that the bacterial composition of ticks is influenced by a variety of factors and will help in subsequent studies of the function of these bacteria.","container-title":"Experimental and Applied Acarology","DOI":"10.1007/s10493-022-00714-x","ISSN":"0168-8162, 1572-9702","journalAbbreviation":"Exp Appl Acarol","language":"en","source":"DOI.org (Crossref)","title":"Bacterial microbiota analysis demonstrates that ticks can acquire bacteria from habitat and host blood meal","URL":"https://link.springer.com/10.1007/s10493-022-00714-x","author":[{"family":"Li","given":"Si-Si"},{"family":"Zhang","given":"Xiao-Yu"},{"family":"Zhou","given":"Xue-Jiao"},{"family":"Chen","given":"Kai-Li"},{"family":"Masoudi","given":"Abolfazl"},{"family":"Liu","given":"Jing-Ze"},{"family":"Zhang","given":"Yan-Kai"}],"accessed":{"date-parts":[["2022",5,17]]},"issued":{"date-parts":[["2022",5,9]]}}},{"id":11326,"uris":["http://zotero.org/users/5535808/items/CCWIJ5GU"],"itemData":{"id":11326,"type":"article-journal","abstract":"Background: Ticks of the group Rhipicephalus sanguineus (sensu lato) are distributed worldwide and are major pathogen vectors of both dogs and humans. Previous phylogenetic reconstructions have suggested the existence of two main lineages within this group, “Tropical” and “Temperate”. Symbiotic interactions contribute to vector development, survival, reproduction and competence. The diversity of microbial communities associated with different populations of R. sanguineus (s.l.) remains poorly characterized, however, this knowledge will aid in future studies of hosts-microbiotapathogen interactions. To gain insight into the bacterial communities associated with R. sanguineus (s.l.) ticks, 40 specimens from France, Senegal and Arizona were analyzed by high-throughput 16S amplicon sequencing. All tick specimens were taxonomically classified using the mitochondrial 12S rDNA gene, which provides sufficient phylogenetic resolution to discriminate different lineages of R. sanguineus.\nResults: Rhipicephalus sanguineus (s.l.) samples from Senegal belonged to the “Tropical” lineage, samples from France belonged to the “Temperate” lineage, whereas both lineages were identified in samples from Arizona. Regardless of origin, each bacterial microbiota was dominated by three genera: Coxiella, Rickettsia and Bacillus. Rickettsia and Coxiella were the two main genera found in females whereas males had a higher proportion of Bacillus. Significant differences of relative abundances were evidenced between specimens from different geographical origins.\nConclusions: This study highlights differences in the microbiota composition within R. sanguineus (s.l.) specimens from different genotypes, genders and geographical origins. This knowledge will help in future studies of the symbiotic interactions, biology and vector competence of the R. sanguineus (s.l.) complex.","container-title":"Parasites &amp; Vectors","DOI":"10.1186/s13071-017-2352-9","ISSN":"1756-3305","issue":"1","journalAbbreviation":"Parasites Vectors","language":"en","page":"416","source":"DOI.org (Crossref)","title":"Bacterial microbiota associated with Rhipicephalus sanguineus (s.l.) ticks from France, Senegal and Arizona","volume":"10","author":[{"family":"René-Martellet","given":"Magalie"},{"family":"Minard","given":"Guillaume"},{"family":"Massot","given":"Raphael"},{"family":"Tran Van","given":"Van"},{"family":"Valiente Moro","given":"Claire"},{"family":"Chabanne","given":"Luc"},{"family":"Mavingui","given":"Patrick"}],"issued":{"date-parts":[["2017",12]]}}}],"schema":"https://github.com/citation-style-language/schema/raw/master/csl-citation.json"} </w:instrText>
      </w:r>
      <w:r w:rsidR="002F4EE8">
        <w:fldChar w:fldCharType="separate"/>
      </w:r>
      <w:r w:rsidR="008C0D2B" w:rsidRPr="008C0D2B">
        <w:rPr>
          <w:rFonts w:cs="Times New Roman"/>
          <w:vertAlign w:val="superscript"/>
        </w:rPr>
        <w:t>17,58,59</w:t>
      </w:r>
      <w:r w:rsidR="002F4EE8">
        <w:fldChar w:fldCharType="end"/>
      </w:r>
      <w:r w:rsidR="00BA51F4">
        <w:t xml:space="preserve"> and triatomines</w:t>
      </w:r>
      <w:r w:rsidR="008C0D2B">
        <w:fldChar w:fldCharType="begin"/>
      </w:r>
      <w:r w:rsidR="008619BC">
        <w:instrText xml:space="preserve"> ADDIN ZOTERO_ITEM CSL_CITATION {"citationID":"kvBjrdE3","properties":{"formattedCitation":"\\super 28,47\\nosupersub{}","plainCitation":"28,47","noteIndex":0},"citationItems":[{"id":11845,"uris":["http://zotero.org/users/5535808/items/AJ5NM3HI"],"itemData":{"id":11845,"type":"article-journal","abstract":"Background:  Triatomine bugs are vectors of the protozoan parasite Trypanosoma cruzi, which causes Chagas disease. Rhodnius pallescens is a major vector of Chagas disease in Panama. Understanding the microbial ecology of disease vectors is important in the development of vector management strategies that target vector survival and fitness. In this study we examined the whole-body microbial composition of R. pallescens from three locations in Panama.\nMethods:  We collected 89 R. pallescens specimens using Noireau traps in Attalea butyracea palms. We then extracted total DNA from whole-bodies of specimens and amplified bacterial microbiota using 16S rRNA metabarcoding PCR. The 16S libraries were sequenced on an Illumina MiSeq and analyzed using QIIME2 software.\nResults:  We found Proteobacteria, Actinobacteria, Bacteroidetes and Firmicutes to be the most abundant bacterial phyla across all samples. Geographical location showed the largest difference in microbial composition with northern Veraguas Province having the most diversity and Panama Oeste Province localities being most similar to each other. Wolbachia was detected in high abundance (48–72%) at Panama Oeste area localities with a complete absence of detection in Veraguas Province. No significant differences in microbial composition were detected between triatomine age class, primary blood meal source, or T. cruzi infection status.\nConclusions:  We found biogeographical regions differ in microbial composition among R. pallescens populations in Panama. While overall the microbiota has bacterial taxa consistent with previous studies in triatomine microbial ecology, locality differences are an important observation for future studies. Geographical heterogeneity in microbiomes of vectors is an important consideration for future developments that leverage microbiomes for disease control.","container-title":"Parasites &amp; Vectors","DOI":"10.1186/s13071-019-3761-8","ISSN":"1756-3305","issue":"1","journalAbbreviation":"Parasites Vectors","language":"en","page":"504","source":"DOI.org (Crossref)","title":"Regional biogeography of microbiota composition in the Chagas disease vector Rhodnius pallescens","volume":"12","author":[{"family":"Kieran","given":"Troy J."},{"family":"Arnold","given":"Kaylee M. H."},{"family":"Thomas","given":"Jesse C."},{"family":"Varian","given":"Christina P."},{"family":"Saldaña","given":"Azael"},{"family":"Calzada","given":"Jose E."},{"family":"Glenn","given":"Travis C."},{"family":"Gottdenker","given":"Nicole L."}],"issued":{"date-parts":[["2019",12]]}}},{"id":2451,"uris":["http://zotero.org/users/5535808/items/TZWL95XL"],"itemData":{"id":2451,"type":"article-journal","abstract":"Conclusion: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schema":"https://github.com/citation-style-language/schema/raw/master/csl-citation.json"} </w:instrText>
      </w:r>
      <w:r w:rsidR="008C0D2B">
        <w:fldChar w:fldCharType="separate"/>
      </w:r>
      <w:r w:rsidR="008619BC" w:rsidRPr="008619BC">
        <w:rPr>
          <w:rFonts w:cs="Times New Roman"/>
          <w:vertAlign w:val="superscript"/>
        </w:rPr>
        <w:t>28,47</w:t>
      </w:r>
      <w:r w:rsidR="008C0D2B">
        <w:fldChar w:fldCharType="end"/>
      </w:r>
      <w:r w:rsidR="008619BC">
        <w:t xml:space="preserve">, </w:t>
      </w:r>
      <w:r w:rsidR="00BA51F4" w:rsidRPr="00816E1D">
        <w:t xml:space="preserve">however, few studies have closely examined differences in the microhabitat of these collection sites. As </w:t>
      </w:r>
      <w:r w:rsidR="00BA51F4" w:rsidRPr="00816E1D">
        <w:rPr>
          <w:i/>
        </w:rPr>
        <w:t>R. pallescens</w:t>
      </w:r>
      <w:r w:rsidR="00BA51F4" w:rsidRPr="00816E1D">
        <w:t xml:space="preserve"> primarily live in palm tree crowns, it is </w:t>
      </w:r>
      <w:r w:rsidR="00BA51F4">
        <w:t>crucial</w:t>
      </w:r>
      <w:r w:rsidR="00BA51F4" w:rsidRPr="00816E1D">
        <w:t xml:space="preserve"> to understand whether their gut bacterial community is influenced by microhabitat characteristics, particularly as land conversion and deforestation </w:t>
      </w:r>
      <w:r w:rsidR="00BA51F4">
        <w:t>continue</w:t>
      </w:r>
      <w:r w:rsidR="00BA51F4" w:rsidRPr="00816E1D">
        <w:t xml:space="preserve"> in areas of high vector prevalence. In this </w:t>
      </w:r>
      <w:r w:rsidR="00BA51F4">
        <w:t>study</w:t>
      </w:r>
      <w:r w:rsidR="00BA51F4" w:rsidRPr="00816E1D">
        <w:t>, we demonstrat</w:t>
      </w:r>
      <w:r w:rsidR="00BA51F4">
        <w:t xml:space="preserve">e </w:t>
      </w:r>
      <w:r w:rsidR="00BA51F4" w:rsidRPr="00816E1D">
        <w:t>that</w:t>
      </w:r>
      <w:r w:rsidR="00BA51F4">
        <w:t xml:space="preserve"> dominant blood meal sources drive some differences in bacterial communities of triatomines across sample regions and habitat types in central Panama</w:t>
      </w:r>
      <w:r w:rsidR="00BA51F4" w:rsidRPr="00816E1D">
        <w:t xml:space="preserve">. </w:t>
      </w:r>
    </w:p>
    <w:p w14:paraId="7FFAFFEF" w14:textId="514213F4" w:rsidR="00BA51F4" w:rsidRDefault="00BA51F4" w:rsidP="00BA51F4">
      <w:pPr>
        <w:spacing w:line="480" w:lineRule="auto"/>
      </w:pPr>
      <w:r>
        <w:tab/>
      </w:r>
      <w:r w:rsidRPr="00E914F2">
        <w:rPr>
          <w:b/>
          <w:bCs/>
        </w:rPr>
        <w:t>Palm identity and triatome age groups drive variation</w:t>
      </w:r>
      <w:r>
        <w:rPr>
          <w:b/>
          <w:bCs/>
        </w:rPr>
        <w:t>s</w:t>
      </w:r>
      <w:r w:rsidRPr="00E914F2">
        <w:rPr>
          <w:b/>
          <w:bCs/>
        </w:rPr>
        <w:t xml:space="preserve"> in gut microbiota</w:t>
      </w:r>
      <w:r>
        <w:rPr>
          <w:b/>
          <w:bCs/>
        </w:rPr>
        <w:t xml:space="preserve">. </w:t>
      </w:r>
      <w:r>
        <w:t xml:space="preserve">Previous studies have established that triatomine age and habitat location primarily drive variations in gut microbiota, and our observations support this pattern. We found that palm identity contributed to 31-41% of the variation in community composition and 31-51% of the variation in community structure, and age significantly contributed to 2-4% of the variation in community composition and about 2-10% of the variation in community structure. In our dataset, 41 palms were sampled, </w:t>
      </w:r>
      <w:r>
        <w:lastRenderedPageBreak/>
        <w:t xml:space="preserve">and up to 26 triatomines were sampled from a single palm. The significant contribution of palm identity may reflect the mode of initial gut symbiont acquisition. Triatomines initially pick up their gut microbiome via coprophagy from conspecifics after hatching, from </w:t>
      </w:r>
      <w:r w:rsidRPr="00E7766A">
        <w:t>specific maternally inherited bacteria</w:t>
      </w:r>
      <w:r>
        <w:t>, and from environmental microbes</w:t>
      </w:r>
      <w:r w:rsidR="006D3438">
        <w:fldChar w:fldCharType="begin"/>
      </w:r>
      <w:r w:rsidR="00124F62">
        <w:instrText xml:space="preserve"> ADDIN ZOTERO_ITEM CSL_CITATION {"citationID":"HXFNBZce","properties":{"formattedCitation":"\\super 51,52\\nosupersub{}","plainCitation":"51,52","noteIndex":0},"citationItems":[{"id":2491,"uris":["http://zotero.org/users/5535808/items/2UPANZ7A"],"itemData":{"id":2491,"type":"article-journal","abstract":"Insects have established mutualistic symbiotic interactions with microorganisms that are beneﬁcial to both host and symbiont. Many insects have exploited these symbioses to diversify and expand their ecological ranges. In the Hemiptera (i.e., aphids, cicadas, and true bugs), symbioses have established and evolved with obligatory essential microorganisms (primary symbionts) and with facultative beneﬁcial symbionts (secondary symbionts). Primary symbionts are usually intracellular microorganisms found in insects with specialized diets such as obligate hematophagy or phytophagy. Most Heteroptera (true bugs), however, have gastrointestinal (GI) tract extracellular symbionts with functions analogous to primary endosymbionts. The triatomines, are vectors of the human parasite, Trypanosoma cruzi. A description of their small GI tract microbiota richness was based on a few culturable microorganisms ﬁrst described almost a century ago. A growing literature describes more complex interactions between triatomines and bacteria with properties characteristic of both primary and secondary symbionts. In this review, we provide an evolutionary perspective of beneﬁcial symbioses in the Hemiptera, illustrating the context that may drive the evolution of symbioses in triatomines. We highlight the diversity of the triatomine microbiota, bacterial taxa with potential to be beneﬁcial symbionts, the unique characteristics of triatomine-bacteria symbioses, and the interactions among trypanosomes, microbiota, and triatomines.","container-title":"Microorganisms","DOI":"10.3390/microorganisms8091438","ISSN":"2076-2607","issue":"9","journalAbbreviation":"Microorganisms","language":"en","page":"1438","source":"DOI.org (Crossref)","title":"The Role of Bacterial Symbionts in Triatomines: An Evolutionary Perspective","title-short":"The Role of Bacterial Symbionts in Triatomines","volume":"8","author":[{"family":"Salcedo-Porras","given":"Nicolas"},{"family":"Umaña-Diaz","given":"Claudia"},{"family":"Oliveira Barbosa Bitencourt","given":"Ricardo","non-dropping-particle":"de"},{"family":"Lowenberger","given":"Carl"}],"issued":{"date-parts":[["2020",9,19]]}}},{"id":2344,"uris":["http://zotero.org/users/5535808/items/TKTS6WPQ"],"itemData":{"id":2344,"type":"chapter","container-title":"Advances in Insect Physiology","ISBN":"978-0-08-102987-9","language":"en","note":"DOI: 10.1016/bs.aiip.2020.03.004","page":"233-275","publisher":"Elsevier","source":"Crossref","title":"Functions and mechanisms of symbionts of insect disease vectors","URL":"https://linkinghub.elsevier.com/retrieve/pii/S0065280620300047","volume":"58","author":[{"family":"Vogel","given":"Kevin J."},{"family":"Coon","given":"Kerri L."}],"accessed":{"date-parts":[["2020",11,25]]},"issued":{"date-parts":[["2020"]]}}}],"schema":"https://github.com/citation-style-language/schema/raw/master/csl-citation.json"} </w:instrText>
      </w:r>
      <w:r w:rsidR="006D3438">
        <w:fldChar w:fldCharType="separate"/>
      </w:r>
      <w:r w:rsidR="00124F62" w:rsidRPr="00124F62">
        <w:rPr>
          <w:rFonts w:cs="Times New Roman"/>
          <w:vertAlign w:val="superscript"/>
        </w:rPr>
        <w:t>51,52</w:t>
      </w:r>
      <w:r w:rsidR="006D3438">
        <w:fldChar w:fldCharType="end"/>
      </w:r>
      <w:r>
        <w:t xml:space="preserve">. For these reasons, their gut symbionts will likely closely resemble other triatomines that live in the same palm. Additionally, triatomines from the same palm will feed from the same collection of palm-dwelling hosts, which may further drive similarities in their gut microbial communities. </w:t>
      </w:r>
    </w:p>
    <w:p w14:paraId="5B396F61" w14:textId="2329D48F" w:rsidR="00BA51F4" w:rsidRPr="00E40F5E" w:rsidRDefault="00BA51F4" w:rsidP="00BA51F4">
      <w:pPr>
        <w:spacing w:line="480" w:lineRule="auto"/>
        <w:ind w:firstLine="720"/>
      </w:pPr>
      <w:r>
        <w:t>Furthermore, the contribution of the developmental stage to gut bacteria variation was expected. Current research has shown that developmental stage, particularly between instars N1-N3 and N4-adult, is a major factor that shapes microbiome composition</w:t>
      </w:r>
      <w:r w:rsidR="00124F62">
        <w:fldChar w:fldCharType="begin"/>
      </w:r>
      <w:r w:rsidR="00B213DD">
        <w:instrText xml:space="preserve"> ADDIN ZOTERO_ITEM CSL_CITATION {"citationID":"dOcAFGt2","properties":{"formattedCitation":"\\super 47,60,61\\nosupersub{}","plainCitation":"47,60,61","noteIndex":0},"citationItems":[{"id":2451,"uris":["http://zotero.org/users/5535808/items/TZWL95XL"],"itemData":{"id":2451,"type":"article-journal","abstract":"Conclusion: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id":1892,"uris":["http://zotero.org/users/5535808/items/ZFUJMSJ4"],"itemData":{"id":1892,"type":"article-journal","abstract":"Background/Methodology Triatomine bugs are the vectors of Trypanosoma cruzi, the agent of Chagas disease. Vector control has for decades relied upon insecticide spraying, but insecticide resistance has recently emerged in several triatomine populations. One alternative strategy to reduce T. cruzi transmission is paratransgenesis, whereby symbiotic bacteria are genetically engineered to produce T. cruzi-killing proteins in the vector’s gut. This approach requires indepth knowledge of the vectors’ natural gut microbiota. Here, we use metagenomics (16S rRNA 454 pyrosequencing) to describe the gut microbiota of field-caught Triatoma sordida–likely the most common peridomestic triatomine in Brazil. For large nymphs (4th and 5th stage) and adults, we also studied separately the three main digestive-tract segments–anterior midgut, posterior midgut, and hindgut.","container-title":"PLOS Neglected Tropical Diseases","DOI":"10.1371/journal.pntd.0006709","ISSN":"1935-2735","issue":"8","language":"en","page":"e0006709","source":"Crossref","title":"Field-collected Triatoma sordida from central Brazil display high microbiota diversity that varies with regard to developmental stage and intestinal segmentation","volume":"12","author":[{"family":"Oliveira","given":"Joana L."},{"family":"Cury","given":"Juliano C."},{"family":"Gurgel-Gonçalves","given":"Rodrigo"},{"family":"Bahia","given":"Ana C."},{"family":"Monteiro","given":"Fernando A."}],"editor":[{"family":"Acosta-Serrano","given":"Alvaro"}],"issued":{"date-parts":[["2018",8,23]]}}},{"id":393,"uris":["http://zotero.org/users/5535808/items/T8SXV56D"],"itemData":{"id":393,"type":"article-journal","abstract":"Insect microbiomes inﬂuence many fundamental host traits, including functions of practical signiﬁcance such as their capacity as vectors to transmit parasites and pathogens. The knowledge on the diversity and development of the gut microbiomes in various blood feeding insects is thus crucial not only for theoretical purposes, but also for the development of better disease control strategies. In Triatominae (Heteroptera: Reduviidae), the blood feeding vectors of Chagas disease in South America and parts of North America, the investigation of the microbiomes is in its infancy. The few studies done on microbiomes of South American Triatominae species indicate a relatively low taxonomic diversity and a high host speciﬁcity. We designed a comparative survey to serve several purposes: (I) to obtain a better insight into the overall microbiome diversity in different species, (II) to check the long term stability of the interspeciﬁc differences, (III) to describe the ontogenetic changes of the microbiome, and (IV) to determine the potential correlation between microbiome composition and presence of Trypanosoma cruzi, the causative agent of Chagas disease. Using 16S amplicons of two abundant species from the southern US, and four laboratory reared colonies, we showed that the microbiome composition is determined by host species, rather than locality or environment. The OTUs (Operational Taxonomic Units) determination conﬁrms a low microbiome diversity, with 12-17 main OTUs detected in wild populations of T. sanguisuga and T. protracta. Among the dominant bacterial taxa are Acinetobacter and Proteiniphilum but also the symbiotic bacterium Arsenophonus triatominarum, previously believed to only live intracellularly. The possibility of ontogenetic microbiome changes was evaluated in all six developmental stages and feces of the laboratory reared model Rhodnius prolixus. We detected considerable changes along the host’s ontogeny, including clear trends in the abundance variation of the three dominant bacteria, namely Enterococcus, Acinetobacter, and Arsenophonus. Finally, we screened the samples for the presence of Trypanosoma cruzi. Comparing the parasite presence with the microbiome composition, we assessed the possible signiﬁcance of the latter in the epidemiology of the disease. Particularly, we found a trend toward more diverse microbiomes in Trypanosoma cruzi positive T. protracta specimens.","container-title":"Frontiers in Microbiology","DOI":"10.3389/fmicb.2018.01167","ISSN":"1664-302X","language":"en","source":"Crossref","title":"Microbiomes of North American Triatominae: The Grounds for Chagas Disease Epidemiology","title-short":"Microbiomes of North American Triatominae","URL":"https://www.frontiersin.org/article/10.3389/fmicb.2018.01167/full","volume":"9","author":[{"family":"Rodríguez-Ruano","given":"Sonia M."},{"family":"Škochová","given":"Veronika"},{"family":"Rego","given":"Ryan O. M."},{"family":"Schmidt","given":"Justin O."},{"family":"Roachell","given":"Walter"},{"family":"Hypša","given":"Václav"},{"family":"Nováková","given":"Eva"}],"accessed":{"date-parts":[["2019",7,15]]},"issued":{"date-parts":[["2018",6,13]]}}}],"schema":"https://github.com/citation-style-language/schema/raw/master/csl-citation.json"} </w:instrText>
      </w:r>
      <w:r w:rsidR="00124F62">
        <w:fldChar w:fldCharType="separate"/>
      </w:r>
      <w:r w:rsidR="00B213DD" w:rsidRPr="00B213DD">
        <w:rPr>
          <w:rFonts w:cs="Times New Roman"/>
          <w:vertAlign w:val="superscript"/>
        </w:rPr>
        <w:t>47,60,61</w:t>
      </w:r>
      <w:r w:rsidR="00124F62">
        <w:fldChar w:fldCharType="end"/>
      </w:r>
      <w:r>
        <w:t xml:space="preserve">, and our results are consistent with these conclusions. However, our results contradict findings from </w:t>
      </w:r>
      <w:r w:rsidRPr="00504020">
        <w:t xml:space="preserve">Rodríguez-Ruano </w:t>
      </w:r>
      <w:r>
        <w:t>et al.</w:t>
      </w:r>
      <w:r w:rsidR="00C732AA">
        <w:fldChar w:fldCharType="begin"/>
      </w:r>
      <w:r w:rsidR="00C732AA">
        <w:instrText xml:space="preserve"> ADDIN ZOTERO_ITEM CSL_CITATION {"citationID":"fzcpiwgn","properties":{"formattedCitation":"\\super 61\\nosupersub{}","plainCitation":"61","noteIndex":0},"citationItems":[{"id":393,"uris":["http://zotero.org/users/5535808/items/T8SXV56D"],"itemData":{"id":393,"type":"article-journal","abstract":"Insect microbiomes inﬂuence many fundamental host traits, including functions of practical signiﬁcance such as their capacity as vectors to transmit parasites and pathogens. The knowledge on the diversity and development of the gut microbiomes in various blood feeding insects is thus crucial not only for theoretical purposes, but also for the development of better disease control strategies. In Triatominae (Heteroptera: Reduviidae), the blood feeding vectors of Chagas disease in South America and parts of North America, the investigation of the microbiomes is in its infancy. The few studies done on microbiomes of South American Triatominae species indicate a relatively low taxonomic diversity and a high host speciﬁcity. We designed a comparative survey to serve several purposes: (I) to obtain a better insight into the overall microbiome diversity in different species, (II) to check the long term stability of the interspeciﬁc differences, (III) to describe the ontogenetic changes of the microbiome, and (IV) to determine the potential correlation between microbiome composition and presence of Trypanosoma cruzi, the causative agent of Chagas disease. Using 16S amplicons of two abundant species from the southern US, and four laboratory reared colonies, we showed that the microbiome composition is determined by host species, rather than locality or environment. The OTUs (Operational Taxonomic Units) determination conﬁrms a low microbiome diversity, with 12-17 main OTUs detected in wild populations of T. sanguisuga and T. protracta. Among the dominant bacterial taxa are Acinetobacter and Proteiniphilum but also the symbiotic bacterium Arsenophonus triatominarum, previously believed to only live intracellularly. The possibility of ontogenetic microbiome changes was evaluated in all six developmental stages and feces of the laboratory reared model Rhodnius prolixus. We detected considerable changes along the host’s ontogeny, including clear trends in the abundance variation of the three dominant bacteria, namely Enterococcus, Acinetobacter, and Arsenophonus. Finally, we screened the samples for the presence of Trypanosoma cruzi. Comparing the parasite presence with the microbiome composition, we assessed the possible signiﬁcance of the latter in the epidemiology of the disease. Particularly, we found a trend toward more diverse microbiomes in Trypanosoma cruzi positive T. protracta specimens.","container-title":"Frontiers in Microbiology","DOI":"10.3389/fmicb.2018.01167","ISSN":"1664-302X","language":"en","source":"Crossref","title":"Microbiomes of North American Triatominae: The Grounds for Chagas Disease Epidemiology","title-short":"Microbiomes of North American Triatominae","URL":"https://www.frontiersin.org/article/10.3389/fmicb.2018.01167/full","volume":"9","author":[{"family":"Rodríguez-Ruano","given":"Sonia M."},{"family":"Škochová","given":"Veronika"},{"family":"Rego","given":"Ryan O. M."},{"family":"Schmidt","given":"Justin O."},{"family":"Roachell","given":"Walter"},{"family":"Hypša","given":"Václav"},{"family":"Nováková","given":"Eva"}],"accessed":{"date-parts":[["2019",7,15]]},"issued":{"date-parts":[["2018",6,13]]}}}],"schema":"https://github.com/citation-style-language/schema/raw/master/csl-citation.json"} </w:instrText>
      </w:r>
      <w:r w:rsidR="00C732AA">
        <w:fldChar w:fldCharType="separate"/>
      </w:r>
      <w:r w:rsidR="00C732AA" w:rsidRPr="00C732AA">
        <w:rPr>
          <w:rFonts w:cs="Times New Roman"/>
          <w:vertAlign w:val="superscript"/>
        </w:rPr>
        <w:t>61</w:t>
      </w:r>
      <w:r w:rsidR="00C732AA">
        <w:fldChar w:fldCharType="end"/>
      </w:r>
      <w:r>
        <w:t xml:space="preserve"> and Brown et al.</w:t>
      </w:r>
      <w:r w:rsidR="00C732AA">
        <w:fldChar w:fldCharType="begin"/>
      </w:r>
      <w:r w:rsidR="00C732AA">
        <w:instrText xml:space="preserve"> ADDIN ZOTERO_ITEM CSL_CITATION {"citationID":"lKT3TIth","properties":{"formattedCitation":"\\super 47\\nosupersub{}","plainCitation":"47","noteIndex":0},"citationItems":[{"id":2451,"uris":["http://zotero.org/users/5535808/items/TZWL95XL"],"itemData":{"id":2451,"type":"article-journal","abstract":"Conclusion: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schema":"https://github.com/citation-style-language/schema/raw/master/csl-citation.json"} </w:instrText>
      </w:r>
      <w:r w:rsidR="00C732AA">
        <w:fldChar w:fldCharType="separate"/>
      </w:r>
      <w:r w:rsidR="00C732AA" w:rsidRPr="00C732AA">
        <w:rPr>
          <w:rFonts w:cs="Times New Roman"/>
          <w:vertAlign w:val="superscript"/>
        </w:rPr>
        <w:t>47</w:t>
      </w:r>
      <w:r w:rsidR="00C732AA">
        <w:fldChar w:fldCharType="end"/>
      </w:r>
      <w:r>
        <w:rPr>
          <w:noProof/>
        </w:rPr>
        <w:t>,</w:t>
      </w:r>
      <w:r>
        <w:t xml:space="preserve"> such that our early-stage instars displayed lower bacterial richness and diversity than late-stage instars and adults. This difference may be an artifact of the vector species identity, as other studies sampled North American </w:t>
      </w:r>
      <w:r w:rsidRPr="00E47AA8">
        <w:rPr>
          <w:i/>
          <w:iCs/>
        </w:rPr>
        <w:t>Triatoma</w:t>
      </w:r>
      <w:r>
        <w:t xml:space="preserve"> species, and there are many species-specific differences across triatomine gut microbial communities</w:t>
      </w:r>
      <w:r w:rsidR="00C732AA">
        <w:fldChar w:fldCharType="begin"/>
      </w:r>
      <w:r w:rsidR="0057480A">
        <w:instrText xml:space="preserve"> ADDIN ZOTERO_ITEM CSL_CITATION {"citationID":"lusjYrLd","properties":{"formattedCitation":"\\super 23,47,61,62\\nosupersub{}","plainCitation":"23,47,61,62","noteIndex":0},"citationItems":[{"id":9048,"uris":["http://zotero.org/users/5535808/items/EUCYR2KL"],"itemData":{"id":9048,"type":"article-journal","abstract":"Background: Triatomine bugs (Hemiptera: Reduviidae) are vectors of the flagellate Trypanosoma cruzi, the causative agent of Chagas disease. The study of triatomine gut microbiota has gained relevance in the last years due to its possible role in vector competence and prospective use in control strategies. The objective of this study is to examine changes in the gut microbiota composition of triatomines in response to a T. cruzi-infected blood meal and identifying key factors determining those changes.\nResults: We sampled colony-reared individuals from six triatomine vectors (Panstrongylus megistus, Rhodnius prolixus, Triatoma brasiliensis, T. infestans, T. juazeirensis and T. sherlocki) comparing experimentally T. cruzi strain 0354challenged and non-challenged insects. The microbiota of gut and gonad tissues was characterized using high throughput sequencing of region V3-V4 of bacterial 16S rRNA gene. The triatomine microbiota had a low intraindividual diversity, and a high inter-individual variation within the same host species. Arsenophonous appeared as the dominant triatomine bacterial symbiont in our study (59% of the total 16S coverage), but there were significant differences in the distribution of bacterial genera among vectors. In Rhodnius prolixus the dominant symbiont was Pectobacterium.\nConclusions: Trypanosoma cruzi-challenge significantly affects microbiota composition, with challenged vectors harbouring a significantly more diverse bacterial community, both in the gut and the gonads. Our results show that blood-feeding with T. cruzi epimastigotes strongly affects microbiota composition in a species-specific manner. We suggest that triatomine-adapted enterobacteria such as Arsenophonus could be used as stable vectors for genetic transformation of triatomine bugs and control of Chagas disease.","container-title":"Parasites &amp; Vectors","DOI":"10.1186/s13071-016-1926-2","ISSN":"1756-3305","issue":"1","journalAbbreviation":"Parasites Vectors","language":"en","page":"636","source":"DOI.org (Crossref)","title":"Triatomine bugs, their microbiota and Trypanosoma cruzi: asymmetric responses of bacteria to an infected blood meal","title-short":"Triatomine bugs, their microbiota and Trypanosoma cruzi","volume":"9","author":[{"family":"Díaz","given":"Sebastián"},{"family":"Villavicencio","given":"Bianca"},{"family":"Correia","given":"Nathália"},{"family":"Costa","given":"Jane"},{"family":"Haag","given":"Karen L."}],"issued":{"date-parts":[["2016",12]]}}},{"id":2451,"uris":["http://zotero.org/users/5535808/items/TZWL95XL"],"itemData":{"id":2451,"type":"article-journal","abstract":"Conclusion: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id":393,"uris":["http://zotero.org/users/5535808/items/T8SXV56D"],"itemData":{"id":393,"type":"article-journal","abstract":"Insect microbiomes inﬂuence many fundamental host traits, including functions of practical signiﬁcance such as their capacity as vectors to transmit parasites and pathogens. The knowledge on the diversity and development of the gut microbiomes in various blood feeding insects is thus crucial not only for theoretical purposes, but also for the development of better disease control strategies. In Triatominae (Heteroptera: Reduviidae), the blood feeding vectors of Chagas disease in South America and parts of North America, the investigation of the microbiomes is in its infancy. The few studies done on microbiomes of South American Triatominae species indicate a relatively low taxonomic diversity and a high host speciﬁcity. We designed a comparative survey to serve several purposes: (I) to obtain a better insight into the overall microbiome diversity in different species, (II) to check the long term stability of the interspeciﬁc differences, (III) to describe the ontogenetic changes of the microbiome, and (IV) to determine the potential correlation between microbiome composition and presence of Trypanosoma cruzi, the causative agent of Chagas disease. Using 16S amplicons of two abundant species from the southern US, and four laboratory reared colonies, we showed that the microbiome composition is determined by host species, rather than locality or environment. The OTUs (Operational Taxonomic Units) determination conﬁrms a low microbiome diversity, with 12-17 main OTUs detected in wild populations of T. sanguisuga and T. protracta. Among the dominant bacterial taxa are Acinetobacter and Proteiniphilum but also the symbiotic bacterium Arsenophonus triatominarum, previously believed to only live intracellularly. The possibility of ontogenetic microbiome changes was evaluated in all six developmental stages and feces of the laboratory reared model Rhodnius prolixus. We detected considerable changes along the host’s ontogeny, including clear trends in the abundance variation of the three dominant bacteria, namely Enterococcus, Acinetobacter, and Arsenophonus. Finally, we screened the samples for the presence of Trypanosoma cruzi. Comparing the parasite presence with the microbiome composition, we assessed the possible signiﬁcance of the latter in the epidemiology of the disease. Particularly, we found a trend toward more diverse microbiomes in Trypanosoma cruzi positive T. protracta specimens.","container-title":"Frontiers in Microbiology","DOI":"10.3389/fmicb.2018.01167","ISSN":"1664-302X","language":"en","source":"Crossref","title":"Microbiomes of North American Triatominae: The Grounds for Chagas Disease Epidemiology","title-short":"Microbiomes of North American Triatominae","URL":"https://www.frontiersin.org/article/10.3389/fmicb.2018.01167/full","volume":"9","author":[{"family":"Rodríguez-Ruano","given":"Sonia M."},{"family":"Škochová","given":"Veronika"},{"family":"Rego","given":"Ryan O. M."},{"family":"Schmidt","given":"Justin O."},{"family":"Roachell","given":"Walter"},{"family":"Hypša","given":"Václav"},{"family":"Nováková","given":"Eva"}],"accessed":{"date-parts":[["2019",7,15]]},"issued":{"date-parts":[["2018",6,13]]}}},{"id":1432,"uris":["http://zotero.org/users/5535808/items/GGRHVGZX"],"itemData":{"id":1432,"type":"article-journal","abstract":"Background: Chagas disease is a trypanosomiasis whose agent is the protozoan parasite Trypanosoma cruzi, which is transmitted to humans by hematophagous bugs known as triatomines. Even though insecticide treatments allow effective control of these bugs in most Latin American countries where Chagas disease is endemic, the disease still affects a large proportion of the population of South America. The features of the disease in humans have been extensively studied, and the genome of the parasite has been sequenced, but no effective drug is yet available to treat Chagas disease. The digestive tract of the insect vectors in which T. cruzi develops has been much less well investigated than blood from its human hosts and constitutes a dynamic environment with very different conditions. Thus, we investigated the composition of the predominant bacterial species of the microbiota in insect vectors from Rhodnius, Triatoma, Panstrongylus and Dipetalogaster genera.\nMethodology/Principal Findings: Microbiota of triatomine guts were investigated using cultivation-independent methods, i.e., phylogenetic analysis of 16s rDNA using denaturing gradient gel electrophoresis (DGGE) and cloned-based sequencing. The Chao index showed that the diversity of bacterial species in triatomine guts is low, comprising fewer than 20 predominant species, and that these species vary between insect species. The analyses showed that Serratia predominates in Rhodnius, Arsenophonus predominates in Triatoma and Panstrongylus, while Candidatus Rohrkolberia predominates in Dipetalogaster.\nConclusions/Significance: The microbiota of triatomine guts represents one of the factors that may interfere with T. cruzi transmission and virulence in humans. The knowledge of its composition according to insect species is important for designing measures of biological control for T. cruzi. We found that the predominant species of the bacterial microbiota in triatomines form a group of low complexity whose structure differs according to the vector genus.","container-title":"PLoS Neglected Tropical Diseases","DOI":"10.1371/journal.pntd.0001631","ISSN":"1935-2735","issue":"5","language":"en","page":"e1631","source":"Crossref","title":"Cultivation-Independent Methods Reveal Differences among Bacterial Gut Microbiota in Triatomine Vectors of Chagas Disease","volume":"6","author":[{"family":"Mota","given":"Fabio Faria","non-dropping-particle":"da"},{"family":"Marinho","given":"Lourena Pinheiro"},{"family":"Moreira","given":"Carlos José de Carvalho"},{"family":"Lima","given":"Marli Maria"},{"family":"Mello","given":"Cícero Brasileiro"},{"family":"Garcia","given":"Eloi Souza"},{"family":"Carels","given":"Nicolas"},{"family":"Azambuja","given":"Patricia"}],"editor":[{"family":"Myler","given":"Peter J."}],"issued":{"date-parts":[["2012",5,1]]}}}],"schema":"https://github.com/citation-style-language/schema/raw/master/csl-citation.json"} </w:instrText>
      </w:r>
      <w:r w:rsidR="00C732AA">
        <w:fldChar w:fldCharType="separate"/>
      </w:r>
      <w:r w:rsidR="0057480A" w:rsidRPr="0057480A">
        <w:rPr>
          <w:rFonts w:cs="Times New Roman"/>
          <w:vertAlign w:val="superscript"/>
        </w:rPr>
        <w:t>23,47,61,62</w:t>
      </w:r>
      <w:r w:rsidR="00C732AA">
        <w:fldChar w:fldCharType="end"/>
      </w:r>
      <w:r w:rsidR="0057480A">
        <w:t>.</w:t>
      </w:r>
    </w:p>
    <w:p w14:paraId="4572CA4F" w14:textId="77777777" w:rsidR="00BA51F4" w:rsidRPr="00816E1D" w:rsidRDefault="00BA51F4" w:rsidP="00BA51F4">
      <w:pPr>
        <w:spacing w:line="480" w:lineRule="auto"/>
        <w:ind w:firstLine="720"/>
      </w:pPr>
      <w:r w:rsidRPr="00816E1D">
        <w:rPr>
          <w:b/>
        </w:rPr>
        <w:t xml:space="preserve">There are differences in </w:t>
      </w:r>
      <w:r>
        <w:rPr>
          <w:b/>
        </w:rPr>
        <w:t xml:space="preserve">the alpha diversity and composition of the </w:t>
      </w:r>
      <w:r w:rsidRPr="00816E1D">
        <w:rPr>
          <w:b/>
        </w:rPr>
        <w:t xml:space="preserve">gut </w:t>
      </w:r>
      <w:r>
        <w:rPr>
          <w:b/>
        </w:rPr>
        <w:t>bacterial</w:t>
      </w:r>
      <w:r w:rsidRPr="00816E1D">
        <w:rPr>
          <w:b/>
        </w:rPr>
        <w:t xml:space="preserve"> </w:t>
      </w:r>
      <w:r>
        <w:rPr>
          <w:b/>
        </w:rPr>
        <w:t>communities of triatomines</w:t>
      </w:r>
      <w:r w:rsidRPr="00816E1D">
        <w:rPr>
          <w:b/>
        </w:rPr>
        <w:t xml:space="preserve"> collected across sampling regions. </w:t>
      </w:r>
      <w:r>
        <w:t>Per the linear mixed models</w:t>
      </w:r>
      <w:r w:rsidRPr="00816E1D">
        <w:t>, sampling region is</w:t>
      </w:r>
      <w:r>
        <w:t xml:space="preserve"> a factor that most</w:t>
      </w:r>
      <w:r w:rsidRPr="00816E1D">
        <w:t xml:space="preserve"> explains the alpha diversity among all individuals (</w:t>
      </w:r>
      <w:r>
        <w:t>Tables S4)</w:t>
      </w:r>
      <w:r w:rsidRPr="00816E1D">
        <w:t xml:space="preserve">. Figure </w:t>
      </w:r>
      <w:r>
        <w:t>S3</w:t>
      </w:r>
      <w:r w:rsidRPr="00816E1D">
        <w:t xml:space="preserve"> demonstrates that the greatest differences in alpha gut microbial diversity were found between samples collected in Veraguas and samples collected around the Panama Canal (i.e., Capira and La Chorrera). Alpha richness and diversity were greatest </w:t>
      </w:r>
      <w:r>
        <w:t>in</w:t>
      </w:r>
      <w:r w:rsidRPr="00816E1D">
        <w:t xml:space="preserve"> Veraguas samples, indicating a greater number of ASVs present in the guts of triatomines (Fig. </w:t>
      </w:r>
      <w:r>
        <w:t>S1</w:t>
      </w:r>
      <w:r w:rsidRPr="00816E1D">
        <w:t xml:space="preserve">). However, evenness is the same across all regions, meaning </w:t>
      </w:r>
      <w:r>
        <w:t xml:space="preserve">sampling </w:t>
      </w:r>
      <w:r w:rsidRPr="00816E1D">
        <w:t xml:space="preserve">region is not differentially selecting </w:t>
      </w:r>
      <w:r w:rsidRPr="00816E1D">
        <w:lastRenderedPageBreak/>
        <w:t xml:space="preserve">for greater or fewer amounts of each taxon. Similarly, Veraguas samples displayed the greatest Faith’s phylogenetic diversity measurements, therefore indicating that not only is there an increase in amplicon diversity, but phylogenetic diversity as well. </w:t>
      </w:r>
    </w:p>
    <w:p w14:paraId="5FC80C05" w14:textId="77777777" w:rsidR="00BA51F4" w:rsidRDefault="00BA51F4" w:rsidP="00BA51F4">
      <w:pPr>
        <w:spacing w:line="480" w:lineRule="auto"/>
        <w:ind w:firstLine="720"/>
      </w:pPr>
      <w:r w:rsidRPr="00816E1D">
        <w:t xml:space="preserve">Furthermore, after controlling for habitat type, we </w:t>
      </w:r>
      <w:r>
        <w:t>could closely examine diversity patterns</w:t>
      </w:r>
      <w:r w:rsidRPr="00816E1D">
        <w:t xml:space="preserve"> across sampling regions within all pasture palms and all peridomestic palms. </w:t>
      </w:r>
      <w:r>
        <w:t>Similar</w:t>
      </w:r>
      <w:r w:rsidRPr="00816E1D">
        <w:t xml:space="preserve"> alpha diversity patterns emerge</w:t>
      </w:r>
      <w:r>
        <w:t>d</w:t>
      </w:r>
      <w:r w:rsidRPr="00816E1D">
        <w:t xml:space="preserve"> between sampling regions</w:t>
      </w:r>
      <w:r>
        <w:t xml:space="preserve"> when only examining peridomestic palms</w:t>
      </w:r>
      <w:r w:rsidRPr="00816E1D">
        <w:t xml:space="preserve">. Veraguas samples displayed greater alpha richness and diversity than both the </w:t>
      </w:r>
      <w:r>
        <w:t xml:space="preserve">Panama </w:t>
      </w:r>
      <w:r w:rsidRPr="00816E1D">
        <w:t xml:space="preserve">Canal </w:t>
      </w:r>
      <w:r>
        <w:t>regions; however,</w:t>
      </w:r>
      <w:r w:rsidRPr="00816E1D">
        <w:t xml:space="preserve"> samples from Capira and La Chorrera were not significantly different </w:t>
      </w:r>
      <w:r>
        <w:t xml:space="preserve">from each other </w:t>
      </w:r>
      <w:r w:rsidRPr="00816E1D">
        <w:t>(</w:t>
      </w:r>
      <w:r>
        <w:t>Fig. 4</w:t>
      </w:r>
      <w:r w:rsidRPr="00816E1D">
        <w:t>).</w:t>
      </w:r>
      <w:r>
        <w:t xml:space="preserve"> </w:t>
      </w:r>
      <w:r w:rsidRPr="00816E1D">
        <w:t>Conversely, when only examining pasture palms, Veraguas samples had greater ASV richness compared to both Capira and La Chorrera, but only displayed greater Shannon diversity compared to the La Chorrera samples</w:t>
      </w:r>
      <w:r>
        <w:t xml:space="preserve"> (Fig. 3)</w:t>
      </w:r>
      <w:r w:rsidRPr="00816E1D">
        <w:t xml:space="preserve">. </w:t>
      </w:r>
      <w:r>
        <w:t xml:space="preserve">Furthermore, the linear mixed models shows that habitat type was significantly associated with phylogenetic diversity at Capira and Shannon diversity La Chorrera samples (Tables 4-5). These results indicate that ecological differences at the habitat-level may drive these patterns between sampling regions. </w:t>
      </w:r>
    </w:p>
    <w:p w14:paraId="1881F50F" w14:textId="1C5C3E73" w:rsidR="00BA51F4" w:rsidRPr="00816E1D" w:rsidRDefault="00BA51F4" w:rsidP="00BA51F4">
      <w:pPr>
        <w:spacing w:line="480" w:lineRule="auto"/>
        <w:ind w:firstLine="720"/>
      </w:pPr>
      <w:r w:rsidRPr="00816E1D">
        <w:t xml:space="preserve">Compositionally, samples from Veraguas displayed a great deviation from samples collected at the two canal sites. The mean relative abundances of </w:t>
      </w:r>
      <w:r w:rsidRPr="00816E1D">
        <w:rPr>
          <w:i/>
          <w:iCs/>
        </w:rPr>
        <w:t>Sphingomonas</w:t>
      </w:r>
      <w:r w:rsidRPr="00816E1D">
        <w:t xml:space="preserve">, the dominant </w:t>
      </w:r>
      <w:r>
        <w:t>genera</w:t>
      </w:r>
      <w:r w:rsidRPr="00816E1D">
        <w:t xml:space="preserve"> across all samples, </w:t>
      </w:r>
      <w:r>
        <w:t>were</w:t>
      </w:r>
      <w:r w:rsidRPr="00816E1D">
        <w:t xml:space="preserve"> slightly displaced by </w:t>
      </w:r>
      <w:r w:rsidRPr="00816E1D">
        <w:rPr>
          <w:i/>
          <w:iCs/>
        </w:rPr>
        <w:t>Erwinia</w:t>
      </w:r>
      <w:r w:rsidRPr="00816E1D">
        <w:t xml:space="preserve"> and </w:t>
      </w:r>
      <w:r w:rsidRPr="00816E1D">
        <w:rPr>
          <w:i/>
          <w:iCs/>
        </w:rPr>
        <w:t>Dietzia</w:t>
      </w:r>
      <w:r>
        <w:rPr>
          <w:i/>
          <w:iCs/>
        </w:rPr>
        <w:t xml:space="preserve"> </w:t>
      </w:r>
      <w:r>
        <w:t>in samples collected at Veraguas</w:t>
      </w:r>
      <w:r w:rsidRPr="00816E1D">
        <w:rPr>
          <w:i/>
          <w:iCs/>
        </w:rPr>
        <w:t>.</w:t>
      </w:r>
      <w:r w:rsidRPr="008F2BA8">
        <w:t xml:space="preserve"> </w:t>
      </w:r>
      <w:r w:rsidRPr="008F2BA8">
        <w:rPr>
          <w:i/>
        </w:rPr>
        <w:t>Dietzia</w:t>
      </w:r>
      <w:r w:rsidRPr="00816E1D">
        <w:t xml:space="preserve"> has been described in other triatomine species</w:t>
      </w:r>
      <w:r w:rsidR="0057480A">
        <w:fldChar w:fldCharType="begin"/>
      </w:r>
      <w:r w:rsidR="00B527AC">
        <w:instrText xml:space="preserve"> ADDIN ZOTERO_ITEM CSL_CITATION {"citationID":"lDjqpSoU","properties":{"formattedCitation":"\\super 23,61,63\\uc0\\u8211{}65\\nosupersub{}","plainCitation":"23,61,63–65","noteIndex":0},"citationItems":[{"id":9048,"uris":["http://zotero.org/users/5535808/items/EUCYR2KL"],"itemData":{"id":9048,"type":"article-journal","abstract":"Background: Triatomine bugs (Hemiptera: Reduviidae) are vectors of the flagellate Trypanosoma cruzi, the causative agent of Chagas disease. The study of triatomine gut microbiota has gained relevance in the last years due to its possible role in vector competence and prospective use in control strategies. The objective of this study is to examine changes in the gut microbiota composition of triatomines in response to a T. cruzi-infected blood meal and identifying key factors determining those changes.\nResults: We sampled colony-reared individuals from six triatomine vectors (Panstrongylus megistus, Rhodnius prolixus, Triatoma brasiliensis, T. infestans, T. juazeirensis and T. sherlocki) comparing experimentally T. cruzi strain 0354challenged and non-challenged insects. The microbiota of gut and gonad tissues was characterized using high throughput sequencing of region V3-V4 of bacterial 16S rRNA gene. The triatomine microbiota had a low intraindividual diversity, and a high inter-individual variation within the same host species. Arsenophonous appeared as the dominant triatomine bacterial symbiont in our study (59% of the total 16S coverage), but there were significant differences in the distribution of bacterial genera among vectors. In Rhodnius prolixus the dominant symbiont was Pectobacterium.\nConclusions: Trypanosoma cruzi-challenge significantly affects microbiota composition, with challenged vectors harbouring a significantly more diverse bacterial community, both in the gut and the gonads. Our results show that blood-feeding with T. cruzi epimastigotes strongly affects microbiota composition in a species-specific manner. We suggest that triatomine-adapted enterobacteria such as Arsenophonus could be used as stable vectors for genetic transformation of triatomine bugs and control of Chagas disease.","container-title":"Parasites &amp; Vectors","DOI":"10.1186/s13071-016-1926-2","ISSN":"1756-3305","issue":"1","journalAbbreviation":"Parasites Vectors","language":"en","page":"636","source":"DOI.org (Crossref)","title":"Triatomine bugs, their microbiota and Trypanosoma cruzi: asymmetric responses of bacteria to an infected blood meal","title-short":"Triatomine bugs, their microbiota and Trypanosoma cruzi","volume":"9","author":[{"family":"Díaz","given":"Sebastián"},{"family":"Villavicencio","given":"Bianca"},{"family":"Correia","given":"Nathália"},{"family":"Costa","given":"Jane"},{"family":"Haag","given":"Karen L."}],"issued":{"date-parts":[["2016",12]]}}},{"id":393,"uris":["http://zotero.org/users/5535808/items/T8SXV56D"],"itemData":{"id":393,"type":"article-journal","abstract":"Insect microbiomes inﬂuence many fundamental host traits, including functions of practical signiﬁcance such as their capacity as vectors to transmit parasites and pathogens. The knowledge on the diversity and development of the gut microbiomes in various blood feeding insects is thus crucial not only for theoretical purposes, but also for the development of better disease control strategies. In Triatominae (Heteroptera: Reduviidae), the blood feeding vectors of Chagas disease in South America and parts of North America, the investigation of the microbiomes is in its infancy. The few studies done on microbiomes of South American Triatominae species indicate a relatively low taxonomic diversity and a high host speciﬁcity. We designed a comparative survey to serve several purposes: (I) to obtain a better insight into the overall microbiome diversity in different species, (II) to check the long term stability of the interspeciﬁc differences, (III) to describe the ontogenetic changes of the microbiome, and (IV) to determine the potential correlation between microbiome composition and presence of Trypanosoma cruzi, the causative agent of Chagas disease. Using 16S amplicons of two abundant species from the southern US, and four laboratory reared colonies, we showed that the microbiome composition is determined by host species, rather than locality or environment. The OTUs (Operational Taxonomic Units) determination conﬁrms a low microbiome diversity, with 12-17 main OTUs detected in wild populations of T. sanguisuga and T. protracta. Among the dominant bacterial taxa are Acinetobacter and Proteiniphilum but also the symbiotic bacterium Arsenophonus triatominarum, previously believed to only live intracellularly. The possibility of ontogenetic microbiome changes was evaluated in all six developmental stages and feces of the laboratory reared model Rhodnius prolixus. We detected considerable changes along the host’s ontogeny, including clear trends in the abundance variation of the three dominant bacteria, namely Enterococcus, Acinetobacter, and Arsenophonus. Finally, we screened the samples for the presence of Trypanosoma cruzi. Comparing the parasite presence with the microbiome composition, we assessed the possible signiﬁcance of the latter in the epidemiology of the disease. Particularly, we found a trend toward more diverse microbiomes in Trypanosoma cruzi positive T. protracta specimens.","container-title":"Frontiers in Microbiology","DOI":"10.3389/fmicb.2018.01167","ISSN":"1664-302X","language":"en","source":"Crossref","title":"Microbiomes of North American Triatominae: The Grounds for Chagas Disease Epidemiology","title-short":"Microbiomes of North American Triatominae","URL":"https://www.frontiersin.org/article/10.3389/fmicb.2018.01167/full","volume":"9","author":[{"family":"Rodríguez-Ruano","given":"Sonia M."},{"family":"Škochová","given":"Veronika"},{"family":"Rego","given":"Ryan O. M."},{"family":"Schmidt","given":"Justin O."},{"family":"Roachell","given":"Walter"},{"family":"Hypša","given":"Václav"},{"family":"Nováková","given":"Eva"}],"accessed":{"date-parts":[["2019",7,15]]},"issued":{"date-parts":[["2018",6,13]]}}},{"id":2410,"uris":["http://zotero.org/users/5535808/items/GWEPFEPW"],"itemData":{"id":2410,"type":"article-journal","abstract":"Background: Chagas disease is caused by Trypanosoma cruzi, which is transmitted by triatomine vectors. The northeastern region of Brazil is endemic for Chagas disease and has the largest diversity of triatomine species. T. cruzi development in its triatomine vector depends on diverse factors, including the composition of bacterial gut microbiota.\nMethods: We characterized the triatomines captured in the municipality of Russas (Ceará) by sequencing the cytochrome c oxidase subunit I (COI) gene. The composition of the bacterial community in the gut of peridomestic Triatoma brasiliensis and Triatoma pseudomaculata was investigated using culture independent methods based on the amplification of the 16S rRNA gene by polymerase chain reaction (PCR), denaturing gradient gel electrophoresis (DGGE), DNA fragment cloning, Sanger sequencing and 454 pyrosequencing. Additionally, we identified TcI and TcII types of T. cruzi by sequencing amplicons from the gut metagenomic DNA with primers for the mini-exon gene.\nResults: Triatomines collected in the peridomestic ecotopes were diagnosed as T. pseudomaculata and T. brasiliensis by comparing their COI sequence with GenBank. The rate of infection by T. cruzi in adult triatomines reached 80% for T. pseudomaculata and 90% for T. brasiliensis. According to the DNA sequences from the DGGE bands, the triatomine gut microbiota was primarily composed of Proteobacteria and Actinobacteria. However, Firmicutes and Bacteroidetes were also detected, although in much lower proportions. Serratia was the main genus, as it was encountered in all samples analyzed by DGGE and 454 pyrosequencing. Members of Corynebacterinae, a suborder of the Actinomycetales, formed the next most important group. The cloning and sequencing of full-length 16S rRNA genes confirmed the presence of Serratia marcescens, Dietzia sp., Gordonia terrae, Corynebacterium stationis and Corynebacterium glutamicum.\nConclusions: The study of the bacterial microbiota in the triatomine gut has gained increased attention because of the possible role it may play in the epidemiology of Chagas disease by competing with T. cruzi. Culture independent methods have shown that the bacterial composition of the microbiota in the guts of peridomestic triatomines is made up by only few bacterial species.","language":"en","page":"17","source":"Zotero","title":"Characterization of the microbiota in the guts of Triatoma brasiliensis and Triatoma pseudomaculata infected by Trypanosoma cruzi in natural conditions using culture independent methods","author":[{"family":"Gumiel","given":"Marcia"}],"issued":{"date-parts":[["2015"]]}}},{"id":2402,"uris":["http://zotero.org/users/5535808/items/A9F3N73X"],"itemData":{"id":2402,"type":"article-journal","abstract":"Chagas disease aﬀects more than 6 million people in Latin America, it is a parasitic disease caused by the protozoan Trypanosoma cruzi, which is transmitted mainly by bloodsucking insects of the Triatominae subfamily. Studies on microbial communities that inhabit the insect gut are important to understanding their role in the parasite transmission and development. The present work aims to evaluate the gut bacterial composition of natural populations of triatomine species from Vichada and Magdalena, administrative states called departments in Colombia, using high-throughput sequencing technologies. The insects were collected from housing peridomestic area and Attalea butyracea palms; they were identiﬁed by conventional taxonomy as Triatoma maculata and Rhodnius pallescens, and their guts were dissected under aseptic conditions in order to obtain total DNA. After DNA quality conﬁrmation, the sequencing of the V4 region of 16S rRNA gene was carried out using the Illumina platform MiSeq. The results showed that 13 predominant bacterial genera were present in both species, being Burkholderia, Gordonia, and Ralstonia, the most prevailing bacterial genera. Furthermore, representative genera of each species were found. Williamsia and Kocuria were the most common in R. pallescens; and Dietzia, Aeromonas, and Pelomonas were only observed in T. maculata samples. This is the ﬁrst study of microbiota associated with these triatomine species using massive sequencing methods The approach allowed inferring the presence of a dominant population of bacteria according to the triatomine species in Colombia, which may suggest a strong association between microbiota and their host.","container-title":"Acta Tropica","DOI":"10.1016/j.actatropica.2017.11.004","ISSN":"0001706X","language":"en","page":"327-332","source":"Crossref","title":"16S rRNA gene amplicon sequencing reveals dominance of Actinobacteria in Rhodnius pallescens compared to Triatoma maculata midgut microbiota in natural populations of vector insects from Colombia","volume":"178","author":[{"family":"Montoya-Porras","given":"Luisa M."},{"family":"Omar","given":"Triana-Chavez"},{"family":"Alzate","given":"Juan F."},{"family":"Moreno-Herrera","given":"Claudia X."},{"family":"Cadavid-Restrepo","given":"Gloria E."}],"issued":{"date-parts":[["2018",2]]}}},{"id":8519,"uris":["http://zotero.org/users/5535808/items/SGXCLWWJ"],"itemData":{"id":8519,"type":"article-journal","container-title":"PLOS Neglected Tropical Diseases","DOI":"10.1371/journal.pntd.0007383","ISSN":"1935-2735","issue":"5","journalAbbreviation":"PLoS Negl Trop Dis","language":"en","page":"e0007383","source":"DOI.org (Crossref)","title":"Hindgut microbiota in laboratory-reared and wild Triatoma infestans","volume":"13","author":[{"family":"Waltmann","given":"Andreea"},{"family":"Willcox","given":"Alexandra C."},{"family":"Balasubramanian","given":"Sujata"},{"family":"Borrini Mayori","given":"Katty"},{"family":"Mendoza Guerrero","given":"Sandra"},{"family":"Salazar Sanchez","given":"Renzo S."},{"family":"Roach","given":"Jeffrey"},{"family":"Condori Pino","given":"Carlos"},{"family":"Gilman","given":"Robert H."},{"family":"Bern","given":"Caryn"},{"family":"Juliano","given":"Jonathan J."},{"family":"Levy","given":"Michael Z."},{"family":"Meshnick","given":"Steven R."},{"family":"Bowman","given":"Natalie M."}],"editor":[{"family":"Gürtler","given":"Ricardo E."}],"issued":{"date-parts":[["2019",5,6]]}}}],"schema":"https://github.com/citation-style-language/schema/raw/master/csl-citation.json"} </w:instrText>
      </w:r>
      <w:r w:rsidR="0057480A">
        <w:fldChar w:fldCharType="separate"/>
      </w:r>
      <w:r w:rsidR="00B527AC" w:rsidRPr="00B527AC">
        <w:rPr>
          <w:rFonts w:cs="Times New Roman"/>
          <w:vertAlign w:val="superscript"/>
        </w:rPr>
        <w:t>23,61,63–65</w:t>
      </w:r>
      <w:r w:rsidR="0057480A">
        <w:fldChar w:fldCharType="end"/>
      </w:r>
      <w:r w:rsidRPr="00816E1D">
        <w:t xml:space="preserve"> and other hematophagous insects</w:t>
      </w:r>
      <w:r>
        <w:t>, including</w:t>
      </w:r>
      <w:r w:rsidRPr="00816E1D">
        <w:t xml:space="preserve"> </w:t>
      </w:r>
      <w:r w:rsidRPr="00816E1D">
        <w:rPr>
          <w:i/>
          <w:iCs/>
        </w:rPr>
        <w:t>Aedes albopictus</w:t>
      </w:r>
      <w:r w:rsidR="00B527AC">
        <w:fldChar w:fldCharType="begin"/>
      </w:r>
      <w:r w:rsidR="00611EF1">
        <w:instrText xml:space="preserve"> ADDIN ZOTERO_ITEM CSL_CITATION {"citationID":"xCFS0Wfw","properties":{"formattedCitation":"\\super 66\\nosupersub{}","plainCitation":"66","noteIndex":0},"citationItems":[{"id":11391,"uris":["http://zotero.org/users/5535808/items/GVJ4RYTI"],"itemData":{"id":11391,"type":"article-journal","abstract":"The genus Dietzia is remarkably similar to genus Rhodococcus. Bacterial species Rhodococcus rhodnii of genus Rhodococcus was used for genetically modification for expression of potent antimicrobial molecules which shows strong deleterious effect against Trypanosoma cruzi. Hence, Dietzia maris can be a suitable candidate for genetic modification for expression of effector molecules against the parasite like dengue and chikungunya in the mosquitoe’s midgut as was possible in R. rhodnii. In this study the D. maris was isolated for the first time from mosquitoes Aedes albopictus collected from Arunachal Pradesh, North East India. After purification bacteria was first morphologically and biochemically characterized which showed high salt tolerance and exhibited slow growth rate appearing on agar plate after 48-72hr. The isolated bacterial species was finally conformed as a D. maris on the basis of results obtained from MALDI-TOF MS and 16S rRNA gene based analysis.","container-title":"International Journal of Mosquito Research","language":"en","page":"6","source":"Zotero","title":"Isolation and characterization of Dietzia maris from midgut of Aedes albopictus: A suitable candidate for paratransgenesis","author":[{"family":"Yadav","given":"Kamlesh K"},{"family":"Chandel","given":"Kshitij"},{"family":"Bora","given":"Ajitabh"},{"family":"Veer","given":"Vijay"}],"issued":{"date-parts":[["2015"]]}}}],"schema":"https://github.com/citation-style-language/schema/raw/master/csl-citation.json"} </w:instrText>
      </w:r>
      <w:r w:rsidR="00B527AC">
        <w:fldChar w:fldCharType="separate"/>
      </w:r>
      <w:r w:rsidR="00611EF1" w:rsidRPr="00611EF1">
        <w:rPr>
          <w:rFonts w:cs="Times New Roman"/>
          <w:vertAlign w:val="superscript"/>
        </w:rPr>
        <w:t>66</w:t>
      </w:r>
      <w:r w:rsidR="00B527AC">
        <w:fldChar w:fldCharType="end"/>
      </w:r>
      <w:r>
        <w:t xml:space="preserve"> and</w:t>
      </w:r>
      <w:r w:rsidRPr="00816E1D">
        <w:t xml:space="preserve"> </w:t>
      </w:r>
      <w:r w:rsidRPr="00816E1D">
        <w:rPr>
          <w:i/>
          <w:iCs/>
        </w:rPr>
        <w:t>Glossina pallidipes</w:t>
      </w:r>
      <w:r w:rsidR="00611EF1">
        <w:fldChar w:fldCharType="begin"/>
      </w:r>
      <w:r w:rsidR="00611EF1">
        <w:instrText xml:space="preserve"> ADDIN ZOTERO_ITEM CSL_CITATION {"citationID":"7Mx8JFrY","properties":{"formattedCitation":"\\super 67\\nosupersub{}","plainCitation":"67","noteIndex":0},"citationItems":[{"id":11392,"uris":["http://zotero.org/users/5535808/items/H7IH6G3W"],"itemData":{"id":11392,"type":"article-journal","abstract":"Background\nGlossina pallidipes is a haematophagous insect that serves as a cyclic transmitter of trypanosomes causing African Trypanosomiasis (AT). To fully assess the role of G. pallidipes in the epidemiology of AT, especially the human form of the disease (HAT), it is essential to know the microbial diversity inhabiting the gut of natural fly populations. This study aimed to examine the diversity of G. pallidipes fly gut bacteria by culture-dependent approaches.\n\nResults\n113 bacterial isolates were obtained from aerobic and anaerobic microorganisms originating from the gut of G. pallidipes. 16S rDNA of each isolate was PCR amplified and sequenced. The overall majority of identified bacteria belonged in descending order to the Firmicutes (86.6%), Actinobacteria (7.6%), Proteobacteria (5.5%)and Bacteroidetes (0.3%). Diversity of Firmicutes was found higher when enrichments and isolation were performed under anaerobic conditions than aerobic ones. Experiments conducted in the absence of oxygen (anaerobiosis) led to the isolation of bacteria pertaining to four phyla (83% Firmicutes, 15% Actinobacteria, 1% Proteobacteria and 0.5% Bacteroidetes, whereas those conducted in the presence of oxygen (aerobiosis) led to the isolation of bacteria affiliated to two phyla only (90% Firmicutes and 10% Proteobacteria). Phylogenetic analyses placed these isolates into 11 genera namely Bacillus, Acinetobacter, Mesorhizobium, Paracoccus, Microbacterium, Micrococcus, Arthrobacter, Corynobacterium, Curtobacterium, Vagococcus and Dietzia spp.which are known to be either facultative anaerobes, aerobes, or even microaerobes.\n\nConclusion\nThis study shows that G. pallidipes fly gut is an environmental reservoir for a vast number of bacterial species, which are likely to be important for ecological microbial well being of the fly and possibly on differing vectorial competence and refractoriness against AT epidemiology.\n\nElectronic supplementary material\nThe online version of this article (10.1186/s12866-018-1288-3) contains supplementary material, which is available to authorized users.","container-title":"BMC Microbiology","DOI":"10.1186/s12866-018-1288-3","ISSN":"1471-2180","issue":"Suppl 1","journalAbbreviation":"BMC Microbiol","note":"PMID: 30470192\nPMCID: PMC6251091","page":"164","source":"PubMed Central","title":"Bacterial diversity obtained by culturable approaches in the gut of Glossina pallidipes population from a non sleeping sickness focus in Tanzania: preliminary results","title-short":"Bacterial diversity obtained by culturable approaches in the gut of Glossina pallidipes population from a non sleeping sickness focus in Tanzania","volume":"18","author":[{"family":"Malele","given":"Imna"},{"family":"Nyingilili","given":"Hamis"},{"family":"Lyaruu","given":"Eugen"},{"family":"Tauzin","given":"Marc"},{"family":"Bernard Ollivier","given":"B."},{"family":"Cayol","given":"Jean-Luc"},{"family":"Fardeau","given":"Marie-Laure"},{"family":"Geiger","given":"Anne"}],"issued":{"date-parts":[["2018",11,23]]}}}],"schema":"https://github.com/citation-style-language/schema/raw/master/csl-citation.json"} </w:instrText>
      </w:r>
      <w:r w:rsidR="00611EF1">
        <w:fldChar w:fldCharType="separate"/>
      </w:r>
      <w:r w:rsidR="00611EF1" w:rsidRPr="00611EF1">
        <w:rPr>
          <w:rFonts w:cs="Times New Roman"/>
          <w:vertAlign w:val="superscript"/>
        </w:rPr>
        <w:t>67</w:t>
      </w:r>
      <w:r w:rsidR="00611EF1">
        <w:fldChar w:fldCharType="end"/>
      </w:r>
      <w:r w:rsidRPr="00816E1D">
        <w:t xml:space="preserve">, which suggests </w:t>
      </w:r>
      <w:r w:rsidRPr="00B276DC">
        <w:rPr>
          <w:i/>
          <w:iCs/>
        </w:rPr>
        <w:t>Dietzia</w:t>
      </w:r>
      <w:r w:rsidRPr="00816E1D">
        <w:t xml:space="preserve"> might be </w:t>
      </w:r>
      <w:r>
        <w:t>an essential</w:t>
      </w:r>
      <w:r w:rsidRPr="00816E1D">
        <w:t xml:space="preserve"> mutualist</w:t>
      </w:r>
      <w:r>
        <w:t xml:space="preserve"> for </w:t>
      </w:r>
      <w:r w:rsidRPr="00816E1D">
        <w:t>hematophagous</w:t>
      </w:r>
      <w:r>
        <w:t xml:space="preserve"> vectors. </w:t>
      </w:r>
      <w:r w:rsidRPr="00816E1D">
        <w:t>However, Brown et al.</w:t>
      </w:r>
      <w:r w:rsidR="00611EF1">
        <w:fldChar w:fldCharType="begin"/>
      </w:r>
      <w:r w:rsidR="00611EF1">
        <w:instrText xml:space="preserve"> ADDIN ZOTERO_ITEM CSL_CITATION {"citationID":"6ZPhP0Pt","properties":{"formattedCitation":"\\super 47\\nosupersub{}","plainCitation":"47","noteIndex":0},"citationItems":[{"id":2451,"uris":["http://zotero.org/users/5535808/items/TZWL95XL"],"itemData":{"id":2451,"type":"article-journal","abstract":"Conclusion: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schema":"https://github.com/citation-style-language/schema/raw/master/csl-citation.json"} </w:instrText>
      </w:r>
      <w:r w:rsidR="00611EF1">
        <w:fldChar w:fldCharType="separate"/>
      </w:r>
      <w:r w:rsidR="00611EF1" w:rsidRPr="00611EF1">
        <w:rPr>
          <w:rFonts w:cs="Times New Roman"/>
          <w:vertAlign w:val="superscript"/>
        </w:rPr>
        <w:t>47</w:t>
      </w:r>
      <w:r w:rsidR="00611EF1">
        <w:fldChar w:fldCharType="end"/>
      </w:r>
      <w:r w:rsidRPr="00816E1D">
        <w:t xml:space="preserve"> did not identify </w:t>
      </w:r>
      <w:r w:rsidRPr="00816E1D">
        <w:rPr>
          <w:i/>
          <w:iCs/>
        </w:rPr>
        <w:t>Dietzia</w:t>
      </w:r>
      <w:r w:rsidRPr="00816E1D">
        <w:t xml:space="preserve"> in their N1 samples across several species of </w:t>
      </w:r>
      <w:r w:rsidRPr="00816E1D">
        <w:rPr>
          <w:i/>
          <w:iCs/>
        </w:rPr>
        <w:t>Triatoma</w:t>
      </w:r>
      <w:r w:rsidRPr="00816E1D">
        <w:t xml:space="preserve"> and concluded that </w:t>
      </w:r>
      <w:r w:rsidRPr="00816E1D">
        <w:rPr>
          <w:i/>
          <w:iCs/>
        </w:rPr>
        <w:t>Dietzia</w:t>
      </w:r>
      <w:r w:rsidRPr="00816E1D">
        <w:t xml:space="preserve"> </w:t>
      </w:r>
      <w:r>
        <w:t>might</w:t>
      </w:r>
      <w:r w:rsidRPr="00816E1D">
        <w:t xml:space="preserve"> not be transmitted vertically. </w:t>
      </w:r>
      <w:r w:rsidRPr="00816E1D">
        <w:rPr>
          <w:i/>
          <w:iCs/>
        </w:rPr>
        <w:t>Erwinia</w:t>
      </w:r>
      <w:r w:rsidRPr="00816E1D">
        <w:t xml:space="preserve"> has also been found across several species of triatomines</w:t>
      </w:r>
      <w:r w:rsidR="007A46A5">
        <w:fldChar w:fldCharType="begin"/>
      </w:r>
      <w:r w:rsidR="007A46A5">
        <w:instrText xml:space="preserve"> ADDIN ZOTERO_ITEM CSL_CITATION {"citationID":"VcwJAfAM","properties":{"formattedCitation":"\\super 62,68\\nosupersub{}","plainCitation":"62,68","noteIndex":0},"citationItems":[{"id":1432,"uris":["http://zotero.org/users/5535808/items/GGRHVGZX"],"itemData":{"id":1432,"type":"article-journal","abstract":"Background: Chagas disease is a trypanosomiasis whose agent is the protozoan parasite Trypanosoma cruzi, which is transmitted to humans by hematophagous bugs known as triatomines. Even though insecticide treatments allow effective control of these bugs in most Latin American countries where Chagas disease is endemic, the disease still affects a large proportion of the population of South America. The features of the disease in humans have been extensively studied, and the genome of the parasite has been sequenced, but no effective drug is yet available to treat Chagas disease. The digestive tract of the insect vectors in which T. cruzi develops has been much less well investigated than blood from its human hosts and constitutes a dynamic environment with very different conditions. Thus, we investigated the composition of the predominant bacterial species of the microbiota in insect vectors from Rhodnius, Triatoma, Panstrongylus and Dipetalogaster genera.\nMethodology/Principal Findings: Microbiota of triatomine guts were investigated using cultivation-independent methods, i.e., phylogenetic analysis of 16s rDNA using denaturing gradient gel electrophoresis (DGGE) and cloned-based sequencing. The Chao index showed that the diversity of bacterial species in triatomine guts is low, comprising fewer than 20 predominant species, and that these species vary between insect species. The analyses showed that Serratia predominates in Rhodnius, Arsenophonus predominates in Triatoma and Panstrongylus, while Candidatus Rohrkolberia predominates in Dipetalogaster.\nConclusions/Significance: The microbiota of triatomine guts represents one of the factors that may interfere with T. cruzi transmission and virulence in humans. The knowledge of its composition according to insect species is important for designing measures of biological control for T. cruzi. We found that the predominant species of the bacterial microbiota in triatomines form a group of low complexity whose structure differs according to the vector genus.","container-title":"PLoS Neglected Tropical Diseases","DOI":"10.1371/journal.pntd.0001631","ISSN":"1935-2735","issue":"5","language":"en","page":"e1631","source":"Crossref","title":"Cultivation-Independent Methods Reveal Differences among Bacterial Gut Microbiota in Triatomine Vectors of Chagas Disease","volume":"6","author":[{"family":"Mota","given":"Fabio Faria","non-dropping-particle":"da"},{"family":"Marinho","given":"Lourena Pinheiro"},{"family":"Moreira","given":"Carlos José de Carvalho"},{"family":"Lima","given":"Marli Maria"},{"family":"Mello","given":"Cícero Brasileiro"},{"family":"Garcia","given":"Eloi Souza"},{"family":"Carels","given":"Nicolas"},{"family":"Azambuja","given":"Patricia"}],"editor":[{"family":"Myler","given":"Peter J."}],"issued":{"date-parts":[["2012",5,1]]}}},{"id":1778,"uris":["http://zotero.org/users/5535808/items/FZSCHRS5"],"itemData":{"id":1778,"type":"article-journal","abstract":"The digestive tract of triatomines (DTT) is an ecological niche favored by microbiota whose enzymatic profile is adapted to the specific substrate availability in this medium. This report describes the molecular enzymatic properties that promote bacterial prominence in the DTT. The microbiota composition was assessed previously based on 16S ribosomal DNA, and whole sequenced genomes of bacteria from the same genera were used to calculate the GC level of rare and prominent bacterial species in the DTT. The enzymatic reactions encoded by coding sequences of both rare and common bacterial species were then compared and revealed key functions explaining why some genera outcompete others in the DTT. Representativeness of DTT microbiota was investigated by shotgun sequencing of DNA extracted from bacteria grown in liquid Luria-Bertani broth (LB) medium. Results showed that GC-rich bacteria outcompete GC-poor bacteria and are the dominant components of the DTT microbiota. In addition, oxidoreductases are the main enzymatic components of these bacteria. In particular, nitrate reductases (anaerobic respiration), oxygenases (catabolism of complex substrates), acetate-CoA ligase (tricarboxylic acid cycle and energy metabolism), and kinase (signaling pathway) were the major enzymatic determinants present together with a large group of minor enzymes including hydrogenases involved in energy and amino acid metabolism. In conclusion, despite their slower growth in liquid LB medium, bacteria from GC-rich genera outcompete the GC-poor bacteria because their specific enzymatic abilities impart a selective advantage in the DTT.","container-title":"Bioinformatics and Biology Insights","DOI":"10.1177/1177932217733422","ISSN":"1177-9322, 1177-9322","language":"en","page":"117793221773342","source":"Crossref","title":"A Metagenomic Analysis of Bacterial Microbiota in the Digestive Tract of Triatomines","volume":"11","author":[{"family":"Carels","given":"Nicolas"},{"family":"Gumiel","given":"Marcial"},{"family":"Mota","given":"Fabio Faria","non-dropping-particle":"da"},{"family":"Carvalho Moreira","given":"Carlos José","non-dropping-particle":"de"},{"family":"Azambuja","given":"Patricia"}],"issued":{"date-parts":[["2017",1]]}}}],"schema":"https://github.com/citation-style-language/schema/raw/master/csl-citation.json"} </w:instrText>
      </w:r>
      <w:r w:rsidR="007A46A5">
        <w:fldChar w:fldCharType="separate"/>
      </w:r>
      <w:r w:rsidR="007A46A5" w:rsidRPr="007A46A5">
        <w:rPr>
          <w:rFonts w:cs="Times New Roman"/>
          <w:vertAlign w:val="superscript"/>
        </w:rPr>
        <w:t>62,68</w:t>
      </w:r>
      <w:r w:rsidR="007A46A5">
        <w:fldChar w:fldCharType="end"/>
      </w:r>
      <w:r w:rsidRPr="00816E1D">
        <w:t xml:space="preserve">. The bacterial genus </w:t>
      </w:r>
      <w:r w:rsidRPr="00816E1D">
        <w:rPr>
          <w:i/>
          <w:iCs/>
        </w:rPr>
        <w:t xml:space="preserve">Erwinia </w:t>
      </w:r>
      <w:r w:rsidRPr="00816E1D">
        <w:t xml:space="preserve">contains mostly plant pathogenic species and is </w:t>
      </w:r>
      <w:r w:rsidRPr="00816E1D">
        <w:lastRenderedPageBreak/>
        <w:t>most commonly found only in the guts of insects that feed on plant tissue. Th</w:t>
      </w:r>
      <w:r>
        <w:t>ese results</w:t>
      </w:r>
      <w:r w:rsidRPr="00816E1D">
        <w:t xml:space="preserve"> likely </w:t>
      </w:r>
      <w:r>
        <w:t>indicate</w:t>
      </w:r>
      <w:r w:rsidRPr="00816E1D">
        <w:t xml:space="preserve"> that </w:t>
      </w:r>
      <w:r w:rsidRPr="00816E1D">
        <w:rPr>
          <w:i/>
          <w:iCs/>
        </w:rPr>
        <w:t>Erwinia</w:t>
      </w:r>
      <w:r w:rsidRPr="00816E1D">
        <w:t xml:space="preserve">, like </w:t>
      </w:r>
      <w:r w:rsidRPr="00816E1D">
        <w:rPr>
          <w:i/>
          <w:iCs/>
        </w:rPr>
        <w:t>Dietzia</w:t>
      </w:r>
      <w:r w:rsidRPr="00816E1D">
        <w:t xml:space="preserve">, is acquired from the environment rather than </w:t>
      </w:r>
      <w:r>
        <w:t xml:space="preserve">exposure to or ingesting maternal feces, which suggests a link between environmental microbes and triatomine gut microbial communities.  </w:t>
      </w:r>
    </w:p>
    <w:p w14:paraId="4CA300BD" w14:textId="13F74153" w:rsidR="00BA51F4" w:rsidRPr="00816E1D" w:rsidRDefault="00BA51F4" w:rsidP="00BA51F4">
      <w:pPr>
        <w:spacing w:line="480" w:lineRule="auto"/>
        <w:ind w:firstLine="720"/>
      </w:pPr>
      <w:r w:rsidRPr="00816E1D">
        <w:t xml:space="preserve">Many other studies have demonstrated a close association between biogeography and gut microbial </w:t>
      </w:r>
      <w:r>
        <w:t>diversity</w:t>
      </w:r>
      <w:r w:rsidRPr="00816E1D">
        <w:t>. Mosquitoes acquire their initial gut microbiota as larv</w:t>
      </w:r>
      <w:r>
        <w:t>ae</w:t>
      </w:r>
      <w:r w:rsidRPr="00816E1D">
        <w:t xml:space="preserve"> from their aquatic habitats, which results in distinct gut composition between sites</w:t>
      </w:r>
      <w:r w:rsidR="007A46A5">
        <w:fldChar w:fldCharType="begin"/>
      </w:r>
      <w:r w:rsidR="00611055">
        <w:instrText xml:space="preserve"> ADDIN ZOTERO_ITEM CSL_CITATION {"citationID":"j3yL5gj0","properties":{"formattedCitation":"\\super 53\\uc0\\u8211{}55\\nosupersub{}","plainCitation":"53–55","noteIndex":0},"citationItems":[{"id":10137,"uris":["http://zotero.org/users/5535808/items/55HM47ET"],"itemData":{"id":10137,"type":"article-journal","abstract":"Symbiotic bacteria can have important implications in the development and competence of disease vectors. In Anopheles mosquitoes, the composition of the midgut microbiota is largely influenced by the larval breeding site, but the exact factors shaping this composition are currently unknown. Here, we examined whether the proximity to urban areas and seasons have an impact on the midgut microbial community of the two major malaria vectors in Africa, An. coluzzii and An. gambiae. Larvae and pupae were collected from selected habitats in two districts of Ghana during the dry and rainy season periods. The midgut microbiota of adults that emerged from these collections was determined by 454-pyrosequencing of the 16S ribosomal DNA. We show that in both mosquito species, Shewanellaceae constituted on average of 54% and 73% of the midgut microbiota from each site in the dry and rainy season, respectively. Enterobacteriaceae was found in comparatively low abundance below 1% in 22/30 samples in the dry season, and in 25/38 samples in the rainy season. Our data indicate that seasonality and locality significantly affect both the diversity of microbiota and the relative abundance of bacterial families with a positive impact of dry season and peri-urban settings.","container-title":"PLoS ONE","DOI":"10.1371/journal.pone.0157529","issue":"6","title":"Seasonality and locality affect the diversity of Anopheles gambiae and Anopheles coluzzii midgut microbiota from Ghana","volume":"11","author":[{"family":"Akorli","given":"Jewelna"},{"family":"Gendrin","given":"Mathilde"},{"family":"Pels","given":"Nana Adjoa P"},{"family":"Yeboah-Manu","given":"Dorothy"},{"family":"Christophides","given":"George K."},{"family":"Wilson","given":"Michael D."}],"issued":{"date-parts":[["2016"]]}}},{"id":570,"uris":["http://zotero.org/users/5535808/items/7BEEH5A3"],"itemData":{"id":570,"type":"article-journal","abstract":"Background: The understanding of the roles of gut bacteria in the fitness and vectorial capacity of mosquitoes that transmit malaria, is improving; however, the factors shaping the composition and structure of such bacterial communities remain elusive. In this study, a high-throughput 16S rRNA gene sequencing was conducted to understand the effect of developmental stage, feeding status, species, and geography on the composition of the gut bacterial microbiota of two main Colombian malaria vectors, Anopheles nuneztovari and Anopheles darlingi.\nResults: The results revealed that mosquito developmental stage, followed by geographical location, are more important determinants of the gut bacterial composition than mosquito species or adult feeding status. Further, they showed that mosquito gut is a major filter for environmental bacteria colonization.\nConclusions: The sampling design and analytical approach of this study allowed to untangle the influence of factors that are simultaneously shaping the microbiota composition of two Latin-American malaria vectors, essential aspect for the design of vector biocontrol strategies.","container-title":"Microbiome","DOI":"10.1186/s40168-018-0528-y","ISSN":"2049-2618","issue":"1","language":"en","source":"Crossref","title":"Factors shaping the gut bacterial community assembly in two main Colombian malaria vectors","URL":"https://microbiomejournal.biomedcentral.com/articles/10.1186/s40168-018-0528-y","volume":"6","author":[{"family":"Bascuñán","given":"Priscila"},{"family":"Niño-Garcia","given":"Juan Pablo"},{"family":"Galeano-Castañeda","given":"Yadira"},{"family":"Serre","given":"David"},{"family":"Correa","given":"Margarita M."}],"accessed":{"date-parts":[["2019",9,11]]},"issued":{"date-parts":[["2018",12]]}}},{"id":703,"uris":["http://zotero.org/users/5535808/items/8QW4LNB5"],"itemData":{"id":703,"type":"article-journal","abstract":"Mosquitoes are insects of interest because several species vector disease-causing pathogens to humans and other vertebrates. We previously reported that mosquitoes from long-term laboratory cultures require living bacteria in their gut to develop, but development does not depend on particular species of bacteria. Here, we focused on three distinct but interrelated areas of study to better understand the role of bacteria in mosquito development by studying field and laboratory populations of Aedes aegypti, Aedes albopictus, and Culex quinquefasciatus from the Southeastern United States. Sequence analysis of bacterial 16S rRNA gene amplicons showed that bacteria community composition differed substantially in larvae from different collection sites, whereas larvae from the same site shared similarities. Although previously unknown to be infected by Wolbachia, results also indicated that Ae. aegypti from one field site hosted a dual infection. Regardless of collection site or factors like Wolbachia infection, however, each mosquito species required living bacteria in their digestive tract to develop. Results also identified several concerns in using antibiotics to eliminate the bacterial community in larvae in order to study its developmental consequences. Altogether, our results indicate that several mosquito species require living bacteria for development. We also hypothesize these species do not rely on particular bacteria because larvae do not reliably encounter the same bacteria in the aquatic habitats they colonize.","container-title":"Molecular Ecology","DOI":"10.1111/mec.13877","ISSN":"09621083","issue":"22","language":"en","page":"5806-5826","source":"Crossref","title":"Mosquitoes host communities of bacteria that are essential for development but vary greatly between local habitats","volume":"25","author":[{"family":"Coon","given":"Kerri L."},{"family":"Brown","given":"Mark R."},{"family":"Strand","given":"Michael R."}],"issued":{"date-parts":[["2016",11]]}}}],"schema":"https://github.com/citation-style-language/schema/raw/master/csl-citation.json"} </w:instrText>
      </w:r>
      <w:r w:rsidR="007A46A5">
        <w:fldChar w:fldCharType="separate"/>
      </w:r>
      <w:r w:rsidR="00611055" w:rsidRPr="00611055">
        <w:rPr>
          <w:rFonts w:cs="Times New Roman"/>
          <w:vertAlign w:val="superscript"/>
        </w:rPr>
        <w:t>53–55</w:t>
      </w:r>
      <w:r w:rsidR="007A46A5">
        <w:fldChar w:fldCharType="end"/>
      </w:r>
      <w:r w:rsidRPr="00816E1D">
        <w:t>.</w:t>
      </w:r>
      <w:r>
        <w:t xml:space="preserve"> Other </w:t>
      </w:r>
      <w:r w:rsidRPr="00816E1D">
        <w:t>studies found shared soil and other environmental bacteria between ticks and their habitats</w:t>
      </w:r>
      <w:r w:rsidR="00611055">
        <w:fldChar w:fldCharType="begin"/>
      </w:r>
      <w:r w:rsidR="004944D2">
        <w:instrText xml:space="preserve"> ADDIN ZOTERO_ITEM CSL_CITATION {"citationID":"HsC1f8Nn","properties":{"formattedCitation":"\\super 58,59\\nosupersub{}","plainCitation":"58,59","noteIndex":0},"citationItems":[{"id":11033,"uris":["http://zotero.org/users/5535808/items/PIEWGI6Q"],"itemData":{"id":11033,"type":"article-journal","abstract":"Ticks have a diversity of habitats and host blood meals. Whether and how factors such as tick developmental stages, habitats and host blood meals affect tick bacterial microbiota is poorly elucidated. In the present study, we investigated the bacterial microbiotas of the hard tick Haemaphysalis longicornis, their blood meals and habitats using 16S rRNA gene high-throughput sequencing. The bacterial richness and diversity in ticks varied depending on the tick developmental stage and feeding status. Results showed that fed ticks present a higher bacterial richness suggesting that ticks may acquire bacteria from blood meals. The significant overlap of the bacteria of fed ticks and the host blood also supports this possibility. Another possibility is that blood meals can stimulate the proliferation of certain bacteria. However, most shared bacteria cannot transmit throughout the tick life cycle, as they were not present in tick eggs. The most shared bacteria between ticks and habitats are members of the genera Staphylococcus, Pseudomonas, Enterobacter, Acinetobacter and Stenotrophomonas, suggesting that these environmental bacteria cannot be completely washed away and can be acquired by ticks. The predominant proportion of Coxiella in fed females further demonstrates that this genus is involved in H. longicornis physiology, such as feeding activity and nutritional provision. These findings further reveal that the bacterial composition of ticks is influenced by a variety of factors and will help in subsequent studies of the function of these bacteria.","container-title":"Experimental and Applied Acarology","DOI":"10.1007/s10493-022-00714-x","ISSN":"0168-8162, 1572-9702","journalAbbreviation":"Exp Appl Acarol","language":"en","source":"DOI.org (Crossref)","title":"Bacterial microbiota analysis demonstrates that ticks can acquire bacteria from habitat and host blood meal","URL":"https://link.springer.com/10.1007/s10493-022-00714-x","author":[{"family":"Li","given":"Si-Si"},{"family":"Zhang","given":"Xiao-Yu"},{"family":"Zhou","given":"Xue-Jiao"},{"family":"Chen","given":"Kai-Li"},{"family":"Masoudi","given":"Abolfazl"},{"family":"Liu","given":"Jing-Ze"},{"family":"Zhang","given":"Yan-Kai"}],"accessed":{"date-parts":[["2022",5,17]]},"issued":{"date-parts":[["2022",5,9]]}}},{"id":11326,"uris":["http://zotero.org/users/5535808/items/CCWIJ5GU"],"itemData":{"id":11326,"type":"article-journal","abstract":"Background: Ticks of the group Rhipicephalus sanguineus (sensu lato) are distributed worldwide and are major pathogen vectors of both dogs and humans. Previous phylogenetic reconstructions have suggested the existence of two main lineages within this group, “Tropical” and “Temperate”. Symbiotic interactions contribute to vector development, survival, reproduction and competence. The diversity of microbial communities associated with different populations of R. sanguineus (s.l.) remains poorly characterized, however, this knowledge will aid in future studies of hosts-microbiotapathogen interactions. To gain insight into the bacterial communities associated with R. sanguineus (s.l.) ticks, 40 specimens from France, Senegal and Arizona were analyzed by high-throughput 16S amplicon sequencing. All tick specimens were taxonomically classified using the mitochondrial 12S rDNA gene, which provides sufficient phylogenetic resolution to discriminate different lineages of R. sanguineus.\nResults: Rhipicephalus sanguineus (s.l.) samples from Senegal belonged to the “Tropical” lineage, samples from France belonged to the “Temperate” lineage, whereas both lineages were identified in samples from Arizona. Regardless of origin, each bacterial microbiota was dominated by three genera: Coxiella, Rickettsia and Bacillus. Rickettsia and Coxiella were the two main genera found in females whereas males had a higher proportion of Bacillus. Significant differences of relative abundances were evidenced between specimens from different geographical origins.\nConclusions: This study highlights differences in the microbiota composition within R. sanguineus (s.l.) specimens from different genotypes, genders and geographical origins. This knowledge will help in future studies of the symbiotic interactions, biology and vector competence of the R. sanguineus (s.l.) complex.","container-title":"Parasites &amp; Vectors","DOI":"10.1186/s13071-017-2352-9","ISSN":"1756-3305","issue":"1","journalAbbreviation":"Parasites Vectors","language":"en","page":"416","source":"DOI.org (Crossref)","title":"Bacterial microbiota associated with Rhipicephalus sanguineus (s.l.) ticks from France, Senegal and Arizona","volume":"10","author":[{"family":"René-Martellet","given":"Magalie"},{"family":"Minard","given":"Guillaume"},{"family":"Massot","given":"Raphael"},{"family":"Tran Van","given":"Van"},{"family":"Valiente Moro","given":"Claire"},{"family":"Chabanne","given":"Luc"},{"family":"Mavingui","given":"Patrick"}],"issued":{"date-parts":[["2017",12]]}}}],"schema":"https://github.com/citation-style-language/schema/raw/master/csl-citation.json"} </w:instrText>
      </w:r>
      <w:r w:rsidR="00611055">
        <w:fldChar w:fldCharType="separate"/>
      </w:r>
      <w:r w:rsidR="004944D2" w:rsidRPr="004944D2">
        <w:rPr>
          <w:rFonts w:cs="Times New Roman"/>
          <w:vertAlign w:val="superscript"/>
        </w:rPr>
        <w:t>58,59</w:t>
      </w:r>
      <w:r w:rsidR="00611055">
        <w:fldChar w:fldCharType="end"/>
      </w:r>
      <w:r>
        <w:t xml:space="preserve">, and </w:t>
      </w:r>
      <w:r w:rsidRPr="00816E1D">
        <w:t>finally, the gut microbiota of triatomines have also been found to be associated with locality, with distinct compositions of microbes that differed across sites</w:t>
      </w:r>
      <w:r w:rsidR="004944D2">
        <w:fldChar w:fldCharType="begin"/>
      </w:r>
      <w:r w:rsidR="004944D2">
        <w:instrText xml:space="preserve"> ADDIN ZOTERO_ITEM CSL_CITATION {"citationID":"D1QCB8r0","properties":{"formattedCitation":"\\super 28,47\\nosupersub{}","plainCitation":"28,47","noteIndex":0},"citationItems":[{"id":11845,"uris":["http://zotero.org/users/5535808/items/AJ5NM3HI"],"itemData":{"id":11845,"type":"article-journal","abstract":"Background:  Triatomine bugs are vectors of the protozoan parasite Trypanosoma cruzi, which causes Chagas disease. Rhodnius pallescens is a major vector of Chagas disease in Panama. Understanding the microbial ecology of disease vectors is important in the development of vector management strategies that target vector survival and fitness. In this study we examined the whole-body microbial composition of R. pallescens from three locations in Panama.\nMethods:  We collected 89 R. pallescens specimens using Noireau traps in Attalea butyracea palms. We then extracted total DNA from whole-bodies of specimens and amplified bacterial microbiota using 16S rRNA metabarcoding PCR. The 16S libraries were sequenced on an Illumina MiSeq and analyzed using QIIME2 software.\nResults:  We found Proteobacteria, Actinobacteria, Bacteroidetes and Firmicutes to be the most abundant bacterial phyla across all samples. Geographical location showed the largest difference in microbial composition with northern Veraguas Province having the most diversity and Panama Oeste Province localities being most similar to each other. Wolbachia was detected in high abundance (48–72%) at Panama Oeste area localities with a complete absence of detection in Veraguas Province. No significant differences in microbial composition were detected between triatomine age class, primary blood meal source, or T. cruzi infection status.\nConclusions:  We found biogeographical regions differ in microbial composition among R. pallescens populations in Panama. While overall the microbiota has bacterial taxa consistent with previous studies in triatomine microbial ecology, locality differences are an important observation for future studies. Geographical heterogeneity in microbiomes of vectors is an important consideration for future developments that leverage microbiomes for disease control.","container-title":"Parasites &amp; Vectors","DOI":"10.1186/s13071-019-3761-8","ISSN":"1756-3305","issue":"1","journalAbbreviation":"Parasites Vectors","language":"en","page":"504","source":"DOI.org (Crossref)","title":"Regional biogeography of microbiota composition in the Chagas disease vector Rhodnius pallescens","volume":"12","author":[{"family":"Kieran","given":"Troy J."},{"family":"Arnold","given":"Kaylee M. H."},{"family":"Thomas","given":"Jesse C."},{"family":"Varian","given":"Christina P."},{"family":"Saldaña","given":"Azael"},{"family":"Calzada","given":"Jose E."},{"family":"Glenn","given":"Travis C."},{"family":"Gottdenker","given":"Nicole L."}],"issued":{"date-parts":[["2019",12]]}}},{"id":2451,"uris":["http://zotero.org/users/5535808/items/TZWL95XL"],"itemData":{"id":2451,"type":"article-journal","abstract":"Conclusion: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schema":"https://github.com/citation-style-language/schema/raw/master/csl-citation.json"} </w:instrText>
      </w:r>
      <w:r w:rsidR="004944D2">
        <w:fldChar w:fldCharType="separate"/>
      </w:r>
      <w:r w:rsidR="004944D2" w:rsidRPr="004944D2">
        <w:rPr>
          <w:rFonts w:cs="Times New Roman"/>
          <w:vertAlign w:val="superscript"/>
        </w:rPr>
        <w:t>28,47</w:t>
      </w:r>
      <w:r w:rsidR="004944D2">
        <w:fldChar w:fldCharType="end"/>
      </w:r>
      <w:r>
        <w:t xml:space="preserve">. </w:t>
      </w:r>
      <w:r w:rsidRPr="00816E1D">
        <w:t xml:space="preserve">However, any differences in the environmental factors between these areas were not closely examined to identify any ecological drivers of these patterns. As demonstrated thus far, there may be factors </w:t>
      </w:r>
      <w:r>
        <w:t>explicitly associated</w:t>
      </w:r>
      <w:r w:rsidRPr="00816E1D">
        <w:t xml:space="preserve"> with Veraguas, </w:t>
      </w:r>
      <w:r>
        <w:t xml:space="preserve">such as greater precipitation or available vertebrate host species, </w:t>
      </w:r>
      <w:r w:rsidRPr="00816E1D">
        <w:t xml:space="preserve">aside from forest </w:t>
      </w:r>
      <w:r>
        <w:t xml:space="preserve">remnant </w:t>
      </w:r>
      <w:r w:rsidRPr="00816E1D">
        <w:t>samples, that may be driv</w:t>
      </w:r>
      <w:r>
        <w:t>ing</w:t>
      </w:r>
      <w:r w:rsidRPr="00816E1D">
        <w:t xml:space="preserve"> some of the differences in gut bacterial composition and structure, and some marginal differences associated with Capira that may be driving differences between those samples and samples from La Chorrera. </w:t>
      </w:r>
    </w:p>
    <w:p w14:paraId="246026A8" w14:textId="77777777" w:rsidR="00BA51F4" w:rsidRPr="003F350E" w:rsidRDefault="00BA51F4" w:rsidP="00BA51F4">
      <w:pPr>
        <w:spacing w:line="480" w:lineRule="auto"/>
        <w:ind w:firstLine="720"/>
        <w:rPr>
          <w:b/>
        </w:rPr>
      </w:pPr>
      <w:r w:rsidRPr="00816E1D">
        <w:rPr>
          <w:b/>
        </w:rPr>
        <w:t xml:space="preserve">There are differences in </w:t>
      </w:r>
      <w:r>
        <w:rPr>
          <w:b/>
        </w:rPr>
        <w:t>the alpha diversity and composition</w:t>
      </w:r>
      <w:r w:rsidRPr="00816E1D">
        <w:rPr>
          <w:b/>
        </w:rPr>
        <w:t xml:space="preserve"> between samples collected in different palm </w:t>
      </w:r>
      <w:r w:rsidRPr="6325D3AA">
        <w:rPr>
          <w:b/>
          <w:bCs/>
        </w:rPr>
        <w:t>habitat</w:t>
      </w:r>
      <w:r w:rsidRPr="00816E1D">
        <w:rPr>
          <w:b/>
        </w:rPr>
        <w:t xml:space="preserve"> types. </w:t>
      </w:r>
      <w:r w:rsidRPr="00816E1D">
        <w:t xml:space="preserve">In addition to microbial differences between samples collected across Veraguas and the </w:t>
      </w:r>
      <w:r>
        <w:t xml:space="preserve">Panama </w:t>
      </w:r>
      <w:r w:rsidRPr="00816E1D">
        <w:t xml:space="preserve">Canal regions, there were also significant differences in </w:t>
      </w:r>
      <w:r>
        <w:t xml:space="preserve">within-sample </w:t>
      </w:r>
      <w:r w:rsidRPr="00816E1D">
        <w:t xml:space="preserve">gut bacterial composition and </w:t>
      </w:r>
      <w:r>
        <w:t>diversity</w:t>
      </w:r>
      <w:r w:rsidRPr="00816E1D">
        <w:t xml:space="preserve"> across palm habitat types. </w:t>
      </w:r>
      <w:r>
        <w:t xml:space="preserve">As the environment may primarily influence the gut microbial communities, it is crucial to consider the microhabitat of the palms. </w:t>
      </w:r>
      <w:r w:rsidRPr="00816E1D">
        <w:t>Figure</w:t>
      </w:r>
      <w:r>
        <w:t xml:space="preserve"> S5</w:t>
      </w:r>
      <w:r w:rsidRPr="00816E1D">
        <w:t xml:space="preserve"> show</w:t>
      </w:r>
      <w:r>
        <w:t>s</w:t>
      </w:r>
      <w:r w:rsidRPr="00816E1D">
        <w:t xml:space="preserve"> that samples collected in forest remnant palms displayed greater microbial richness and diversity than </w:t>
      </w:r>
      <w:r>
        <w:t>those</w:t>
      </w:r>
      <w:r w:rsidRPr="00816E1D">
        <w:t xml:space="preserve"> collected at pasture and </w:t>
      </w:r>
      <w:r w:rsidRPr="00816E1D">
        <w:lastRenderedPageBreak/>
        <w:t xml:space="preserve">peridomestic palms. </w:t>
      </w:r>
      <w:r>
        <w:t>Importantly</w:t>
      </w:r>
      <w:r w:rsidRPr="00816E1D">
        <w:t>,</w:t>
      </w:r>
      <w:r>
        <w:t xml:space="preserve"> </w:t>
      </w:r>
      <w:r w:rsidRPr="00816E1D">
        <w:t xml:space="preserve">all of the samples from forest remnant palms </w:t>
      </w:r>
      <w:r>
        <w:t>were collected</w:t>
      </w:r>
      <w:r w:rsidRPr="00816E1D">
        <w:t xml:space="preserve"> from the Veraguas region, so it was expected </w:t>
      </w:r>
      <w:r>
        <w:t>for</w:t>
      </w:r>
      <w:r w:rsidRPr="00816E1D">
        <w:t xml:space="preserve"> the forest samples to have greater richness and diversit</w:t>
      </w:r>
      <w:r>
        <w:t>y based on our previous results</w:t>
      </w:r>
      <w:r w:rsidRPr="00816E1D">
        <w:t xml:space="preserve">. For this reason, our data </w:t>
      </w:r>
      <w:r>
        <w:t>were</w:t>
      </w:r>
      <w:r w:rsidRPr="00816E1D">
        <w:t xml:space="preserve"> split by sampling region to better assess any associations with palm microhabitat irrespective of region. There were little to no differences between pasture and peridomestic palms </w:t>
      </w:r>
      <w:r>
        <w:t>in</w:t>
      </w:r>
      <w:r w:rsidRPr="00816E1D">
        <w:t xml:space="preserve"> each of the three </w:t>
      </w:r>
      <w:r>
        <w:t xml:space="preserve">sampling </w:t>
      </w:r>
      <w:r w:rsidRPr="00816E1D">
        <w:t>regions (</w:t>
      </w:r>
      <w:r>
        <w:t>Figs. 8-10</w:t>
      </w:r>
      <w:r w:rsidRPr="00816E1D">
        <w:t>), however</w:t>
      </w:r>
      <w:r>
        <w:t>,</w:t>
      </w:r>
      <w:r w:rsidRPr="00816E1D">
        <w:t xml:space="preserve"> at Veraguas, forest remnant samples </w:t>
      </w:r>
      <w:r>
        <w:t xml:space="preserve">had greater alpha diversity measurements </w:t>
      </w:r>
      <w:r w:rsidRPr="00816E1D">
        <w:t xml:space="preserve">than pasture and peridomestic palms. </w:t>
      </w:r>
      <w:r>
        <w:t>These results again suggest that samples collected at Veraguas are different from samples collected around the Panama Canal, specifically, samples collected in forest remnant palms, and that pasture and peridomestic palms are very similar.</w:t>
      </w:r>
    </w:p>
    <w:p w14:paraId="17B7C643" w14:textId="4052861D" w:rsidR="00BA51F4" w:rsidRDefault="00BA51F4" w:rsidP="00BA51F4">
      <w:pPr>
        <w:spacing w:line="480" w:lineRule="auto"/>
        <w:ind w:firstLine="720"/>
      </w:pPr>
      <w:r>
        <w:t xml:space="preserve">As previously discussed, environmental variables have been found to primarily shape gut microbial communities. </w:t>
      </w:r>
      <w:r w:rsidRPr="22313F8F">
        <w:rPr>
          <w:i/>
          <w:iCs/>
        </w:rPr>
        <w:t>R. pallescens</w:t>
      </w:r>
      <w:r>
        <w:t xml:space="preserve"> live primarily in the crowns of </w:t>
      </w:r>
      <w:r w:rsidRPr="22313F8F">
        <w:rPr>
          <w:i/>
          <w:iCs/>
        </w:rPr>
        <w:t xml:space="preserve">Attalea </w:t>
      </w:r>
      <w:r>
        <w:t xml:space="preserve">palms, and the amount of dead organic matter, surrounding canopy cover, and the number of connected trees can influence temperature and humidity fluctuations within the palm crown. </w:t>
      </w:r>
      <w:r w:rsidRPr="00816E1D">
        <w:rPr>
          <w:noProof/>
        </w:rPr>
        <w:t>Padukone</w:t>
      </w:r>
      <w:r w:rsidR="0081365E">
        <w:rPr>
          <w:noProof/>
        </w:rPr>
        <w:fldChar w:fldCharType="begin"/>
      </w:r>
      <w:r w:rsidR="00F42E8D">
        <w:rPr>
          <w:noProof/>
        </w:rPr>
        <w:instrText xml:space="preserve"> ADDIN ZOTERO_ITEM CSL_CITATION {"citationID":"ZsYCuXGZ","properties":{"formattedCitation":"\\super 69\\nosupersub{}","plainCitation":"69","noteIndex":0},"citationItems":[{"id":11342,"uris":["http://zotero.org/users/5535808/items/VGIJ7S9K"],"itemData":{"id":11342,"type":"article-journal","container-title":"Unpublished Undergraduate Thesis","title":"Relationships between Microhabitat Characteristics and the Abundance of a Chagas disease vector, Rhodnius pallescens, in Central Panama.","author":[{"family":"Padukone","given":"Anchal"}],"issued":{"date-parts":[["2016"]]}}}],"schema":"https://github.com/citation-style-language/schema/raw/master/csl-citation.json"} </w:instrText>
      </w:r>
      <w:r w:rsidR="0081365E">
        <w:rPr>
          <w:noProof/>
        </w:rPr>
        <w:fldChar w:fldCharType="separate"/>
      </w:r>
      <w:r w:rsidR="00F42E8D" w:rsidRPr="00F42E8D">
        <w:rPr>
          <w:rFonts w:cs="Times New Roman"/>
          <w:vertAlign w:val="superscript"/>
        </w:rPr>
        <w:t>69</w:t>
      </w:r>
      <w:r w:rsidR="0081365E">
        <w:rPr>
          <w:noProof/>
        </w:rPr>
        <w:fldChar w:fldCharType="end"/>
      </w:r>
      <w:r>
        <w:t xml:space="preserve"> found that temperature and humidity fluctuations stabilized as these environmental variables increased by providing a buffer between the </w:t>
      </w:r>
      <w:r w:rsidRPr="22313F8F">
        <w:rPr>
          <w:i/>
          <w:iCs/>
        </w:rPr>
        <w:t xml:space="preserve">Attalea </w:t>
      </w:r>
      <w:r>
        <w:t>palm crown’s microclimate and the changing ambient climate conditions throughout the day</w:t>
      </w:r>
      <w:r w:rsidRPr="00816E1D">
        <w:t>.</w:t>
      </w:r>
      <w:r>
        <w:t xml:space="preserve"> Another study that sampled the same regions and similar palms as this project found that the microclimate conditions of the palm crowns stayed within an ideal range for triatomines (25-28° C and 79 – 98% relative humidity), although pasture palm crowns experienced larger microclimate fluctuations within 24 hours compared to palms in forest remnants and peridomestic areas</w:t>
      </w:r>
      <w:r w:rsidR="00286ACF">
        <w:fldChar w:fldCharType="begin"/>
      </w:r>
      <w:r w:rsidR="0054537C">
        <w:instrText xml:space="preserve"> ADDIN ZOTERO_ITEM CSL_CITATION {"citationID":"xPl5UNJ7","properties":{"formattedCitation":"\\super 70\\nosupersub{}","plainCitation":"70","noteIndex":0},"citationItems":[{"id":11850,"uris":["http://zotero.org/users/5535808/items/MXVNVWTL"],"itemData":{"id":11850,"type":"article-journal","container-title":"Ecosphere","DOI":"10.1002/ecs2.4347","ISSN":"2150-8925, 2150-8925","issue":"1","journalAbbreviation":"Ecosphere","language":"en","source":"DOI.org (Crossref)","title":"Food web structure and microenvironment affect Chagas disease vector infection and abundance in a rural landscape","URL":"https://onlinelibrary.wiley.com/doi/10.1002/ecs2.4347","volume":"14","author":[{"family":"Varian","given":"Christina P."},{"family":"Saldaña","given":"Azael"},{"family":"Calzada","given":"Jose E."},{"family":"Abad‐Franch","given":"Fernando"},{"family":"Kieran","given":"Troy J."},{"family":"Padukone","given":"Anchal"},{"family":"Peterson","given":"Jennifer K."},{"family":"Gottdenker","given":"Nicole L."}],"accessed":{"date-parts":[["2023",1,22]]},"issued":{"date-parts":[["2023",1]]}}}],"schema":"https://github.com/citation-style-language/schema/raw/master/csl-citation.json"} </w:instrText>
      </w:r>
      <w:r w:rsidR="00286ACF">
        <w:fldChar w:fldCharType="separate"/>
      </w:r>
      <w:r w:rsidR="0054537C" w:rsidRPr="0054537C">
        <w:rPr>
          <w:rFonts w:cs="Times New Roman"/>
          <w:vertAlign w:val="superscript"/>
        </w:rPr>
        <w:t>70</w:t>
      </w:r>
      <w:r w:rsidR="00286ACF">
        <w:fldChar w:fldCharType="end"/>
      </w:r>
      <w:r>
        <w:t xml:space="preserve">. These stabilized microclimates within the palm crowns may have contributed to the marginal differences between pasture and peridomestic palms seen in this project across each sampling region. </w:t>
      </w:r>
    </w:p>
    <w:p w14:paraId="003DB9E8" w14:textId="77777777" w:rsidR="00BA51F4" w:rsidRPr="003F350E" w:rsidRDefault="00BA51F4" w:rsidP="00BA51F4">
      <w:pPr>
        <w:spacing w:line="480" w:lineRule="auto"/>
        <w:ind w:firstLine="720"/>
        <w:rPr>
          <w:b/>
          <w:bCs/>
        </w:rPr>
      </w:pPr>
      <w:r w:rsidRPr="22313F8F">
        <w:rPr>
          <w:b/>
          <w:bCs/>
        </w:rPr>
        <w:lastRenderedPageBreak/>
        <w:t xml:space="preserve">Dominant blood meal source and blood meal richness primarily drive differences in gut microbial communities across sampling regions and habitat types. </w:t>
      </w:r>
      <w:r>
        <w:t>In addition to the microclimate of the palm crowns, vertebrate blood meals may have influenced the gut microbial communities of the triatomines. Dominant blood meals and blood meal richness were significantly associated with within-sample diversity across all samples (Table S5). Dominant blood meal source had a significant effect on the community structure of the samples collected at Veraguas (Table 20) and contributed to 4.5% of the community variation between samples collected across Veraguas. Furthermore, after palm identity and triatomine age group, dominant blood meals accounted for up to 18% of the variation in gut microbial community composition across samples and up to 9% of the variation in gut microbial community structure across samples (Tables 9,11,18-20).</w:t>
      </w:r>
    </w:p>
    <w:p w14:paraId="5B11AA48" w14:textId="77777777" w:rsidR="00BA51F4" w:rsidRPr="00816E1D" w:rsidRDefault="00BA51F4" w:rsidP="00BA51F4">
      <w:pPr>
        <w:spacing w:line="480" w:lineRule="auto"/>
        <w:ind w:firstLine="720"/>
      </w:pPr>
      <w:r w:rsidRPr="00816E1D">
        <w:t>The samples collected at Veraguas had fed on a larger number of blood meal</w:t>
      </w:r>
      <w:r>
        <w:t xml:space="preserve"> species</w:t>
      </w:r>
      <w:r w:rsidRPr="00816E1D">
        <w:t xml:space="preserve"> and had significantly more rodent blood meals than the other two sampling regions. Capira, on the other hand, had the fewest detected blood meal</w:t>
      </w:r>
      <w:r>
        <w:t xml:space="preserve"> species</w:t>
      </w:r>
      <w:r w:rsidRPr="00816E1D">
        <w:t xml:space="preserve"> which may have influenced </w:t>
      </w:r>
      <w:r>
        <w:t>the marginal</w:t>
      </w:r>
      <w:r w:rsidRPr="00816E1D">
        <w:t xml:space="preserve"> differences in gut bacterial diversity between Capira and La Chorrera. There were some associations between blood meal identity and alpha bacterial composition and diversity</w:t>
      </w:r>
      <w:r>
        <w:t>, with</w:t>
      </w:r>
      <w:r w:rsidRPr="00816E1D">
        <w:t xml:space="preserve"> </w:t>
      </w:r>
      <w:r>
        <w:t>i</w:t>
      </w:r>
      <w:r w:rsidRPr="00816E1D">
        <w:t xml:space="preserve">ndividuals that fed on </w:t>
      </w:r>
      <w:r w:rsidRPr="00B276DC">
        <w:rPr>
          <w:i/>
          <w:iCs/>
        </w:rPr>
        <w:t>Didelphis</w:t>
      </w:r>
      <w:r w:rsidRPr="00816E1D">
        <w:t xml:space="preserve"> </w:t>
      </w:r>
      <w:r>
        <w:t>displaying</w:t>
      </w:r>
      <w:r w:rsidRPr="00816E1D">
        <w:t xml:space="preserve"> the greatest Shannon diversity. Furthermore, </w:t>
      </w:r>
      <w:r w:rsidRPr="00816E1D">
        <w:rPr>
          <w:i/>
          <w:iCs/>
        </w:rPr>
        <w:t>Didelphis</w:t>
      </w:r>
      <w:r w:rsidRPr="00816E1D">
        <w:t xml:space="preserve">-fed individuals </w:t>
      </w:r>
      <w:r>
        <w:t>exhibited</w:t>
      </w:r>
      <w:r w:rsidRPr="00816E1D">
        <w:t xml:space="preserve"> </w:t>
      </w:r>
      <w:r>
        <w:t xml:space="preserve">a </w:t>
      </w:r>
      <w:r w:rsidRPr="00816E1D">
        <w:t xml:space="preserve">greater relative abundance </w:t>
      </w:r>
      <w:r>
        <w:t xml:space="preserve">of </w:t>
      </w:r>
      <w:r w:rsidRPr="00816E1D">
        <w:rPr>
          <w:i/>
          <w:iCs/>
        </w:rPr>
        <w:t>Erwinia</w:t>
      </w:r>
      <w:r w:rsidRPr="00816E1D">
        <w:t xml:space="preserve"> and </w:t>
      </w:r>
      <w:r w:rsidRPr="00816E1D">
        <w:rPr>
          <w:i/>
          <w:iCs/>
        </w:rPr>
        <w:t>Dietzia</w:t>
      </w:r>
      <w:r>
        <w:t>. In contrast,</w:t>
      </w:r>
      <w:r w:rsidRPr="00816E1D">
        <w:t xml:space="preserve"> </w:t>
      </w:r>
      <w:r w:rsidRPr="00816E1D">
        <w:rPr>
          <w:i/>
          <w:iCs/>
        </w:rPr>
        <w:t>Heteromys</w:t>
      </w:r>
      <w:r w:rsidRPr="00816E1D">
        <w:t>-fed individuals showed a similar, but smaller, difference in relative abundances of these bacteria compared to other triatomines</w:t>
      </w:r>
      <w:r>
        <w:t xml:space="preserve"> (Fig. 4)</w:t>
      </w:r>
      <w:r w:rsidRPr="00816E1D">
        <w:t xml:space="preserve">. As discussed previously, </w:t>
      </w:r>
      <w:r w:rsidRPr="00816E1D">
        <w:rPr>
          <w:i/>
          <w:iCs/>
        </w:rPr>
        <w:t>Erwinia</w:t>
      </w:r>
      <w:r w:rsidRPr="00816E1D">
        <w:t xml:space="preserve"> and </w:t>
      </w:r>
      <w:r w:rsidRPr="00816E1D">
        <w:rPr>
          <w:i/>
          <w:iCs/>
        </w:rPr>
        <w:t>Dietzia</w:t>
      </w:r>
      <w:r w:rsidRPr="00816E1D">
        <w:t xml:space="preserve"> are likely acquired from</w:t>
      </w:r>
      <w:r>
        <w:t xml:space="preserve"> leaf litter in their palm habitats.</w:t>
      </w:r>
      <w:r w:rsidRPr="00816E1D">
        <w:t xml:space="preserve"> </w:t>
      </w:r>
    </w:p>
    <w:p w14:paraId="4FBE846B" w14:textId="518A9B10" w:rsidR="00BA51F4" w:rsidRPr="00816E1D" w:rsidRDefault="00BA51F4" w:rsidP="00BA51F4">
      <w:pPr>
        <w:spacing w:line="480" w:lineRule="auto"/>
        <w:ind w:firstLine="720"/>
      </w:pPr>
      <w:r>
        <w:t xml:space="preserve">Previous studies have found that blood meal source strongly correlates with gut bacterial diversity. </w:t>
      </w:r>
      <w:r w:rsidRPr="00816E1D" w:rsidDel="0002606A">
        <w:t>One study showed a strong impact of host blood meal identity on tick (</w:t>
      </w:r>
      <w:r w:rsidRPr="00816E1D" w:rsidDel="0002606A">
        <w:rPr>
          <w:i/>
        </w:rPr>
        <w:t>Ixodes</w:t>
      </w:r>
      <w:r w:rsidRPr="00816E1D" w:rsidDel="0002606A">
        <w:t xml:space="preserve"> </w:t>
      </w:r>
      <w:r w:rsidRPr="00816E1D" w:rsidDel="0002606A">
        <w:rPr>
          <w:i/>
        </w:rPr>
        <w:lastRenderedPageBreak/>
        <w:t>pacificus</w:t>
      </w:r>
      <w:r w:rsidRPr="00816E1D" w:rsidDel="0002606A">
        <w:t>) bacterial species richness and composition</w:t>
      </w:r>
      <w:r w:rsidR="001F3BF7">
        <w:fldChar w:fldCharType="begin"/>
      </w:r>
      <w:r w:rsidR="001F3BF7">
        <w:instrText xml:space="preserve"> ADDIN ZOTERO_ITEM CSL_CITATION {"citationID":"5ATDvh3r","properties":{"formattedCitation":"\\super 17\\nosupersub{}","plainCitation":"17","noteIndex":0},"citationItems":[{"id":1330,"uris":["http://zotero.org/users/5535808/items/S4YJY6I3"],"itemData":{"id":1330,"type":"article-journal","container-title":"The ISME Journal","DOI":"10.1038/ismej.2016.152","ISSN":"1751-7362, 1751-7370","issue":"3","language":"en","page":"813-816","source":"Crossref","title":"Tick microbiome and pathogen acquisition altered by host blood meal","volume":"11","author":[{"family":"Swei","given":"Andrea"},{"family":"Kwan","given":"Jessica Y"}],"issued":{"date-parts":[["2017",3]]}}}],"schema":"https://github.com/citation-style-language/schema/raw/master/csl-citation.json"} </w:instrText>
      </w:r>
      <w:r w:rsidR="001F3BF7">
        <w:fldChar w:fldCharType="separate"/>
      </w:r>
      <w:r w:rsidR="001F3BF7" w:rsidRPr="001F3BF7">
        <w:rPr>
          <w:rFonts w:cs="Times New Roman"/>
          <w:vertAlign w:val="superscript"/>
        </w:rPr>
        <w:t>17</w:t>
      </w:r>
      <w:r w:rsidR="001F3BF7">
        <w:fldChar w:fldCharType="end"/>
      </w:r>
      <w:r w:rsidRPr="00816E1D" w:rsidDel="0002606A">
        <w:t xml:space="preserve">. These researchers found that lizard-fed ticks exhibited lowered bacterial diversity </w:t>
      </w:r>
      <w:r>
        <w:t>than</w:t>
      </w:r>
      <w:r w:rsidRPr="00816E1D" w:rsidDel="0002606A">
        <w:t xml:space="preserve"> mammal-fed ticks</w:t>
      </w:r>
      <w:r>
        <w:t xml:space="preserve"> of the same species</w:t>
      </w:r>
      <w:r w:rsidRPr="00816E1D" w:rsidDel="0002606A">
        <w:t xml:space="preserve">. In mosquitoes, a recent study showed a significantly greater alpha diversity of the gut bacteria of laboratory-reared individuals fed on either sugar, rabbit blood, or a mixture of chicken and rabbit blood </w:t>
      </w:r>
      <w:r>
        <w:t>than</w:t>
      </w:r>
      <w:r w:rsidRPr="00816E1D" w:rsidDel="0002606A">
        <w:t xml:space="preserve"> that of chicken-fed mosquitoes</w:t>
      </w:r>
      <w:r w:rsidR="001F3BF7">
        <w:fldChar w:fldCharType="begin"/>
      </w:r>
      <w:r w:rsidR="001F3BF7">
        <w:instrText xml:space="preserve"> ADDIN ZOTERO_ITEM CSL_CITATION {"citationID":"iZZaGwvY","properties":{"formattedCitation":"\\super 16\\nosupersub{}","plainCitation":"16","noteIndex":0},"citationItems":[{"id":11209,"uris":["http://zotero.org/users/5535808/items/VKK8K2JQ"],"itemData":{"id":11209,"type":"article-journal","abstract":"Background:  The guts of blood-sucking insects host a community of bacteria that can shift dramatically in response to biotic and abiotic factors. Identifying the key factors structuring these microbial communities has important ecological and epidemiological implications.\nMethods:  We used the yellow fever mosquito, Aedes aegypti, to investigate the impact of mixed blood meals on gut microbiota of vector mosquitoes. Adult females were experimentally fed on sugar or blood from chicken, rabbit or a mixture of chicken and rabbit blood, and their gut microbiota were characterized using 16S rRNA gene amplification and MiSeq sequencing.\nResults:  The gut bacterial communities of mosquitoes fed on the three blood meal treatments clustered separately, suggesting that host species identity and mixed blood-feeding are key determinants of gut bacterial community composition in mosquitoes. Mixed blood meal had a synergistic effect on both operational taxonomic unit (OTU) richness and the Shannon diversity index, suggesting that mixed blood-feeding can offset the nutritional deficit of blood meals from certain host species. The microbial communities observed in this study were distinct from those identified from similarly fed Ae. aegypti from our previous study.\nConclusions:  These findings demonstrate that vector host-feeding preferences can influence gut microbial composition and diversity, which could potentially impact pathogen acquisition and transmission by the vector. The results also demonstrate that different microenvironmental conditions within the laboratory may play an important role in structuring the microbial communities of independently reared mosquito colonies.","container-title":"Parasites &amp; Vectors","DOI":"10.1186/s13071-021-04579-8","ISSN":"1756-3305","issue":"1","journalAbbreviation":"Parasites Vectors","language":"en","page":"83","source":"DOI.org (Crossref)","title":"Blood meal source and mixed blood-feeding influence gut bacterial community composition in Aedes aegypti","volume":"14","author":[{"family":"Muturi","given":"Ephantus J."},{"family":"Njoroge","given":"Teresia M."},{"family":"Dunlap","given":"Christopher"},{"family":"Cáceres","given":"Carla E."}],"issued":{"date-parts":[["2021",12]]}}}],"schema":"https://github.com/citation-style-language/schema/raw/master/csl-citation.json"} </w:instrText>
      </w:r>
      <w:r w:rsidR="001F3BF7">
        <w:fldChar w:fldCharType="separate"/>
      </w:r>
      <w:r w:rsidR="001F3BF7" w:rsidRPr="001F3BF7">
        <w:rPr>
          <w:rFonts w:cs="Times New Roman"/>
          <w:vertAlign w:val="superscript"/>
        </w:rPr>
        <w:t>16</w:t>
      </w:r>
      <w:r w:rsidR="001F3BF7">
        <w:fldChar w:fldCharType="end"/>
      </w:r>
      <w:r w:rsidRPr="00816E1D" w:rsidDel="0002606A">
        <w:t xml:space="preserve">. </w:t>
      </w:r>
      <w:r>
        <w:t>And finally, a</w:t>
      </w:r>
      <w:r w:rsidRPr="00816E1D" w:rsidDel="0002606A">
        <w:t xml:space="preserve">nother study found that gut bacterial diversity shifts after ingestion of a blood meal but will return to its original structure within </w:t>
      </w:r>
      <w:r>
        <w:t>six</w:t>
      </w:r>
      <w:r w:rsidRPr="00816E1D" w:rsidDel="0002606A">
        <w:t xml:space="preserve"> days</w:t>
      </w:r>
      <w:r>
        <w:t xml:space="preserve"> Muturi et al.</w:t>
      </w:r>
      <w:r w:rsidR="001F3BF7">
        <w:fldChar w:fldCharType="begin"/>
      </w:r>
      <w:r w:rsidR="001F3BF7">
        <w:instrText xml:space="preserve"> ADDIN ZOTERO_ITEM CSL_CITATION {"citationID":"djdwNLwC","properties":{"formattedCitation":"\\super 16\\nosupersub{}","plainCitation":"16","noteIndex":0},"citationItems":[{"id":11209,"uris":["http://zotero.org/users/5535808/items/VKK8K2JQ"],"itemData":{"id":11209,"type":"article-journal","abstract":"Background:  The guts of blood-sucking insects host a community of bacteria that can shift dramatically in response to biotic and abiotic factors. Identifying the key factors structuring these microbial communities has important ecological and epidemiological implications.\nMethods:  We used the yellow fever mosquito, Aedes aegypti, to investigate the impact of mixed blood meals on gut microbiota of vector mosquitoes. Adult females were experimentally fed on sugar or blood from chicken, rabbit or a mixture of chicken and rabbit blood, and their gut microbiota were characterized using 16S rRNA gene amplification and MiSeq sequencing.\nResults:  The gut bacterial communities of mosquitoes fed on the three blood meal treatments clustered separately, suggesting that host species identity and mixed blood-feeding are key determinants of gut bacterial community composition in mosquitoes. Mixed blood meal had a synergistic effect on both operational taxonomic unit (OTU) richness and the Shannon diversity index, suggesting that mixed blood-feeding can offset the nutritional deficit of blood meals from certain host species. The microbial communities observed in this study were distinct from those identified from similarly fed Ae. aegypti from our previous study.\nConclusions:  These findings demonstrate that vector host-feeding preferences can influence gut microbial composition and diversity, which could potentially impact pathogen acquisition and transmission by the vector. The results also demonstrate that different microenvironmental conditions within the laboratory may play an important role in structuring the microbial communities of independently reared mosquito colonies.","container-title":"Parasites &amp; Vectors","DOI":"10.1186/s13071-021-04579-8","ISSN":"1756-3305","issue":"1","journalAbbreviation":"Parasites Vectors","language":"en","page":"83","source":"DOI.org (Crossref)","title":"Blood meal source and mixed blood-feeding influence gut bacterial community composition in Aedes aegypti","volume":"14","author":[{"family":"Muturi","given":"Ephantus J."},{"family":"Njoroge","given":"Teresia M."},{"family":"Dunlap","given":"Christopher"},{"family":"Cáceres","given":"Carla E."}],"issued":{"date-parts":[["2021",12]]}}}],"schema":"https://github.com/citation-style-language/schema/raw/master/csl-citation.json"} </w:instrText>
      </w:r>
      <w:r w:rsidR="001F3BF7">
        <w:fldChar w:fldCharType="separate"/>
      </w:r>
      <w:r w:rsidR="001F3BF7" w:rsidRPr="001F3BF7">
        <w:rPr>
          <w:rFonts w:cs="Times New Roman"/>
          <w:vertAlign w:val="superscript"/>
        </w:rPr>
        <w:t>16</w:t>
      </w:r>
      <w:r w:rsidR="001F3BF7">
        <w:fldChar w:fldCharType="end"/>
      </w:r>
      <w:r>
        <w:t xml:space="preserve">. </w:t>
      </w:r>
      <w:r w:rsidRPr="00816E1D" w:rsidDel="0002606A">
        <w:t xml:space="preserve">If this remains true for </w:t>
      </w:r>
      <w:r w:rsidRPr="00816E1D" w:rsidDel="0002606A">
        <w:rPr>
          <w:i/>
          <w:iCs/>
        </w:rPr>
        <w:t>R. pallescens</w:t>
      </w:r>
      <w:r w:rsidRPr="00816E1D" w:rsidDel="0002606A">
        <w:t xml:space="preserve">, </w:t>
      </w:r>
      <w:r>
        <w:t>a blood meal may temporarily alter the composition and structure and significantly shape the gut microbial communities</w:t>
      </w:r>
      <w:r w:rsidRPr="00816E1D" w:rsidDel="0002606A">
        <w:t xml:space="preserve">. It is important to note, however, while multiple blood meals were detected from each triatomine, the results from this project only incorporated a single blood meal for each sample (i.e., </w:t>
      </w:r>
      <w:r>
        <w:t xml:space="preserve">dominant </w:t>
      </w:r>
      <w:r w:rsidRPr="00816E1D" w:rsidDel="0002606A">
        <w:t xml:space="preserve">blood meal identity). And </w:t>
      </w:r>
      <w:r>
        <w:t>notably</w:t>
      </w:r>
      <w:r w:rsidRPr="00816E1D" w:rsidDel="0002606A">
        <w:t xml:space="preserve">, </w:t>
      </w:r>
      <w:r w:rsidRPr="00816E1D" w:rsidDel="0002606A">
        <w:rPr>
          <w:i/>
          <w:iCs/>
        </w:rPr>
        <w:t>Didelphis</w:t>
      </w:r>
      <w:r w:rsidRPr="00816E1D" w:rsidDel="0002606A">
        <w:t xml:space="preserve">-fed and </w:t>
      </w:r>
      <w:r w:rsidRPr="00816E1D" w:rsidDel="0002606A">
        <w:rPr>
          <w:i/>
          <w:iCs/>
        </w:rPr>
        <w:t>Heteromys</w:t>
      </w:r>
      <w:r w:rsidRPr="00816E1D" w:rsidDel="0002606A">
        <w:t>-fed individuals were only sampled in Veraguas</w:t>
      </w:r>
      <w:r>
        <w:t xml:space="preserve">, which may have strongly influenced the differences seen between Veraguas and the Panama Canal regions. </w:t>
      </w:r>
    </w:p>
    <w:p w14:paraId="5AEAD330" w14:textId="675A0C94" w:rsidR="00BA51F4" w:rsidRPr="00357D51" w:rsidRDefault="00BA51F4" w:rsidP="00BA51F4">
      <w:pPr>
        <w:spacing w:line="480" w:lineRule="auto"/>
        <w:ind w:firstLine="720"/>
        <w:rPr>
          <w:b/>
          <w:bCs/>
        </w:rPr>
      </w:pPr>
      <w:r>
        <w:rPr>
          <w:b/>
          <w:bCs/>
        </w:rPr>
        <w:t>The samples from</w:t>
      </w:r>
      <w:r w:rsidRPr="00816E1D">
        <w:rPr>
          <w:b/>
          <w:bCs/>
        </w:rPr>
        <w:t xml:space="preserve"> Veraguas </w:t>
      </w:r>
      <w:r>
        <w:rPr>
          <w:b/>
          <w:bCs/>
        </w:rPr>
        <w:t>differed</w:t>
      </w:r>
      <w:r w:rsidRPr="00816E1D">
        <w:rPr>
          <w:b/>
          <w:bCs/>
        </w:rPr>
        <w:t xml:space="preserve"> significantly from </w:t>
      </w:r>
      <w:r>
        <w:rPr>
          <w:b/>
          <w:bCs/>
        </w:rPr>
        <w:t xml:space="preserve">samples collected at the two Panama </w:t>
      </w:r>
      <w:r w:rsidRPr="00816E1D">
        <w:rPr>
          <w:b/>
          <w:bCs/>
        </w:rPr>
        <w:t xml:space="preserve">Canal </w:t>
      </w:r>
      <w:r>
        <w:rPr>
          <w:b/>
          <w:bCs/>
        </w:rPr>
        <w:t>regions</w:t>
      </w:r>
      <w:r w:rsidRPr="00816E1D">
        <w:rPr>
          <w:b/>
          <w:bCs/>
        </w:rPr>
        <w:t xml:space="preserve">, which may be influenced by </w:t>
      </w:r>
      <w:r>
        <w:rPr>
          <w:b/>
          <w:bCs/>
        </w:rPr>
        <w:t xml:space="preserve">dominant blood meal source, vector </w:t>
      </w:r>
      <w:r w:rsidRPr="00816E1D">
        <w:rPr>
          <w:b/>
          <w:bCs/>
        </w:rPr>
        <w:t>taxonomy</w:t>
      </w:r>
      <w:r>
        <w:rPr>
          <w:b/>
          <w:bCs/>
        </w:rPr>
        <w:t>,</w:t>
      </w:r>
      <w:r w:rsidRPr="00816E1D">
        <w:rPr>
          <w:b/>
          <w:bCs/>
        </w:rPr>
        <w:t xml:space="preserve"> and landscape features. </w:t>
      </w:r>
      <w:r>
        <w:t xml:space="preserve">The samples collected in Veraguas were significantly different across most alpha diversity metrics than those collected from the two Canal regions, while the two Canal sites were similar. There may be several reasons for this phenomenon, including biogeography, blood meal diversity, and vector taxonomy. Veraguas is 136.82 km from the middle of the two Panama Canal regions, while the two Panama Canal regions are only approximately 16.56 km away from each other. Researchers recently found that there was high migration of </w:t>
      </w:r>
      <w:r w:rsidRPr="00B276DC">
        <w:rPr>
          <w:i/>
          <w:iCs/>
        </w:rPr>
        <w:t>R. pallescens</w:t>
      </w:r>
      <w:r>
        <w:t xml:space="preserve"> between sampling regions around the Panama Canal but limited migration rates from Veraguas to sites around the Canal</w:t>
      </w:r>
      <w:r w:rsidR="001F3BF7">
        <w:fldChar w:fldCharType="begin"/>
      </w:r>
      <w:r w:rsidR="004F6235">
        <w:instrText xml:space="preserve"> ADDIN ZOTERO_ITEM CSL_CITATION {"citationID":"4tBnzAJm","properties":{"formattedCitation":"\\super 71\\nosupersub{}","plainCitation":"71","noteIndex":0},"citationItems":[{"id":11482,"uris":["http://zotero.org/users/5535808/items/H5SET94K"],"itemData":{"id":11482,"type":"article-journal","abstract":"Rhodnius pallescens is the principal vector of Chagas disease in Panama. Recently a dark chromatic morph has been discovered in the highlands of Veraguas Province. Limited genetic studies have been conducted with regards to the population structure and dispersal potential of Triatominae vectors, particularly in R. pallescens. Next generation sequencing methods such as RADseq and complete mitochondrial DNA (mtDNA) genome sequencing have great potential for examining vector biology across space and time. Here we utilize a RADseq method (3RAD), along with complete mtDNA sequencing, to examine the population structure of the two chromatic morpho types of R. pallescens in Panama. We sequenced 105 R. pallescens samples from ﬁve localities in Panama. We generated a 2216 SNP dataset and 6 complete mtDNA genomes. RADseq showed signiﬁcant diﬀerentiation among the ﬁve localities (FCT = 0.695; P = .004), but most of this was between localities with the dark vs. light chromatic morphs (Veraguas vs. Panama Oeste). The mtDNA genomes showed a 97–98% similarity between dark and light chromatic morphs across all genes and a 502 bp insert in light morphs. Thus, both the RADseq and mtDNA data showed highly diﬀerentiated clades with essentially no gene ﬂow between the dark and light chromatic morphs from Veraguas and central Panama respectively. We discuss the growing evidence showing clear distinctions between these two morpho types with the possibility that these are separate species, an area of research that requires further investigation. Finally, we discuss the cost-eﬀectiveness of 3RAD which is a third of the cost compared to other RADseq methods used recently in Chagas disease vector research.","language":"en","page":"13","source":"Zotero","title":"Population genetics of two chromatic morphs of the Chagas disease vector Rhodnius pallescens Barber, 1932 in Panamá","author":[{"family":"Kieran","given":"Troy J"},{"family":"J. Bayona-Vásquez","given":"Natalia"},{"family":"Varian","given":"Christina"},{"family":"Saldaña","given":"Azael"},{"family":"Samudio","given":"Franklyn"},{"family":"Calzada","given":"Jose"},{"family":"Gottdenker","given":"Nicole"},{"family":"Glenn","given":"Travis C"}],"issued":{"date-parts":[["2020"]]}}}],"schema":"https://github.com/citation-style-language/schema/raw/master/csl-citation.json"} </w:instrText>
      </w:r>
      <w:r w:rsidR="001F3BF7">
        <w:fldChar w:fldCharType="separate"/>
      </w:r>
      <w:r w:rsidR="00CD6DB2" w:rsidRPr="00CD6DB2">
        <w:rPr>
          <w:rFonts w:cs="Times New Roman"/>
          <w:vertAlign w:val="superscript"/>
        </w:rPr>
        <w:t>71</w:t>
      </w:r>
      <w:r w:rsidR="001F3BF7">
        <w:fldChar w:fldCharType="end"/>
      </w:r>
      <w:r>
        <w:t xml:space="preserve">. These researchers concluded that the </w:t>
      </w:r>
      <w:r>
        <w:lastRenderedPageBreak/>
        <w:t>differences in migration are likely due to the greater distance between the Panama Canal sites and Santa Fe, Veraguas (~ 150 km), topographical/elevation effects, and proximity and similarity in biogeographic features between the Panama Canal sampling regions. The similar gut bacterial patterns between triatomines collected in Capira and La Chorrera may be the result of microbial dispersal dynamics across small spatial scales that may, in part, drive similar community patterns between close populations of insects</w:t>
      </w:r>
      <w:r w:rsidR="00277E0B">
        <w:fldChar w:fldCharType="begin"/>
      </w:r>
      <w:r w:rsidR="00277E0B">
        <w:instrText xml:space="preserve"> ADDIN ZOTERO_ITEM CSL_CITATION {"citationID":"d4JKW6af","properties":{"formattedCitation":"\\super 54\\nosupersub{}","plainCitation":"54","noteIndex":0},"citationItems":[{"id":570,"uris":["http://zotero.org/users/5535808/items/7BEEH5A3"],"itemData":{"id":570,"type":"article-journal","abstract":"Background: The understanding of the roles of gut bacteria in the fitness and vectorial capacity of mosquitoes that transmit malaria, is improving; however, the factors shaping the composition and structure of such bacterial communities remain elusive. In this study, a high-throughput 16S rRNA gene sequencing was conducted to understand the effect of developmental stage, feeding status, species, and geography on the composition of the gut bacterial microbiota of two main Colombian malaria vectors, Anopheles nuneztovari and Anopheles darlingi.\nResults: The results revealed that mosquito developmental stage, followed by geographical location, are more important determinants of the gut bacterial composition than mosquito species or adult feeding status. Further, they showed that mosquito gut is a major filter for environmental bacteria colonization.\nConclusions: The sampling design and analytical approach of this study allowed to untangle the influence of factors that are simultaneously shaping the microbiota composition of two Latin-American malaria vectors, essential aspect for the design of vector biocontrol strategies.","container-title":"Microbiome","DOI":"10.1186/s40168-018-0528-y","ISSN":"2049-2618","issue":"1","language":"en","source":"Crossref","title":"Factors shaping the gut bacterial community assembly in two main Colombian malaria vectors","URL":"https://microbiomejournal.biomedcentral.com/articles/10.1186/s40168-018-0528-y","volume":"6","author":[{"family":"Bascuñán","given":"Priscila"},{"family":"Niño-Garcia","given":"Juan Pablo"},{"family":"Galeano-Castañeda","given":"Yadira"},{"family":"Serre","given":"David"},{"family":"Correa","given":"Margarita M."}],"accessed":{"date-parts":[["2019",9,11]]},"issued":{"date-parts":[["2018",12]]}}}],"schema":"https://github.com/citation-style-language/schema/raw/master/csl-citation.json"} </w:instrText>
      </w:r>
      <w:r w:rsidR="00277E0B">
        <w:fldChar w:fldCharType="separate"/>
      </w:r>
      <w:r w:rsidR="00277E0B" w:rsidRPr="00277E0B">
        <w:rPr>
          <w:rFonts w:cs="Times New Roman"/>
          <w:vertAlign w:val="superscript"/>
        </w:rPr>
        <w:t>54</w:t>
      </w:r>
      <w:r w:rsidR="00277E0B">
        <w:fldChar w:fldCharType="end"/>
      </w:r>
      <w:r>
        <w:t>.</w:t>
      </w:r>
      <w:r>
        <w:rPr>
          <w:b/>
          <w:bCs/>
        </w:rPr>
        <w:t xml:space="preserve"> </w:t>
      </w:r>
      <w:r>
        <w:t xml:space="preserve">Our data also show that Veraguas samples fed primarily on </w:t>
      </w:r>
      <w:r>
        <w:rPr>
          <w:i/>
          <w:iCs/>
        </w:rPr>
        <w:t>Didelphis</w:t>
      </w:r>
      <w:r>
        <w:t xml:space="preserve"> and </w:t>
      </w:r>
      <w:r>
        <w:rPr>
          <w:i/>
          <w:iCs/>
        </w:rPr>
        <w:t>Heteromys</w:t>
      </w:r>
      <w:r>
        <w:t xml:space="preserve"> while samples from the Canal primarily fed on </w:t>
      </w:r>
      <w:r>
        <w:rPr>
          <w:i/>
          <w:iCs/>
        </w:rPr>
        <w:t xml:space="preserve">Philander. </w:t>
      </w:r>
      <w:r>
        <w:t>As noted previously, many studies have shown significant associations between blood meal sources and gut microbial diversity.</w:t>
      </w:r>
    </w:p>
    <w:p w14:paraId="7DB4BBDD" w14:textId="1E27C75C" w:rsidR="00BA51F4" w:rsidRDefault="00BA51F4" w:rsidP="00BA51F4">
      <w:pPr>
        <w:spacing w:line="480" w:lineRule="auto"/>
        <w:ind w:firstLine="720"/>
      </w:pPr>
      <w:r>
        <w:t>Lastly, there is evidence that the triatomines found in Veraguas are genetically dissimilar from those found around the Panama Canal. The samples found in Veraguas have a darker pigmentation and are slightly larger but are otherwise morphologically similar to the Canal triatomines</w:t>
      </w:r>
      <w:r w:rsidR="00277E0B">
        <w:fldChar w:fldCharType="begin"/>
      </w:r>
      <w:r w:rsidR="004F6235">
        <w:instrText xml:space="preserve"> ADDIN ZOTERO_ITEM CSL_CITATION {"citationID":"BHFiGHvn","properties":{"formattedCitation":"\\super 72\\nosupersub{}","plainCitation":"72","noteIndex":0},"citationItems":[{"id":9623,"uris":["http://zotero.org/users/5535808/items/DFCKLWIC"],"itemData":{"id":9623,"type":"article-journal","abstract":"Background: Rhodnius pallescens, the only species of this genus reported in Panama, has a wide geographical distribution and is associated with most cases of Chagas disease and human infections with Trypanosoma rangeli in this country. Thus far, no phenotypic variants of this triatomine have been registered. Similarly, genotyping of the trypanosomes that infect this vector has only been partially evaluated. Results: A total of 347 specimens of R. pallescens were collected in Attalea butyracea palm trees located near a mountainous community of the district of Santa Fe, province of Veraguas. Bugs were slightly longer and had a darker coloration compared to that reported for this species. Infection rates for trypanosomes performed with three PCR analyses showed that 41.3% of the adult triatomines were positive for T. cruzi, 52.4% were positive for T. rangeli and 28.6% had mixed T. cruzi/T. rangeli infections. Based on cox2 analysis, TcI was the single T. cruzi discrete typing unit (DTU) detected, and a genetic variant of KP1(-)/lineage C was the only genetic group found for T. rangeli. Conclusions: A darker chromatic variation of R. pallescens predominates in a mountainous region of Panama. These triatomines show high trypanosome infection rates, especially with T. rangeli. Regarding T. rangeli genetic diversity, complementary studies using other molecular markers are necessary to better define its phylogenetic position.","DOI":"10.1186/s13071-018-3004-4","note":"publisher: Parasites &amp; Vectors","page":"1-6","title":"A darker chromatic variation of Rhodnius pallescens infected by specific genetic groups of Trypanosoma rangeli and Trypanosoma cruzi from Panama","author":[{"family":"Saldaña","given":"Azael"},{"family":"Santamaría","given":"Ana María"},{"family":"Pineda","given":"Vanessa"},{"family":"Vásquez","given":"Vanessa"},{"family":"Gottdenker","given":"Nicole L"},{"family":"Calzada","given":"José E"}],"issued":{"date-parts":[["2018"]]}}}],"schema":"https://github.com/citation-style-language/schema/raw/master/csl-citation.json"} </w:instrText>
      </w:r>
      <w:r w:rsidR="00277E0B">
        <w:fldChar w:fldCharType="separate"/>
      </w:r>
      <w:r w:rsidR="004F6235" w:rsidRPr="004F6235">
        <w:rPr>
          <w:rFonts w:cs="Times New Roman"/>
          <w:vertAlign w:val="superscript"/>
        </w:rPr>
        <w:t>72</w:t>
      </w:r>
      <w:r w:rsidR="00277E0B">
        <w:fldChar w:fldCharType="end"/>
      </w:r>
      <w:r>
        <w:t>. In addition to different migration patterns across central Panama, Kieran et al.</w:t>
      </w:r>
      <w:r w:rsidR="004F6235">
        <w:fldChar w:fldCharType="begin"/>
      </w:r>
      <w:r w:rsidR="004F6235">
        <w:instrText xml:space="preserve"> ADDIN ZOTERO_ITEM CSL_CITATION {"citationID":"YyJb0HeO","properties":{"formattedCitation":"\\super 71\\nosupersub{}","plainCitation":"71","noteIndex":0},"citationItems":[{"id":11482,"uris":["http://zotero.org/users/5535808/items/H5SET94K"],"itemData":{"id":11482,"type":"article-journal","abstract":"Rhodnius pallescens is the principal vector of Chagas disease in Panama. Recently a dark chromatic morph has been discovered in the highlands of Veraguas Province. Limited genetic studies have been conducted with regards to the population structure and dispersal potential of Triatominae vectors, particularly in R. pallescens. Next generation sequencing methods such as RADseq and complete mitochondrial DNA (mtDNA) genome sequencing have great potential for examining vector biology across space and time. Here we utilize a RADseq method (3RAD), along with complete mtDNA sequencing, to examine the population structure of the two chromatic morpho types of R. pallescens in Panama. We sequenced 105 R. pallescens samples from ﬁve localities in Panama. We generated a 2216 SNP dataset and 6 complete mtDNA genomes. RADseq showed signiﬁcant diﬀerentiation among the ﬁve localities (FCT = 0.695; P = .004), but most of this was between localities with the dark vs. light chromatic morphs (Veraguas vs. Panama Oeste). The mtDNA genomes showed a 97–98% similarity between dark and light chromatic morphs across all genes and a 502 bp insert in light morphs. Thus, both the RADseq and mtDNA data showed highly diﬀerentiated clades with essentially no gene ﬂow between the dark and light chromatic morphs from Veraguas and central Panama respectively. We discuss the growing evidence showing clear distinctions between these two morpho types with the possibility that these are separate species, an area of research that requires further investigation. Finally, we discuss the cost-eﬀectiveness of 3RAD which is a third of the cost compared to other RADseq methods used recently in Chagas disease vector research.","language":"en","page":"13","source":"Zotero","title":"Population genetics of two chromatic morphs of the Chagas disease vector Rhodnius pallescens Barber, 1932 in Panamá","author":[{"family":"Kieran","given":"Troy J"},{"family":"J. Bayona-Vásquez","given":"Natalia"},{"family":"Varian","given":"Christina"},{"family":"Saldaña","given":"Azael"},{"family":"Samudio","given":"Franklyn"},{"family":"Calzada","given":"Jose"},{"family":"Gottdenker","given":"Nicole"},{"family":"Glenn","given":"Travis C"}],"issued":{"date-parts":[["2020"]]}}}],"schema":"https://github.com/citation-style-language/schema/raw/master/csl-citation.json"} </w:instrText>
      </w:r>
      <w:r w:rsidR="004F6235">
        <w:fldChar w:fldCharType="separate"/>
      </w:r>
      <w:r w:rsidR="004F6235" w:rsidRPr="004F6235">
        <w:rPr>
          <w:rFonts w:cs="Times New Roman"/>
          <w:vertAlign w:val="superscript"/>
        </w:rPr>
        <w:t>71</w:t>
      </w:r>
      <w:r w:rsidR="004F6235">
        <w:fldChar w:fldCharType="end"/>
      </w:r>
      <w:r>
        <w:t xml:space="preserve"> found that triatomines in Veraguas were genetically differentiated from the triatomines collected around the Canal, while samples from various regions and sites around the Panama Canal had little genetic differentiation. Several studies have shown that host taxonomy is a significant driver of gut bacterial diversity within arthropods, even within closely related species</w:t>
      </w:r>
      <w:r w:rsidR="004F6235">
        <w:fldChar w:fldCharType="begin"/>
      </w:r>
      <w:r w:rsidR="006A57C2">
        <w:instrText xml:space="preserve"> ADDIN ZOTERO_ITEM CSL_CITATION {"citationID":"7QUxjJ8q","properties":{"formattedCitation":"\\super 47,73\\uc0\\u8211{}75\\nosupersub{}","plainCitation":"47,73–75","noteIndex":0},"citationItems":[{"id":2451,"uris":["http://zotero.org/users/5535808/items/TZWL95XL"],"itemData":{"id":2451,"type":"article-journal","abstract":"Conclusion: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id":11278,"uris":["http://zotero.org/users/5535808/items/M2FCWQIE"],"itemData":{"id":11278,"type":"article-journal","abstract":"The taxonomic composition of microbial communities in animals varies among animal species, but the contribution of interspeciﬁc differences in ﬁltering of the microbial pool by the animal host to this variation is uncertain. Here, we demonstrate signiﬁcant interspeciﬁc variation in microbial community composition among laboratory-reared Drosophila species that was not related to host phylogeny. Complementary reciprocal transfer experiments yielded different microbial communities for a single microbiota administered to homologous and heterologous hosts (i.e., the same and different Drosophila species from which the microbiota was derived), indicative of among-host species differences in traits that shape microbiota composition. The difference in microbiota composition between homologous and heterologous hosts was not greater for distantly related than for closely related host species pairs. Furthermore, Drosophila survival to adulthood was signiﬁcantly reduced in heterologous associations relative to homologous associations and microbiologically sterile ﬂies, suggesting that microbial taxa that are advantageous for their homologous host species can be deleterious for other host species. We conclude that drosophilid ﬂies display robust among-host species variation in host controls over microbiota composition that has diversiﬁed in response to selection pressures which are not tracked by host phylogeny.","container-title":"The ISME Journal","DOI":"10.1038/s41396-019-0532-7","ISSN":"1751-7362, 1751-7370","issue":"1","journalAbbreviation":"ISME J","language":"en","page":"217-229","source":"DOI.org (Crossref)","title":"Host determinants of among-species variation in microbiome composition in drosophilid flies","volume":"14","author":[{"family":"Adair","given":"Karen L."},{"family":"Bost","given":"Alyssa"},{"family":"Bueno","given":"Eduardo"},{"family":"Kaunisto","given":"Sirpa"},{"family":"Kortet","given":"Raine"},{"family":"Peters-Schulze","given":"Grace"},{"family":"Martinson","given":"Vincent G."},{"family":"Douglas","given":"Angela E."}],"issued":{"date-parts":[["2020",1]]}}},{"id":11184,"uris":["http://zotero.org/users/5535808/items/TNDNIKGI"],"itemData":{"id":11184,"type":"article-journal","abstract":"The gut microbiome plays an important role in a host’s development and adaption to its dietary niche. In this study, a group of bamboo-feeding insects are used to explore the potential role of the gut microbiota in the convergent adaptation to extreme diet specialization. Specifically, using a 16S rRNA marker and an Illumina sequencing platform, we profiled the microbial communities of 76 gut samples collected from nine bamboo-feeding insects, including both hemimetabolous (Orthoptera and Hemiptera) and holometabolous (Coleoptera and Lepidoptera) species, which are specialized in three distinct dietary niches: bamboo leaf, shoot, and sap. The gut microbiota of these insects were dominated by Proteobacteria, Firmicutes, and Bacteroidetes and were clustered into solid (leaf and shoot) and liquid (sap) dietary niches. The gut bacterial communities of insects feeding on solid diet overlapped significantly, even though these insects belong to phylogenetically distant lineages representing different orders. In addition, the presence of cellulolytic bacterial communities within the gut microbiota allows bamboo-feeding insects to adapt to a highly specialized, fiber-rich diet. Although both phylogeny and diet can impact the structure and composition of gut microbiomes, phylogeny is the primary driving force underlying the convergent adaptation to a highly specialized diet, especially when the related insect species harbor similar gut microbiomes and share the same dietary niche over evolutionary timescales. These combined findings lay the foundation for future research on how convergent feeding strategies impact the interplays between hosts and their gut microbiomes and how the gut microbiota may facilitate convergent evolution in phylogenetically distant species in adaptation to the shared diet.","container-title":"Frontiers in Microbiology","ISSN":"1664-302X","source":"Frontiers","title":"Host Phylogeny and Diet Shape Gut Microbial Communities Within Bamboo-Feeding Insects","URL":"https://www.frontiersin.org/article/10.3389/fmicb.2021.633075","volume":"12","author":[{"family":"Huang","given":"Kuanguan"},{"family":"Wang","given":"Jie"},{"family":"Huang","given":"Junhao"},{"family":"Zhang","given":"Shouke"},{"family":"Vogler","given":"Alfried P."},{"family":"Liu","given":"Quanquan"},{"family":"Li","given":"Yongchun"},{"family":"Yang","given":"Maowei"},{"family":"Li","given":"You"},{"family":"Zhou","given":"Xuguo"}],"accessed":{"date-parts":[["2022",6,29]]},"issued":{"date-parts":[["2021"]]}}},{"id":11486,"uris":["http://zotero.org/users/5535808/items/XHBX9FD2"],"itemData":{"id":11486,"type":"article-journal","abstract":"Phylosymbiosis was recently formulated to support a hypothesis-driven framework for the characterization of a new, cross-system trend in host-associated microbiomes. Defining phylosymbiosis as ‘microbial community relationships that recapitulate the phylogeny of their host’, we review the relevant literature and data in the last decade, emphasizing frequently used methods and regular patterns observed in analyses. Quantitative support for phylosymbiosis is provided by statistical methods evaluating higher microbiome variation between host species than within host species, topological similarities between the host phylogeny and microbiome dendrogram, and a positive association between host genetic relationships and microbiome beta diversity. Significant degrees of phylosymbiosis are prevalent, but not universal, in microbiomes of plants and animals from terrestrial and aquatic habitats. Consistent with natural selection shaping phylosymbiosis, microbiome transplant experiments demonstrate reduced host performance and/or fitness upon host–microbiome mismatches. Hybridization can also disrupt phylosymbiotic microbiomes and cause hybrid pathologies. The pervasiveness of phylosymbiosis carries several important implications for advancing knowledge of eco-evolutionary processes that impact host–microbiome interactions and future applications of precision microbiology. Important future steps will be to examine phylosymbiosis beyond bacterial communities, apply evolutionary modelling for an increasingly sophisticated understanding of phylosymbiosis, and unravel the host and microbial mechanisms that contribute to the pattern. This review serves as a gateway to experimental, conceptual and quantitative themes of phylosymbiosis and outlines opportunities ripe for investigation from a diversity of disciplines.","container-title":"Proceedings of the Royal Society B: Biological Sciences","DOI":"10.1098/rspb.2019.2900","ISSN":"0962-8452, 1471-2954","issue":"1922","journalAbbreviation":"Proc. R. Soc. B.","language":"en","page":"20192900","source":"DOI.org (Crossref)","title":"An introduction to phylosymbiosis","volume":"287","author":[{"family":"Lim","given":"Shen Jean"},{"family":"Bordenstein","given":"Seth R."}],"issued":{"date-parts":[["2020",3,11]]}}}],"schema":"https://github.com/citation-style-language/schema/raw/master/csl-citation.json"} </w:instrText>
      </w:r>
      <w:r w:rsidR="004F6235">
        <w:fldChar w:fldCharType="separate"/>
      </w:r>
      <w:r w:rsidR="006A57C2" w:rsidRPr="006A57C2">
        <w:rPr>
          <w:rFonts w:cs="Times New Roman"/>
          <w:vertAlign w:val="superscript"/>
        </w:rPr>
        <w:t>47,73–75</w:t>
      </w:r>
      <w:r w:rsidR="004F6235">
        <w:fldChar w:fldCharType="end"/>
      </w:r>
      <w:r w:rsidR="006A57C2">
        <w:t xml:space="preserve">. </w:t>
      </w:r>
      <w:r>
        <w:t>Although we cannot pinpoint the exact factors that drive the gut bacterial communities of triatomines collected in pasture and peridomestic palms to be more similar to each other than triatomines collected in forest remnants, nor specific factors that drive Veraguas samples to differ from the different sampling regions, these results motivate further research into the influence of microhabitats and landscape features on gut communities.</w:t>
      </w:r>
    </w:p>
    <w:p w14:paraId="19980EEA" w14:textId="77777777" w:rsidR="00BA51F4" w:rsidRDefault="00BA51F4" w:rsidP="00BA51F4">
      <w:pPr>
        <w:spacing w:line="480" w:lineRule="auto"/>
        <w:ind w:firstLine="720"/>
      </w:pPr>
      <w:r>
        <w:lastRenderedPageBreak/>
        <w:t xml:space="preserve">In conclusion, we evaluated the gut bacteria </w:t>
      </w:r>
      <w:r w:rsidRPr="00EA66BB">
        <w:rPr>
          <w:i/>
          <w:iCs/>
        </w:rPr>
        <w:t>R. pallescens</w:t>
      </w:r>
      <w:r>
        <w:t xml:space="preserve">, the primary vector of Chagas disease in Panama. We found differences between sampling regions, with samples collected from Veraguas that were distinctly different alpha diversity. These patterns likely reflect limited migration patterns of triatomines between Veraguas and the Canal regions and greater migration patterns amongst the Canal regions and genetically isolated Veraguas triatomines. We also found differences between samples collected at Veraguas across habitat types, with forest samples distinctly different from those collected in peridomestic and pasture palms. Furthermore, samples collected in pasture and peridomestic palms had very similar gut bacteria communities. And finally, we found that the dominant blood meal source was associated with some variation in beta diversity between samples across sampling regions and habitat types, with </w:t>
      </w:r>
      <w:r w:rsidRPr="00DE5AA1">
        <w:rPr>
          <w:i/>
          <w:iCs/>
        </w:rPr>
        <w:t>Didelphis</w:t>
      </w:r>
      <w:r>
        <w:t xml:space="preserve">-fed and </w:t>
      </w:r>
      <w:r w:rsidRPr="00DE5AA1">
        <w:rPr>
          <w:i/>
          <w:iCs/>
        </w:rPr>
        <w:t>Heteromys</w:t>
      </w:r>
      <w:r>
        <w:t>-fed individuals from Veraguas likely driving these patterns.</w:t>
      </w:r>
      <w:r w:rsidRPr="00DC05D2">
        <w:t xml:space="preserve"> </w:t>
      </w:r>
      <w:r>
        <w:t xml:space="preserve">These patterns across habitat types are probably the result of greater biogeographic similarities between pasture and peridomestic palms compared to forest remnant palms. </w:t>
      </w:r>
    </w:p>
    <w:p w14:paraId="7980E3C5" w14:textId="77777777" w:rsidR="00BA51F4" w:rsidRDefault="00BA51F4" w:rsidP="00BA51F4">
      <w:pPr>
        <w:spacing w:line="480" w:lineRule="auto"/>
        <w:ind w:firstLine="720"/>
      </w:pPr>
      <w:r>
        <w:t xml:space="preserve">Overall, our research suggests that there are regional differences in diversity and composition. Particularly, our results show that the gut bacterial diversity of </w:t>
      </w:r>
      <w:r w:rsidRPr="0058649C">
        <w:rPr>
          <w:i/>
          <w:iCs/>
        </w:rPr>
        <w:t>R. pallescens</w:t>
      </w:r>
      <w:r>
        <w:t xml:space="preserve"> is greatest in the less disturbed forest </w:t>
      </w:r>
      <w:commentRangeStart w:id="1"/>
      <w:commentRangeStart w:id="2"/>
      <w:r>
        <w:t xml:space="preserve">remnant palms of Veraguas, which is likely driven by the vertebrate blood meal species, vector taxonomy, and landscape features such as higher precipitation. Previous research in Panama has shown strong associations between lower disturbance and lowered </w:t>
      </w:r>
      <w:r w:rsidRPr="00403E8C">
        <w:rPr>
          <w:i/>
          <w:iCs/>
        </w:rPr>
        <w:t>T. cruzi</w:t>
      </w:r>
      <w:r>
        <w:t xml:space="preserve"> infections. Although this present study </w:t>
      </w:r>
      <w:commentRangeEnd w:id="1"/>
      <w:r>
        <w:rPr>
          <w:rStyle w:val="CommentReference"/>
        </w:rPr>
        <w:commentReference w:id="1"/>
      </w:r>
      <w:commentRangeEnd w:id="2"/>
      <w:r>
        <w:rPr>
          <w:rStyle w:val="CommentReference"/>
        </w:rPr>
        <w:commentReference w:id="2"/>
      </w:r>
      <w:r>
        <w:t>did not include infection data, these results together showcase essential insights into the relationships between vector-borne disease transmission and anthropogenic land use change, which is imperative for vector control and vector-borne disease management.</w:t>
      </w:r>
    </w:p>
    <w:p w14:paraId="495AE49F" w14:textId="6F17EDFF" w:rsidR="00BA51F4" w:rsidRDefault="00BA51F4">
      <w:r>
        <w:br w:type="page"/>
      </w:r>
    </w:p>
    <w:p w14:paraId="0412377E" w14:textId="38F4A87F" w:rsidR="00EB2C7F" w:rsidRDefault="00BA51F4">
      <w:pPr>
        <w:rPr>
          <w:b/>
          <w:bCs/>
        </w:rPr>
      </w:pPr>
      <w:r w:rsidRPr="00BA51F4">
        <w:rPr>
          <w:b/>
          <w:bCs/>
        </w:rPr>
        <w:lastRenderedPageBreak/>
        <w:t>3.6 References</w:t>
      </w:r>
    </w:p>
    <w:p w14:paraId="45BDDCC5" w14:textId="77777777" w:rsidR="00895FA0" w:rsidRDefault="00895FA0">
      <w:pPr>
        <w:rPr>
          <w:b/>
          <w:bCs/>
        </w:rPr>
      </w:pPr>
    </w:p>
    <w:p w14:paraId="67944045" w14:textId="77777777" w:rsidR="00895FA0" w:rsidRPr="00895FA0" w:rsidRDefault="00895FA0" w:rsidP="00895FA0">
      <w:pPr>
        <w:pStyle w:val="Bibliography"/>
        <w:rPr>
          <w:rFonts w:cs="Times New Roman"/>
        </w:rPr>
      </w:pPr>
      <w:r>
        <w:rPr>
          <w:b/>
          <w:bCs/>
        </w:rPr>
        <w:fldChar w:fldCharType="begin"/>
      </w:r>
      <w:r>
        <w:rPr>
          <w:b/>
          <w:bCs/>
        </w:rPr>
        <w:instrText xml:space="preserve"> ADDIN ZOTERO_BIBL {"uncited":[],"omitted":[],"custom":[]} CSL_BIBLIOGRAPHY </w:instrText>
      </w:r>
      <w:r>
        <w:rPr>
          <w:b/>
          <w:bCs/>
        </w:rPr>
        <w:fldChar w:fldCharType="separate"/>
      </w:r>
      <w:r w:rsidRPr="00895FA0">
        <w:rPr>
          <w:rFonts w:cs="Times New Roman"/>
        </w:rPr>
        <w:t>1.</w:t>
      </w:r>
      <w:r w:rsidRPr="00895FA0">
        <w:rPr>
          <w:rFonts w:cs="Times New Roman"/>
        </w:rPr>
        <w:tab/>
        <w:t xml:space="preserve">Erazo, D. </w:t>
      </w:r>
      <w:r w:rsidRPr="00895FA0">
        <w:rPr>
          <w:rFonts w:cs="Times New Roman"/>
          <w:i/>
          <w:iCs/>
        </w:rPr>
        <w:t>et al.</w:t>
      </w:r>
      <w:r w:rsidRPr="00895FA0">
        <w:rPr>
          <w:rFonts w:cs="Times New Roman"/>
        </w:rPr>
        <w:t xml:space="preserve"> Modelling the influence of host community composition in a sylvatic Trypanosoma cruzi system. </w:t>
      </w:r>
      <w:r w:rsidRPr="00895FA0">
        <w:rPr>
          <w:rFonts w:cs="Times New Roman"/>
          <w:i/>
          <w:iCs/>
        </w:rPr>
        <w:t>Parasitology</w:t>
      </w:r>
      <w:r w:rsidRPr="00895FA0">
        <w:rPr>
          <w:rFonts w:cs="Times New Roman"/>
        </w:rPr>
        <w:t xml:space="preserve"> 1–9 (2017) doi:10.1017/S0031182017001287.</w:t>
      </w:r>
    </w:p>
    <w:p w14:paraId="3D7283DD" w14:textId="77777777" w:rsidR="00895FA0" w:rsidRPr="00895FA0" w:rsidRDefault="00895FA0" w:rsidP="00895FA0">
      <w:pPr>
        <w:pStyle w:val="Bibliography"/>
        <w:rPr>
          <w:rFonts w:cs="Times New Roman"/>
        </w:rPr>
      </w:pPr>
      <w:r w:rsidRPr="00895FA0">
        <w:rPr>
          <w:rFonts w:cs="Times New Roman"/>
        </w:rPr>
        <w:t>2.</w:t>
      </w:r>
      <w:r w:rsidRPr="00895FA0">
        <w:rPr>
          <w:rFonts w:cs="Times New Roman"/>
        </w:rPr>
        <w:tab/>
        <w:t xml:space="preserve">Gottdenker, N. L., Chaves, L. F., Calzada, J. E., Saldaña, A. &amp; Carroll, C. R. Host Life History Strategy, Species Diversity, and Habitat Influence Trypanosoma cruzi Vector Infection in Changing Landscapes. </w:t>
      </w:r>
      <w:r w:rsidRPr="00895FA0">
        <w:rPr>
          <w:rFonts w:cs="Times New Roman"/>
          <w:i/>
          <w:iCs/>
        </w:rPr>
        <w:t>PLoS Neglected Tropical Diseases</w:t>
      </w:r>
      <w:r w:rsidRPr="00895FA0">
        <w:rPr>
          <w:rFonts w:cs="Times New Roman"/>
        </w:rPr>
        <w:t xml:space="preserve"> </w:t>
      </w:r>
      <w:r w:rsidRPr="00895FA0">
        <w:rPr>
          <w:rFonts w:cs="Times New Roman"/>
          <w:b/>
          <w:bCs/>
        </w:rPr>
        <w:t>6</w:t>
      </w:r>
      <w:r w:rsidRPr="00895FA0">
        <w:rPr>
          <w:rFonts w:cs="Times New Roman"/>
        </w:rPr>
        <w:t>, e1884 (2012).</w:t>
      </w:r>
    </w:p>
    <w:p w14:paraId="6D39853B" w14:textId="77777777" w:rsidR="00895FA0" w:rsidRPr="00895FA0" w:rsidRDefault="00895FA0" w:rsidP="00895FA0">
      <w:pPr>
        <w:pStyle w:val="Bibliography"/>
        <w:rPr>
          <w:rFonts w:cs="Times New Roman"/>
        </w:rPr>
      </w:pPr>
      <w:r w:rsidRPr="00895FA0">
        <w:rPr>
          <w:rFonts w:cs="Times New Roman"/>
        </w:rPr>
        <w:t>3.</w:t>
      </w:r>
      <w:r w:rsidRPr="00895FA0">
        <w:rPr>
          <w:rFonts w:cs="Times New Roman"/>
        </w:rPr>
        <w:tab/>
        <w:t xml:space="preserve">Guo, F., Bonebrake, T. C. &amp; Gibson, L. Land-Use Change Alters Host and Vector Communities and May Elevate Disease Risk. </w:t>
      </w:r>
      <w:r w:rsidRPr="00895FA0">
        <w:rPr>
          <w:rFonts w:cs="Times New Roman"/>
          <w:i/>
          <w:iCs/>
        </w:rPr>
        <w:t>EcoHealth</w:t>
      </w:r>
      <w:r w:rsidRPr="00895FA0">
        <w:rPr>
          <w:rFonts w:cs="Times New Roman"/>
        </w:rPr>
        <w:t xml:space="preserve"> </w:t>
      </w:r>
      <w:r w:rsidRPr="00895FA0">
        <w:rPr>
          <w:rFonts w:cs="Times New Roman"/>
          <w:b/>
          <w:bCs/>
        </w:rPr>
        <w:t>16</w:t>
      </w:r>
      <w:r w:rsidRPr="00895FA0">
        <w:rPr>
          <w:rFonts w:cs="Times New Roman"/>
        </w:rPr>
        <w:t>, 647–658 (2019).</w:t>
      </w:r>
    </w:p>
    <w:p w14:paraId="52B9215E" w14:textId="77777777" w:rsidR="00895FA0" w:rsidRPr="00895FA0" w:rsidRDefault="00895FA0" w:rsidP="00895FA0">
      <w:pPr>
        <w:pStyle w:val="Bibliography"/>
        <w:rPr>
          <w:rFonts w:cs="Times New Roman"/>
        </w:rPr>
      </w:pPr>
      <w:r w:rsidRPr="00895FA0">
        <w:rPr>
          <w:rFonts w:cs="Times New Roman"/>
        </w:rPr>
        <w:t>4.</w:t>
      </w:r>
      <w:r w:rsidRPr="00895FA0">
        <w:rPr>
          <w:rFonts w:cs="Times New Roman"/>
        </w:rPr>
        <w:tab/>
        <w:t xml:space="preserve">Kweka, E. J., Kimaro, E. E. &amp; Munga, S. Effect of Deforestation and Land Use Changes on Mosquito Productivity and Development in Western Kenya Highlands: Implication for Malaria Risk. </w:t>
      </w:r>
      <w:r w:rsidRPr="00895FA0">
        <w:rPr>
          <w:rFonts w:cs="Times New Roman"/>
          <w:i/>
          <w:iCs/>
        </w:rPr>
        <w:t>Front. Public Health</w:t>
      </w:r>
      <w:r w:rsidRPr="00895FA0">
        <w:rPr>
          <w:rFonts w:cs="Times New Roman"/>
        </w:rPr>
        <w:t xml:space="preserve"> </w:t>
      </w:r>
      <w:r w:rsidRPr="00895FA0">
        <w:rPr>
          <w:rFonts w:cs="Times New Roman"/>
          <w:b/>
          <w:bCs/>
        </w:rPr>
        <w:t>4</w:t>
      </w:r>
      <w:r w:rsidRPr="00895FA0">
        <w:rPr>
          <w:rFonts w:cs="Times New Roman"/>
        </w:rPr>
        <w:t>, (2016).</w:t>
      </w:r>
    </w:p>
    <w:p w14:paraId="2341F395" w14:textId="77777777" w:rsidR="00895FA0" w:rsidRPr="00895FA0" w:rsidRDefault="00895FA0" w:rsidP="00895FA0">
      <w:pPr>
        <w:pStyle w:val="Bibliography"/>
        <w:rPr>
          <w:rFonts w:cs="Times New Roman"/>
        </w:rPr>
      </w:pPr>
      <w:r w:rsidRPr="00895FA0">
        <w:rPr>
          <w:rFonts w:cs="Times New Roman"/>
        </w:rPr>
        <w:t>5.</w:t>
      </w:r>
      <w:r w:rsidRPr="00895FA0">
        <w:rPr>
          <w:rFonts w:cs="Times New Roman"/>
        </w:rPr>
        <w:tab/>
        <w:t xml:space="preserve">Santos, W. S., Gurgel-Gonçalves, R., Garcez, L. M. &amp; Abad-Franch, F. Deforestation effects on Attalea palms and their resident Rhodnius, vectors of Chagas disease, in eastern Amazonia. </w:t>
      </w:r>
      <w:r w:rsidRPr="00895FA0">
        <w:rPr>
          <w:rFonts w:cs="Times New Roman"/>
          <w:i/>
          <w:iCs/>
        </w:rPr>
        <w:t>PLoS ONE</w:t>
      </w:r>
      <w:r w:rsidRPr="00895FA0">
        <w:rPr>
          <w:rFonts w:cs="Times New Roman"/>
        </w:rPr>
        <w:t xml:space="preserve"> </w:t>
      </w:r>
      <w:r w:rsidRPr="00895FA0">
        <w:rPr>
          <w:rFonts w:cs="Times New Roman"/>
          <w:b/>
          <w:bCs/>
        </w:rPr>
        <w:t>16</w:t>
      </w:r>
      <w:r w:rsidRPr="00895FA0">
        <w:rPr>
          <w:rFonts w:cs="Times New Roman"/>
        </w:rPr>
        <w:t>, e0252071 (2021).</w:t>
      </w:r>
    </w:p>
    <w:p w14:paraId="342A6C34" w14:textId="77777777" w:rsidR="00895FA0" w:rsidRPr="00895FA0" w:rsidRDefault="00895FA0" w:rsidP="00895FA0">
      <w:pPr>
        <w:pStyle w:val="Bibliography"/>
        <w:rPr>
          <w:rFonts w:cs="Times New Roman"/>
        </w:rPr>
      </w:pPr>
      <w:r w:rsidRPr="00895FA0">
        <w:rPr>
          <w:rFonts w:cs="Times New Roman"/>
        </w:rPr>
        <w:t>6.</w:t>
      </w:r>
      <w:r w:rsidRPr="00895FA0">
        <w:rPr>
          <w:rFonts w:cs="Times New Roman"/>
        </w:rPr>
        <w:tab/>
        <w:t xml:space="preserve">Schmidt, K. A. &amp; Ostfeld, R. S. Biodiversity and the Dilution Effect in Disease Ecology. </w:t>
      </w:r>
      <w:r w:rsidRPr="00895FA0">
        <w:rPr>
          <w:rFonts w:cs="Times New Roman"/>
          <w:i/>
          <w:iCs/>
        </w:rPr>
        <w:t>Ecology</w:t>
      </w:r>
      <w:r w:rsidRPr="00895FA0">
        <w:rPr>
          <w:rFonts w:cs="Times New Roman"/>
        </w:rPr>
        <w:t xml:space="preserve"> </w:t>
      </w:r>
      <w:r w:rsidRPr="00895FA0">
        <w:rPr>
          <w:rFonts w:cs="Times New Roman"/>
          <w:b/>
          <w:bCs/>
        </w:rPr>
        <w:t>82</w:t>
      </w:r>
      <w:r w:rsidRPr="00895FA0">
        <w:rPr>
          <w:rFonts w:cs="Times New Roman"/>
        </w:rPr>
        <w:t>, 609–619 (2001).</w:t>
      </w:r>
    </w:p>
    <w:p w14:paraId="5A85CEE5" w14:textId="77777777" w:rsidR="00895FA0" w:rsidRPr="00895FA0" w:rsidRDefault="00895FA0" w:rsidP="00895FA0">
      <w:pPr>
        <w:pStyle w:val="Bibliography"/>
        <w:rPr>
          <w:rFonts w:cs="Times New Roman"/>
        </w:rPr>
      </w:pPr>
      <w:r w:rsidRPr="00895FA0">
        <w:rPr>
          <w:rFonts w:cs="Times New Roman"/>
        </w:rPr>
        <w:t>7.</w:t>
      </w:r>
      <w:r w:rsidRPr="00895FA0">
        <w:rPr>
          <w:rFonts w:cs="Times New Roman"/>
        </w:rPr>
        <w:tab/>
        <w:t xml:space="preserve">Gottdenker, N. L., Carroll, C. R., Saldaña, A. &amp; Calzada, J. E. Association of Anthropogenic Land Use Change and Increased Abundance of the Chagas Disease Vector Rhodnius pallescens in a Rural Landscape of Panama. </w:t>
      </w:r>
      <w:r w:rsidRPr="00895FA0">
        <w:rPr>
          <w:rFonts w:cs="Times New Roman"/>
          <w:i/>
          <w:iCs/>
        </w:rPr>
        <w:t>The American Journal of Tropical Medicine and Hygiene</w:t>
      </w:r>
      <w:r w:rsidRPr="00895FA0">
        <w:rPr>
          <w:rFonts w:cs="Times New Roman"/>
        </w:rPr>
        <w:t xml:space="preserve"> </w:t>
      </w:r>
      <w:r w:rsidRPr="00895FA0">
        <w:rPr>
          <w:rFonts w:cs="Times New Roman"/>
          <w:b/>
          <w:bCs/>
        </w:rPr>
        <w:t>84</w:t>
      </w:r>
      <w:r w:rsidRPr="00895FA0">
        <w:rPr>
          <w:rFonts w:cs="Times New Roman"/>
        </w:rPr>
        <w:t>, 70–77 (2011).</w:t>
      </w:r>
    </w:p>
    <w:p w14:paraId="5A5F1662" w14:textId="77777777" w:rsidR="00895FA0" w:rsidRPr="00895FA0" w:rsidRDefault="00895FA0" w:rsidP="00895FA0">
      <w:pPr>
        <w:pStyle w:val="Bibliography"/>
        <w:rPr>
          <w:rFonts w:cs="Times New Roman"/>
        </w:rPr>
      </w:pPr>
      <w:r w:rsidRPr="00895FA0">
        <w:rPr>
          <w:rFonts w:cs="Times New Roman"/>
        </w:rPr>
        <w:t>8.</w:t>
      </w:r>
      <w:r w:rsidRPr="00895FA0">
        <w:rPr>
          <w:rFonts w:cs="Times New Roman"/>
        </w:rPr>
        <w:tab/>
        <w:t xml:space="preserve">Bonnet, S. I., Binetruy, F., Hernández-Jarguín, A. M. &amp; Duron, O. The Tick Microbiome: Why Non-pathogenic Microorganisms Matter in Tick Biology and Pathogen Transmission. </w:t>
      </w:r>
      <w:r w:rsidRPr="00895FA0">
        <w:rPr>
          <w:rFonts w:cs="Times New Roman"/>
          <w:i/>
          <w:iCs/>
        </w:rPr>
        <w:t>Frontiers in Cellular and Infection Microbiology</w:t>
      </w:r>
      <w:r w:rsidRPr="00895FA0">
        <w:rPr>
          <w:rFonts w:cs="Times New Roman"/>
        </w:rPr>
        <w:t xml:space="preserve"> </w:t>
      </w:r>
      <w:r w:rsidRPr="00895FA0">
        <w:rPr>
          <w:rFonts w:cs="Times New Roman"/>
          <w:b/>
          <w:bCs/>
        </w:rPr>
        <w:t>7</w:t>
      </w:r>
      <w:r w:rsidRPr="00895FA0">
        <w:rPr>
          <w:rFonts w:cs="Times New Roman"/>
        </w:rPr>
        <w:t>, (2017).</w:t>
      </w:r>
    </w:p>
    <w:p w14:paraId="0CEA9CB9" w14:textId="77777777" w:rsidR="00895FA0" w:rsidRPr="00895FA0" w:rsidRDefault="00895FA0" w:rsidP="00895FA0">
      <w:pPr>
        <w:pStyle w:val="Bibliography"/>
        <w:rPr>
          <w:rFonts w:cs="Times New Roman"/>
        </w:rPr>
      </w:pPr>
      <w:r w:rsidRPr="00895FA0">
        <w:rPr>
          <w:rFonts w:cs="Times New Roman"/>
        </w:rPr>
        <w:lastRenderedPageBreak/>
        <w:t>9.</w:t>
      </w:r>
      <w:r w:rsidRPr="00895FA0">
        <w:rPr>
          <w:rFonts w:cs="Times New Roman"/>
        </w:rPr>
        <w:tab/>
        <w:t xml:space="preserve">Cirimotich, C. M., Ramirez, J. L. &amp; Dimopoulos, G. Native Microbiota Shape Insect Vector Competence for Human Pathogens. </w:t>
      </w:r>
      <w:r w:rsidRPr="00895FA0">
        <w:rPr>
          <w:rFonts w:cs="Times New Roman"/>
          <w:i/>
          <w:iCs/>
        </w:rPr>
        <w:t>Cell Host &amp; Microbe</w:t>
      </w:r>
      <w:r w:rsidRPr="00895FA0">
        <w:rPr>
          <w:rFonts w:cs="Times New Roman"/>
        </w:rPr>
        <w:t xml:space="preserve"> </w:t>
      </w:r>
      <w:r w:rsidRPr="00895FA0">
        <w:rPr>
          <w:rFonts w:cs="Times New Roman"/>
          <w:b/>
          <w:bCs/>
        </w:rPr>
        <w:t>10</w:t>
      </w:r>
      <w:r w:rsidRPr="00895FA0">
        <w:rPr>
          <w:rFonts w:cs="Times New Roman"/>
        </w:rPr>
        <w:t>, 307–310 (2011).</w:t>
      </w:r>
    </w:p>
    <w:p w14:paraId="1F8B26FF" w14:textId="77777777" w:rsidR="00895FA0" w:rsidRPr="00895FA0" w:rsidRDefault="00895FA0" w:rsidP="00895FA0">
      <w:pPr>
        <w:pStyle w:val="Bibliography"/>
        <w:rPr>
          <w:rFonts w:cs="Times New Roman"/>
        </w:rPr>
      </w:pPr>
      <w:r w:rsidRPr="00895FA0">
        <w:rPr>
          <w:rFonts w:cs="Times New Roman"/>
        </w:rPr>
        <w:t>10.</w:t>
      </w:r>
      <w:r w:rsidRPr="00895FA0">
        <w:rPr>
          <w:rFonts w:cs="Times New Roman"/>
        </w:rPr>
        <w:tab/>
        <w:t xml:space="preserve">Gao, H., Cui, C., Wang, L., Jacobs-Lorena, M. &amp; Wang, S. Mosquito Microbiota and Implications for Disease Control. </w:t>
      </w:r>
      <w:r w:rsidRPr="00895FA0">
        <w:rPr>
          <w:rFonts w:cs="Times New Roman"/>
          <w:i/>
          <w:iCs/>
        </w:rPr>
        <w:t>Trends in Parasitology</w:t>
      </w:r>
      <w:r w:rsidRPr="00895FA0">
        <w:rPr>
          <w:rFonts w:cs="Times New Roman"/>
        </w:rPr>
        <w:t xml:space="preserve"> </w:t>
      </w:r>
      <w:r w:rsidRPr="00895FA0">
        <w:rPr>
          <w:rFonts w:cs="Times New Roman"/>
          <w:b/>
          <w:bCs/>
        </w:rPr>
        <w:t>36</w:t>
      </w:r>
      <w:r w:rsidRPr="00895FA0">
        <w:rPr>
          <w:rFonts w:cs="Times New Roman"/>
        </w:rPr>
        <w:t>, 98–111 (2020).</w:t>
      </w:r>
    </w:p>
    <w:p w14:paraId="3863CA8C" w14:textId="77777777" w:rsidR="00895FA0" w:rsidRPr="00895FA0" w:rsidRDefault="00895FA0" w:rsidP="00895FA0">
      <w:pPr>
        <w:pStyle w:val="Bibliography"/>
        <w:rPr>
          <w:rFonts w:cs="Times New Roman"/>
        </w:rPr>
      </w:pPr>
      <w:r w:rsidRPr="00895FA0">
        <w:rPr>
          <w:rFonts w:cs="Times New Roman"/>
        </w:rPr>
        <w:t>11.</w:t>
      </w:r>
      <w:r w:rsidRPr="00895FA0">
        <w:rPr>
          <w:rFonts w:cs="Times New Roman"/>
        </w:rPr>
        <w:tab/>
        <w:t xml:space="preserve">Oliver, K. M. &amp; Martinez, A. J. How resident microbes modulate ecologically-important traits of insects. </w:t>
      </w:r>
      <w:r w:rsidRPr="00895FA0">
        <w:rPr>
          <w:rFonts w:cs="Times New Roman"/>
          <w:i/>
          <w:iCs/>
        </w:rPr>
        <w:t>Current Opinion in Insect Science</w:t>
      </w:r>
      <w:r w:rsidRPr="00895FA0">
        <w:rPr>
          <w:rFonts w:cs="Times New Roman"/>
        </w:rPr>
        <w:t xml:space="preserve"> </w:t>
      </w:r>
      <w:r w:rsidRPr="00895FA0">
        <w:rPr>
          <w:rFonts w:cs="Times New Roman"/>
          <w:b/>
          <w:bCs/>
        </w:rPr>
        <w:t>4</w:t>
      </w:r>
      <w:r w:rsidRPr="00895FA0">
        <w:rPr>
          <w:rFonts w:cs="Times New Roman"/>
        </w:rPr>
        <w:t>, 1–7 (2014).</w:t>
      </w:r>
    </w:p>
    <w:p w14:paraId="675E2264" w14:textId="77777777" w:rsidR="00895FA0" w:rsidRPr="00895FA0" w:rsidRDefault="00895FA0" w:rsidP="00895FA0">
      <w:pPr>
        <w:pStyle w:val="Bibliography"/>
        <w:rPr>
          <w:rFonts w:cs="Times New Roman"/>
        </w:rPr>
      </w:pPr>
      <w:r w:rsidRPr="00895FA0">
        <w:rPr>
          <w:rFonts w:cs="Times New Roman"/>
        </w:rPr>
        <w:t>12.</w:t>
      </w:r>
      <w:r w:rsidRPr="00895FA0">
        <w:rPr>
          <w:rFonts w:cs="Times New Roman"/>
        </w:rPr>
        <w:tab/>
        <w:t xml:space="preserve">Telleria, E. L., Martins-da-Silva, A., Tempone, A. J. &amp; Traub-Csekö, Y. M. Leishmania, microbiota and sand fly immunity. </w:t>
      </w:r>
      <w:r w:rsidRPr="00895FA0">
        <w:rPr>
          <w:rFonts w:cs="Times New Roman"/>
          <w:i/>
          <w:iCs/>
        </w:rPr>
        <w:t>Parasitology</w:t>
      </w:r>
      <w:r w:rsidRPr="00895FA0">
        <w:rPr>
          <w:rFonts w:cs="Times New Roman"/>
        </w:rPr>
        <w:t xml:space="preserve"> </w:t>
      </w:r>
      <w:r w:rsidRPr="00895FA0">
        <w:rPr>
          <w:rFonts w:cs="Times New Roman"/>
          <w:b/>
          <w:bCs/>
        </w:rPr>
        <w:t>145</w:t>
      </w:r>
      <w:r w:rsidRPr="00895FA0">
        <w:rPr>
          <w:rFonts w:cs="Times New Roman"/>
        </w:rPr>
        <w:t>, 1336–1353 (2018).</w:t>
      </w:r>
    </w:p>
    <w:p w14:paraId="215A45C0" w14:textId="77777777" w:rsidR="00895FA0" w:rsidRPr="00895FA0" w:rsidRDefault="00895FA0" w:rsidP="00895FA0">
      <w:pPr>
        <w:pStyle w:val="Bibliography"/>
        <w:rPr>
          <w:rFonts w:cs="Times New Roman"/>
        </w:rPr>
      </w:pPr>
      <w:r w:rsidRPr="00895FA0">
        <w:rPr>
          <w:rFonts w:cs="Times New Roman"/>
        </w:rPr>
        <w:t>13.</w:t>
      </w:r>
      <w:r w:rsidRPr="00895FA0">
        <w:rPr>
          <w:rFonts w:cs="Times New Roman"/>
        </w:rPr>
        <w:tab/>
        <w:t xml:space="preserve">Weiss, B. &amp; Aksoy, S. Microbiome influences on insect host vector competence. </w:t>
      </w:r>
      <w:r w:rsidRPr="00895FA0">
        <w:rPr>
          <w:rFonts w:cs="Times New Roman"/>
          <w:i/>
          <w:iCs/>
        </w:rPr>
        <w:t>Trends in Parasitology</w:t>
      </w:r>
      <w:r w:rsidRPr="00895FA0">
        <w:rPr>
          <w:rFonts w:cs="Times New Roman"/>
        </w:rPr>
        <w:t xml:space="preserve"> </w:t>
      </w:r>
      <w:r w:rsidRPr="00895FA0">
        <w:rPr>
          <w:rFonts w:cs="Times New Roman"/>
          <w:b/>
          <w:bCs/>
        </w:rPr>
        <w:t>27</w:t>
      </w:r>
      <w:r w:rsidRPr="00895FA0">
        <w:rPr>
          <w:rFonts w:cs="Times New Roman"/>
        </w:rPr>
        <w:t>, 514–522 (2011).</w:t>
      </w:r>
    </w:p>
    <w:p w14:paraId="1F328E0D" w14:textId="77777777" w:rsidR="00895FA0" w:rsidRPr="00895FA0" w:rsidRDefault="00895FA0" w:rsidP="00895FA0">
      <w:pPr>
        <w:pStyle w:val="Bibliography"/>
        <w:rPr>
          <w:rFonts w:cs="Times New Roman"/>
        </w:rPr>
      </w:pPr>
      <w:r w:rsidRPr="00895FA0">
        <w:rPr>
          <w:rFonts w:cs="Times New Roman"/>
        </w:rPr>
        <w:t>14.</w:t>
      </w:r>
      <w:r w:rsidRPr="00895FA0">
        <w:rPr>
          <w:rFonts w:cs="Times New Roman"/>
        </w:rPr>
        <w:tab/>
        <w:t xml:space="preserve">Gaithuma, A. </w:t>
      </w:r>
      <w:r w:rsidRPr="00895FA0">
        <w:rPr>
          <w:rFonts w:cs="Times New Roman"/>
          <w:i/>
          <w:iCs/>
        </w:rPr>
        <w:t>et al.</w:t>
      </w:r>
      <w:r w:rsidRPr="00895FA0">
        <w:rPr>
          <w:rFonts w:cs="Times New Roman"/>
        </w:rPr>
        <w:t xml:space="preserve"> Blood meal sources and bacterial microbiome diversity in wild-caught tsetse flies. </w:t>
      </w:r>
      <w:r w:rsidRPr="00895FA0">
        <w:rPr>
          <w:rFonts w:cs="Times New Roman"/>
          <w:i/>
          <w:iCs/>
        </w:rPr>
        <w:t>Sci Rep</w:t>
      </w:r>
      <w:r w:rsidRPr="00895FA0">
        <w:rPr>
          <w:rFonts w:cs="Times New Roman"/>
        </w:rPr>
        <w:t xml:space="preserve"> </w:t>
      </w:r>
      <w:r w:rsidRPr="00895FA0">
        <w:rPr>
          <w:rFonts w:cs="Times New Roman"/>
          <w:b/>
          <w:bCs/>
        </w:rPr>
        <w:t>10</w:t>
      </w:r>
      <w:r w:rsidRPr="00895FA0">
        <w:rPr>
          <w:rFonts w:cs="Times New Roman"/>
        </w:rPr>
        <w:t>, 5005 (2020).</w:t>
      </w:r>
    </w:p>
    <w:p w14:paraId="71803E25" w14:textId="77777777" w:rsidR="00895FA0" w:rsidRPr="00895FA0" w:rsidRDefault="00895FA0" w:rsidP="00895FA0">
      <w:pPr>
        <w:pStyle w:val="Bibliography"/>
        <w:rPr>
          <w:rFonts w:cs="Times New Roman"/>
        </w:rPr>
      </w:pPr>
      <w:r w:rsidRPr="00895FA0">
        <w:rPr>
          <w:rFonts w:cs="Times New Roman"/>
        </w:rPr>
        <w:t>15.</w:t>
      </w:r>
      <w:r w:rsidRPr="00895FA0">
        <w:rPr>
          <w:rFonts w:cs="Times New Roman"/>
        </w:rPr>
        <w:tab/>
        <w:t xml:space="preserve">Landesman, W. J. </w:t>
      </w:r>
      <w:r w:rsidRPr="00895FA0">
        <w:rPr>
          <w:rFonts w:cs="Times New Roman"/>
          <w:i/>
          <w:iCs/>
        </w:rPr>
        <w:t>et al.</w:t>
      </w:r>
      <w:r w:rsidRPr="00895FA0">
        <w:rPr>
          <w:rFonts w:cs="Times New Roman"/>
        </w:rPr>
        <w:t xml:space="preserve"> Potential effects of blood meal host on bacterial community composition in Ixodes scapularis nymphs. </w:t>
      </w:r>
      <w:r w:rsidRPr="00895FA0">
        <w:rPr>
          <w:rFonts w:cs="Times New Roman"/>
          <w:i/>
          <w:iCs/>
        </w:rPr>
        <w:t>Ticks and Tick-borne Diseases</w:t>
      </w:r>
      <w:r w:rsidRPr="00895FA0">
        <w:rPr>
          <w:rFonts w:cs="Times New Roman"/>
        </w:rPr>
        <w:t xml:space="preserve"> </w:t>
      </w:r>
      <w:r w:rsidRPr="00895FA0">
        <w:rPr>
          <w:rFonts w:cs="Times New Roman"/>
          <w:b/>
          <w:bCs/>
        </w:rPr>
        <w:t>10</w:t>
      </w:r>
      <w:r w:rsidRPr="00895FA0">
        <w:rPr>
          <w:rFonts w:cs="Times New Roman"/>
        </w:rPr>
        <w:t>, 523–527 (2019).</w:t>
      </w:r>
    </w:p>
    <w:p w14:paraId="5FDCFED6" w14:textId="77777777" w:rsidR="00895FA0" w:rsidRPr="00895FA0" w:rsidRDefault="00895FA0" w:rsidP="00895FA0">
      <w:pPr>
        <w:pStyle w:val="Bibliography"/>
        <w:rPr>
          <w:rFonts w:cs="Times New Roman"/>
        </w:rPr>
      </w:pPr>
      <w:r w:rsidRPr="00895FA0">
        <w:rPr>
          <w:rFonts w:cs="Times New Roman"/>
        </w:rPr>
        <w:t>16.</w:t>
      </w:r>
      <w:r w:rsidRPr="00895FA0">
        <w:rPr>
          <w:rFonts w:cs="Times New Roman"/>
        </w:rPr>
        <w:tab/>
        <w:t xml:space="preserve">Muturi, E. J., Njoroge, T. M., Dunlap, C. &amp; Cáceres, C. E. Blood meal source and mixed blood-feeding influence gut bacterial community composition in Aedes aegypti. </w:t>
      </w:r>
      <w:r w:rsidRPr="00895FA0">
        <w:rPr>
          <w:rFonts w:cs="Times New Roman"/>
          <w:i/>
          <w:iCs/>
        </w:rPr>
        <w:t>Parasites Vectors</w:t>
      </w:r>
      <w:r w:rsidRPr="00895FA0">
        <w:rPr>
          <w:rFonts w:cs="Times New Roman"/>
        </w:rPr>
        <w:t xml:space="preserve"> </w:t>
      </w:r>
      <w:r w:rsidRPr="00895FA0">
        <w:rPr>
          <w:rFonts w:cs="Times New Roman"/>
          <w:b/>
          <w:bCs/>
        </w:rPr>
        <w:t>14</w:t>
      </w:r>
      <w:r w:rsidRPr="00895FA0">
        <w:rPr>
          <w:rFonts w:cs="Times New Roman"/>
        </w:rPr>
        <w:t>, 83 (2021).</w:t>
      </w:r>
    </w:p>
    <w:p w14:paraId="3C293913" w14:textId="77777777" w:rsidR="00895FA0" w:rsidRPr="00895FA0" w:rsidRDefault="00895FA0" w:rsidP="00895FA0">
      <w:pPr>
        <w:pStyle w:val="Bibliography"/>
        <w:rPr>
          <w:rFonts w:cs="Times New Roman"/>
        </w:rPr>
      </w:pPr>
      <w:r w:rsidRPr="00895FA0">
        <w:rPr>
          <w:rFonts w:cs="Times New Roman"/>
        </w:rPr>
        <w:t>17.</w:t>
      </w:r>
      <w:r w:rsidRPr="00895FA0">
        <w:rPr>
          <w:rFonts w:cs="Times New Roman"/>
        </w:rPr>
        <w:tab/>
        <w:t xml:space="preserve">Swei, A. &amp; Kwan, J. Y. Tick microbiome and pathogen acquisition altered by host blood meal. </w:t>
      </w:r>
      <w:r w:rsidRPr="00895FA0">
        <w:rPr>
          <w:rFonts w:cs="Times New Roman"/>
          <w:i/>
          <w:iCs/>
        </w:rPr>
        <w:t>The ISME Journal</w:t>
      </w:r>
      <w:r w:rsidRPr="00895FA0">
        <w:rPr>
          <w:rFonts w:cs="Times New Roman"/>
        </w:rPr>
        <w:t xml:space="preserve"> </w:t>
      </w:r>
      <w:r w:rsidRPr="00895FA0">
        <w:rPr>
          <w:rFonts w:cs="Times New Roman"/>
          <w:b/>
          <w:bCs/>
        </w:rPr>
        <w:t>11</w:t>
      </w:r>
      <w:r w:rsidRPr="00895FA0">
        <w:rPr>
          <w:rFonts w:cs="Times New Roman"/>
        </w:rPr>
        <w:t>, 813–816 (2017).</w:t>
      </w:r>
    </w:p>
    <w:p w14:paraId="147F65DF" w14:textId="77777777" w:rsidR="00895FA0" w:rsidRPr="00895FA0" w:rsidRDefault="00895FA0" w:rsidP="00895FA0">
      <w:pPr>
        <w:pStyle w:val="Bibliography"/>
        <w:rPr>
          <w:rFonts w:cs="Times New Roman"/>
        </w:rPr>
      </w:pPr>
      <w:r w:rsidRPr="00895FA0">
        <w:rPr>
          <w:rFonts w:cs="Times New Roman"/>
        </w:rPr>
        <w:t>18.</w:t>
      </w:r>
      <w:r w:rsidRPr="00895FA0">
        <w:rPr>
          <w:rFonts w:cs="Times New Roman"/>
        </w:rPr>
        <w:tab/>
        <w:t xml:space="preserve">Onyango, G. M. </w:t>
      </w:r>
      <w:r w:rsidRPr="00895FA0">
        <w:rPr>
          <w:rFonts w:cs="Times New Roman"/>
          <w:i/>
          <w:iCs/>
        </w:rPr>
        <w:t>et al.</w:t>
      </w:r>
      <w:r w:rsidRPr="00895FA0">
        <w:rPr>
          <w:rFonts w:cs="Times New Roman"/>
        </w:rPr>
        <w:t xml:space="preserve"> Increase in temperature enriches heat tolerant taxa in Aedes aegypti midguts. </w:t>
      </w:r>
      <w:r w:rsidRPr="00895FA0">
        <w:rPr>
          <w:rFonts w:cs="Times New Roman"/>
          <w:i/>
          <w:iCs/>
        </w:rPr>
        <w:t>Sci Rep</w:t>
      </w:r>
      <w:r w:rsidRPr="00895FA0">
        <w:rPr>
          <w:rFonts w:cs="Times New Roman"/>
        </w:rPr>
        <w:t xml:space="preserve"> </w:t>
      </w:r>
      <w:r w:rsidRPr="00895FA0">
        <w:rPr>
          <w:rFonts w:cs="Times New Roman"/>
          <w:b/>
          <w:bCs/>
        </w:rPr>
        <w:t>10</w:t>
      </w:r>
      <w:r w:rsidRPr="00895FA0">
        <w:rPr>
          <w:rFonts w:cs="Times New Roman"/>
        </w:rPr>
        <w:t>, 19135 (2020).</w:t>
      </w:r>
    </w:p>
    <w:p w14:paraId="7673D8ED" w14:textId="77777777" w:rsidR="00895FA0" w:rsidRPr="00895FA0" w:rsidRDefault="00895FA0" w:rsidP="00895FA0">
      <w:pPr>
        <w:pStyle w:val="Bibliography"/>
        <w:rPr>
          <w:rFonts w:cs="Times New Roman"/>
        </w:rPr>
      </w:pPr>
      <w:r w:rsidRPr="00895FA0">
        <w:rPr>
          <w:rFonts w:cs="Times New Roman"/>
        </w:rPr>
        <w:lastRenderedPageBreak/>
        <w:t>19.</w:t>
      </w:r>
      <w:r w:rsidRPr="00895FA0">
        <w:rPr>
          <w:rFonts w:cs="Times New Roman"/>
        </w:rPr>
        <w:tab/>
        <w:t xml:space="preserve">Fredensborg, B. L. &amp; Fossdal, I. Parasites modulate the gut-microbiome in insects: A proof-of-concept study. </w:t>
      </w:r>
      <w:r w:rsidRPr="00895FA0">
        <w:rPr>
          <w:rFonts w:cs="Times New Roman"/>
          <w:i/>
          <w:iCs/>
        </w:rPr>
        <w:t>PLOS ONE</w:t>
      </w:r>
      <w:r w:rsidRPr="00895FA0">
        <w:rPr>
          <w:rFonts w:cs="Times New Roman"/>
        </w:rPr>
        <w:t xml:space="preserve"> 18 (2019).</w:t>
      </w:r>
    </w:p>
    <w:p w14:paraId="5555EFC9" w14:textId="77777777" w:rsidR="00895FA0" w:rsidRPr="00895FA0" w:rsidRDefault="00895FA0" w:rsidP="00895FA0">
      <w:pPr>
        <w:pStyle w:val="Bibliography"/>
        <w:rPr>
          <w:rFonts w:cs="Times New Roman"/>
        </w:rPr>
      </w:pPr>
      <w:r w:rsidRPr="00895FA0">
        <w:rPr>
          <w:rFonts w:cs="Times New Roman"/>
        </w:rPr>
        <w:t>20.</w:t>
      </w:r>
      <w:r w:rsidRPr="00895FA0">
        <w:rPr>
          <w:rFonts w:cs="Times New Roman"/>
        </w:rPr>
        <w:tab/>
        <w:t xml:space="preserve">Zouache, K., Michelland, R. J., Failloux, A.-B., Grundmann, G. L. &amp; Mavingui, P. Chikungunya virus impacts the diversity of symbiotic bacteria in mosquito vector: VIRUS AND BACTERIAL DYNAMICS IN MOSQUITO. </w:t>
      </w:r>
      <w:r w:rsidRPr="00895FA0">
        <w:rPr>
          <w:rFonts w:cs="Times New Roman"/>
          <w:i/>
          <w:iCs/>
        </w:rPr>
        <w:t>Molecular Ecology</w:t>
      </w:r>
      <w:r w:rsidRPr="00895FA0">
        <w:rPr>
          <w:rFonts w:cs="Times New Roman"/>
        </w:rPr>
        <w:t xml:space="preserve"> </w:t>
      </w:r>
      <w:r w:rsidRPr="00895FA0">
        <w:rPr>
          <w:rFonts w:cs="Times New Roman"/>
          <w:b/>
          <w:bCs/>
        </w:rPr>
        <w:t>21</w:t>
      </w:r>
      <w:r w:rsidRPr="00895FA0">
        <w:rPr>
          <w:rFonts w:cs="Times New Roman"/>
        </w:rPr>
        <w:t>, 2297–2309 (2012).</w:t>
      </w:r>
    </w:p>
    <w:p w14:paraId="5CDCDD3E" w14:textId="77777777" w:rsidR="00895FA0" w:rsidRPr="00895FA0" w:rsidRDefault="00895FA0" w:rsidP="00895FA0">
      <w:pPr>
        <w:pStyle w:val="Bibliography"/>
        <w:rPr>
          <w:rFonts w:cs="Times New Roman"/>
        </w:rPr>
      </w:pPr>
      <w:r w:rsidRPr="00895FA0">
        <w:rPr>
          <w:rFonts w:cs="Times New Roman"/>
        </w:rPr>
        <w:t>21.</w:t>
      </w:r>
      <w:r w:rsidRPr="00895FA0">
        <w:rPr>
          <w:rFonts w:cs="Times New Roman"/>
        </w:rPr>
        <w:tab/>
        <w:t xml:space="preserve">Sarma, D. K. </w:t>
      </w:r>
      <w:r w:rsidRPr="00895FA0">
        <w:rPr>
          <w:rFonts w:cs="Times New Roman"/>
          <w:i/>
          <w:iCs/>
        </w:rPr>
        <w:t>et al.</w:t>
      </w:r>
      <w:r w:rsidRPr="00895FA0">
        <w:rPr>
          <w:rFonts w:cs="Times New Roman"/>
        </w:rPr>
        <w:t xml:space="preserve"> Influence of Host Blood Meal Source on Gut Microbiota of Wild Caught Aedes aegypti, a Dominant Arboviral Disease Vector. </w:t>
      </w:r>
      <w:r w:rsidRPr="00895FA0">
        <w:rPr>
          <w:rFonts w:cs="Times New Roman"/>
          <w:i/>
          <w:iCs/>
        </w:rPr>
        <w:t>Microorganisms</w:t>
      </w:r>
      <w:r w:rsidRPr="00895FA0">
        <w:rPr>
          <w:rFonts w:cs="Times New Roman"/>
        </w:rPr>
        <w:t xml:space="preserve"> </w:t>
      </w:r>
      <w:r w:rsidRPr="00895FA0">
        <w:rPr>
          <w:rFonts w:cs="Times New Roman"/>
          <w:b/>
          <w:bCs/>
        </w:rPr>
        <w:t>10</w:t>
      </w:r>
      <w:r w:rsidRPr="00895FA0">
        <w:rPr>
          <w:rFonts w:cs="Times New Roman"/>
        </w:rPr>
        <w:t>, 332 (2022).</w:t>
      </w:r>
    </w:p>
    <w:p w14:paraId="20206A98" w14:textId="77777777" w:rsidR="00895FA0" w:rsidRPr="00895FA0" w:rsidRDefault="00895FA0" w:rsidP="00895FA0">
      <w:pPr>
        <w:pStyle w:val="Bibliography"/>
        <w:rPr>
          <w:rFonts w:cs="Times New Roman"/>
        </w:rPr>
      </w:pPr>
      <w:r w:rsidRPr="00895FA0">
        <w:rPr>
          <w:rFonts w:cs="Times New Roman"/>
        </w:rPr>
        <w:t>22.</w:t>
      </w:r>
      <w:r w:rsidRPr="00895FA0">
        <w:rPr>
          <w:rFonts w:cs="Times New Roman"/>
        </w:rPr>
        <w:tab/>
        <w:t xml:space="preserve">Hussain, M. </w:t>
      </w:r>
      <w:r w:rsidRPr="00895FA0">
        <w:rPr>
          <w:rFonts w:cs="Times New Roman"/>
          <w:i/>
          <w:iCs/>
        </w:rPr>
        <w:t>et al.</w:t>
      </w:r>
      <w:r w:rsidRPr="00895FA0">
        <w:rPr>
          <w:rFonts w:cs="Times New Roman"/>
        </w:rPr>
        <w:t xml:space="preserve"> Effects of different temperature regimes on survival of </w:t>
      </w:r>
      <w:r w:rsidRPr="00895FA0">
        <w:rPr>
          <w:rFonts w:cs="Times New Roman"/>
          <w:i/>
          <w:iCs/>
        </w:rPr>
        <w:t>Diaphorina citri</w:t>
      </w:r>
      <w:r w:rsidRPr="00895FA0">
        <w:rPr>
          <w:rFonts w:cs="Times New Roman"/>
        </w:rPr>
        <w:t xml:space="preserve"> and its endosymbiotic bacterial communities: Effect of Temperature on the </w:t>
      </w:r>
      <w:r w:rsidRPr="00895FA0">
        <w:rPr>
          <w:rFonts w:cs="Times New Roman"/>
          <w:i/>
          <w:iCs/>
        </w:rPr>
        <w:t>Diaphorina citri</w:t>
      </w:r>
      <w:r w:rsidRPr="00895FA0">
        <w:rPr>
          <w:rFonts w:cs="Times New Roman"/>
        </w:rPr>
        <w:t xml:space="preserve"> Symbionts. </w:t>
      </w:r>
      <w:r w:rsidRPr="00895FA0">
        <w:rPr>
          <w:rFonts w:cs="Times New Roman"/>
          <w:i/>
          <w:iCs/>
        </w:rPr>
        <w:t>Environ Microbiol</w:t>
      </w:r>
      <w:r w:rsidRPr="00895FA0">
        <w:rPr>
          <w:rFonts w:cs="Times New Roman"/>
        </w:rPr>
        <w:t xml:space="preserve"> </w:t>
      </w:r>
      <w:r w:rsidRPr="00895FA0">
        <w:rPr>
          <w:rFonts w:cs="Times New Roman"/>
          <w:b/>
          <w:bCs/>
        </w:rPr>
        <w:t>19</w:t>
      </w:r>
      <w:r w:rsidRPr="00895FA0">
        <w:rPr>
          <w:rFonts w:cs="Times New Roman"/>
        </w:rPr>
        <w:t>, 3439–3449 (2017).</w:t>
      </w:r>
    </w:p>
    <w:p w14:paraId="16A5FF3F" w14:textId="77777777" w:rsidR="00895FA0" w:rsidRPr="00895FA0" w:rsidRDefault="00895FA0" w:rsidP="00895FA0">
      <w:pPr>
        <w:pStyle w:val="Bibliography"/>
        <w:rPr>
          <w:rFonts w:cs="Times New Roman"/>
        </w:rPr>
      </w:pPr>
      <w:r w:rsidRPr="00895FA0">
        <w:rPr>
          <w:rFonts w:cs="Times New Roman"/>
        </w:rPr>
        <w:t>23.</w:t>
      </w:r>
      <w:r w:rsidRPr="00895FA0">
        <w:rPr>
          <w:rFonts w:cs="Times New Roman"/>
        </w:rPr>
        <w:tab/>
        <w:t xml:space="preserve">Díaz, S., Villavicencio, B., Correia, N., Costa, J. &amp; Haag, K. L. Triatomine bugs, their microbiota and Trypanosoma cruzi: asymmetric responses of bacteria to an infected blood meal. </w:t>
      </w:r>
      <w:r w:rsidRPr="00895FA0">
        <w:rPr>
          <w:rFonts w:cs="Times New Roman"/>
          <w:i/>
          <w:iCs/>
        </w:rPr>
        <w:t>Parasites Vectors</w:t>
      </w:r>
      <w:r w:rsidRPr="00895FA0">
        <w:rPr>
          <w:rFonts w:cs="Times New Roman"/>
        </w:rPr>
        <w:t xml:space="preserve"> </w:t>
      </w:r>
      <w:r w:rsidRPr="00895FA0">
        <w:rPr>
          <w:rFonts w:cs="Times New Roman"/>
          <w:b/>
          <w:bCs/>
        </w:rPr>
        <w:t>9</w:t>
      </w:r>
      <w:r w:rsidRPr="00895FA0">
        <w:rPr>
          <w:rFonts w:cs="Times New Roman"/>
        </w:rPr>
        <w:t>, 636 (2016).</w:t>
      </w:r>
    </w:p>
    <w:p w14:paraId="793DC5F0" w14:textId="77777777" w:rsidR="00895FA0" w:rsidRPr="00895FA0" w:rsidRDefault="00895FA0" w:rsidP="00895FA0">
      <w:pPr>
        <w:pStyle w:val="Bibliography"/>
        <w:rPr>
          <w:rFonts w:cs="Times New Roman"/>
        </w:rPr>
      </w:pPr>
      <w:r w:rsidRPr="00895FA0">
        <w:rPr>
          <w:rFonts w:cs="Times New Roman"/>
        </w:rPr>
        <w:t>24.</w:t>
      </w:r>
      <w:r w:rsidRPr="00895FA0">
        <w:rPr>
          <w:rFonts w:cs="Times New Roman"/>
        </w:rPr>
        <w:tab/>
        <w:t xml:space="preserve">Mann, A. E. </w:t>
      </w:r>
      <w:r w:rsidRPr="00895FA0">
        <w:rPr>
          <w:rFonts w:cs="Times New Roman"/>
          <w:i/>
          <w:iCs/>
        </w:rPr>
        <w:t>et al.</w:t>
      </w:r>
      <w:r w:rsidRPr="00895FA0">
        <w:rPr>
          <w:rFonts w:cs="Times New Roman"/>
        </w:rPr>
        <w:t xml:space="preserve"> Comparison of the Bacterial Gut Microbiome of North American Triatoma spp. With and Without Trypanosoma cruzi. </w:t>
      </w:r>
      <w:r w:rsidRPr="00895FA0">
        <w:rPr>
          <w:rFonts w:cs="Times New Roman"/>
          <w:i/>
          <w:iCs/>
        </w:rPr>
        <w:t>Frontiers in Microbiology</w:t>
      </w:r>
      <w:r w:rsidRPr="00895FA0">
        <w:rPr>
          <w:rFonts w:cs="Times New Roman"/>
        </w:rPr>
        <w:t xml:space="preserve"> </w:t>
      </w:r>
      <w:r w:rsidRPr="00895FA0">
        <w:rPr>
          <w:rFonts w:cs="Times New Roman"/>
          <w:b/>
          <w:bCs/>
        </w:rPr>
        <w:t>11</w:t>
      </w:r>
      <w:r w:rsidRPr="00895FA0">
        <w:rPr>
          <w:rFonts w:cs="Times New Roman"/>
        </w:rPr>
        <w:t>, (2020).</w:t>
      </w:r>
    </w:p>
    <w:p w14:paraId="51DF6EEA" w14:textId="77777777" w:rsidR="00895FA0" w:rsidRPr="00895FA0" w:rsidRDefault="00895FA0" w:rsidP="00895FA0">
      <w:pPr>
        <w:pStyle w:val="Bibliography"/>
        <w:rPr>
          <w:rFonts w:cs="Times New Roman"/>
        </w:rPr>
      </w:pPr>
      <w:r w:rsidRPr="00895FA0">
        <w:rPr>
          <w:rFonts w:cs="Times New Roman"/>
        </w:rPr>
        <w:t>25.</w:t>
      </w:r>
      <w:r w:rsidRPr="00895FA0">
        <w:rPr>
          <w:rFonts w:cs="Times New Roman"/>
        </w:rPr>
        <w:tab/>
        <w:t xml:space="preserve">Murillo, T., Schneider, D., Fichtel, C. &amp; Daniel, R. Dietary shifts and social interactions drive temporal fluctuations of the gut microbiome from wild redfronted lemurs. </w:t>
      </w:r>
      <w:r w:rsidRPr="00895FA0">
        <w:rPr>
          <w:rFonts w:cs="Times New Roman"/>
          <w:i/>
          <w:iCs/>
        </w:rPr>
        <w:t>ISME COMMUN.</w:t>
      </w:r>
      <w:r w:rsidRPr="00895FA0">
        <w:rPr>
          <w:rFonts w:cs="Times New Roman"/>
        </w:rPr>
        <w:t xml:space="preserve"> </w:t>
      </w:r>
      <w:r w:rsidRPr="00895FA0">
        <w:rPr>
          <w:rFonts w:cs="Times New Roman"/>
          <w:b/>
          <w:bCs/>
        </w:rPr>
        <w:t>2</w:t>
      </w:r>
      <w:r w:rsidRPr="00895FA0">
        <w:rPr>
          <w:rFonts w:cs="Times New Roman"/>
        </w:rPr>
        <w:t>, 3 (2022).</w:t>
      </w:r>
    </w:p>
    <w:p w14:paraId="03AEE20D" w14:textId="77777777" w:rsidR="00895FA0" w:rsidRPr="00895FA0" w:rsidRDefault="00895FA0" w:rsidP="00895FA0">
      <w:pPr>
        <w:pStyle w:val="Bibliography"/>
        <w:rPr>
          <w:rFonts w:cs="Times New Roman"/>
        </w:rPr>
      </w:pPr>
      <w:r w:rsidRPr="00895FA0">
        <w:rPr>
          <w:rFonts w:cs="Times New Roman"/>
        </w:rPr>
        <w:t>26.</w:t>
      </w:r>
      <w:r w:rsidRPr="00895FA0">
        <w:rPr>
          <w:rFonts w:cs="Times New Roman"/>
        </w:rPr>
        <w:tab/>
        <w:t xml:space="preserve">Orantes, L. C. </w:t>
      </w:r>
      <w:r w:rsidRPr="00895FA0">
        <w:rPr>
          <w:rFonts w:cs="Times New Roman"/>
          <w:i/>
          <w:iCs/>
        </w:rPr>
        <w:t>et al.</w:t>
      </w:r>
      <w:r w:rsidRPr="00895FA0">
        <w:rPr>
          <w:rFonts w:cs="Times New Roman"/>
        </w:rPr>
        <w:t xml:space="preserve"> Uncovering vector, parasite, blood meal and microbiome patterns from mixed-DNA specimens of the Chagas disease vector Triatoma dimidiata. </w:t>
      </w:r>
      <w:r w:rsidRPr="00895FA0">
        <w:rPr>
          <w:rFonts w:cs="Times New Roman"/>
          <w:i/>
          <w:iCs/>
        </w:rPr>
        <w:t>PLoS Negl Trop Dis</w:t>
      </w:r>
      <w:r w:rsidRPr="00895FA0">
        <w:rPr>
          <w:rFonts w:cs="Times New Roman"/>
        </w:rPr>
        <w:t xml:space="preserve"> </w:t>
      </w:r>
      <w:r w:rsidRPr="00895FA0">
        <w:rPr>
          <w:rFonts w:cs="Times New Roman"/>
          <w:b/>
          <w:bCs/>
        </w:rPr>
        <w:t>12</w:t>
      </w:r>
      <w:r w:rsidRPr="00895FA0">
        <w:rPr>
          <w:rFonts w:cs="Times New Roman"/>
        </w:rPr>
        <w:t>, e0006730 (2018).</w:t>
      </w:r>
    </w:p>
    <w:p w14:paraId="6722B46F" w14:textId="77777777" w:rsidR="00895FA0" w:rsidRPr="00895FA0" w:rsidRDefault="00895FA0" w:rsidP="00895FA0">
      <w:pPr>
        <w:pStyle w:val="Bibliography"/>
        <w:rPr>
          <w:rFonts w:cs="Times New Roman"/>
        </w:rPr>
      </w:pPr>
      <w:r w:rsidRPr="00895FA0">
        <w:rPr>
          <w:rFonts w:cs="Times New Roman"/>
        </w:rPr>
        <w:lastRenderedPageBreak/>
        <w:t>27.</w:t>
      </w:r>
      <w:r w:rsidRPr="00895FA0">
        <w:rPr>
          <w:rFonts w:cs="Times New Roman"/>
        </w:rPr>
        <w:tab/>
        <w:t xml:space="preserve">Faircloth, B. C. &amp; Glenn, T. C. Not All Sequence Tags Are Created Equal: Designing and Validating Sequence Identification Tags Robust to Indels. </w:t>
      </w:r>
      <w:r w:rsidRPr="00895FA0">
        <w:rPr>
          <w:rFonts w:cs="Times New Roman"/>
          <w:i/>
          <w:iCs/>
        </w:rPr>
        <w:t>PLoS ONE</w:t>
      </w:r>
      <w:r w:rsidRPr="00895FA0">
        <w:rPr>
          <w:rFonts w:cs="Times New Roman"/>
        </w:rPr>
        <w:t xml:space="preserve"> </w:t>
      </w:r>
      <w:r w:rsidRPr="00895FA0">
        <w:rPr>
          <w:rFonts w:cs="Times New Roman"/>
          <w:b/>
          <w:bCs/>
        </w:rPr>
        <w:t>7</w:t>
      </w:r>
      <w:r w:rsidRPr="00895FA0">
        <w:rPr>
          <w:rFonts w:cs="Times New Roman"/>
        </w:rPr>
        <w:t>, e42543 (2012).</w:t>
      </w:r>
    </w:p>
    <w:p w14:paraId="3970EA81" w14:textId="77777777" w:rsidR="00895FA0" w:rsidRPr="00895FA0" w:rsidRDefault="00895FA0" w:rsidP="00895FA0">
      <w:pPr>
        <w:pStyle w:val="Bibliography"/>
        <w:rPr>
          <w:rFonts w:cs="Times New Roman"/>
        </w:rPr>
      </w:pPr>
      <w:r w:rsidRPr="00895FA0">
        <w:rPr>
          <w:rFonts w:cs="Times New Roman"/>
        </w:rPr>
        <w:t>28.</w:t>
      </w:r>
      <w:r w:rsidRPr="00895FA0">
        <w:rPr>
          <w:rFonts w:cs="Times New Roman"/>
        </w:rPr>
        <w:tab/>
        <w:t xml:space="preserve">Kieran, T. J. </w:t>
      </w:r>
      <w:r w:rsidRPr="00895FA0">
        <w:rPr>
          <w:rFonts w:cs="Times New Roman"/>
          <w:i/>
          <w:iCs/>
        </w:rPr>
        <w:t>et al.</w:t>
      </w:r>
      <w:r w:rsidRPr="00895FA0">
        <w:rPr>
          <w:rFonts w:cs="Times New Roman"/>
        </w:rPr>
        <w:t xml:space="preserve"> Regional biogeography of microbiota composition in the Chagas disease vector Rhodnius pallescens. </w:t>
      </w:r>
      <w:r w:rsidRPr="00895FA0">
        <w:rPr>
          <w:rFonts w:cs="Times New Roman"/>
          <w:i/>
          <w:iCs/>
        </w:rPr>
        <w:t>Parasites Vectors</w:t>
      </w:r>
      <w:r w:rsidRPr="00895FA0">
        <w:rPr>
          <w:rFonts w:cs="Times New Roman"/>
        </w:rPr>
        <w:t xml:space="preserve"> </w:t>
      </w:r>
      <w:r w:rsidRPr="00895FA0">
        <w:rPr>
          <w:rFonts w:cs="Times New Roman"/>
          <w:b/>
          <w:bCs/>
        </w:rPr>
        <w:t>12</w:t>
      </w:r>
      <w:r w:rsidRPr="00895FA0">
        <w:rPr>
          <w:rFonts w:cs="Times New Roman"/>
        </w:rPr>
        <w:t>, 504 (2019).</w:t>
      </w:r>
    </w:p>
    <w:p w14:paraId="3BE12B15" w14:textId="77777777" w:rsidR="00895FA0" w:rsidRPr="00895FA0" w:rsidRDefault="00895FA0" w:rsidP="00895FA0">
      <w:pPr>
        <w:pStyle w:val="Bibliography"/>
        <w:rPr>
          <w:rFonts w:cs="Times New Roman"/>
        </w:rPr>
      </w:pPr>
      <w:r w:rsidRPr="00895FA0">
        <w:rPr>
          <w:rFonts w:cs="Times New Roman"/>
        </w:rPr>
        <w:t>29.</w:t>
      </w:r>
      <w:r w:rsidRPr="00895FA0">
        <w:rPr>
          <w:rFonts w:cs="Times New Roman"/>
        </w:rPr>
        <w:tab/>
        <w:t xml:space="preserve">Kieran, T. J. </w:t>
      </w:r>
      <w:r w:rsidRPr="00895FA0">
        <w:rPr>
          <w:rFonts w:cs="Times New Roman"/>
          <w:i/>
          <w:iCs/>
        </w:rPr>
        <w:t>et al.</w:t>
      </w:r>
      <w:r w:rsidRPr="00895FA0">
        <w:rPr>
          <w:rFonts w:cs="Times New Roman"/>
        </w:rPr>
        <w:t xml:space="preserve"> Blood Meal Source Characterization Using Illumina Sequencing in the Chagas Disease Vector Rhodnius pallescens (Hemiptera: Reduviidae) in Panamá. </w:t>
      </w:r>
      <w:r w:rsidRPr="00895FA0">
        <w:rPr>
          <w:rFonts w:cs="Times New Roman"/>
          <w:i/>
          <w:iCs/>
        </w:rPr>
        <w:t>Journal of Medical Entomology</w:t>
      </w:r>
      <w:r w:rsidRPr="00895FA0">
        <w:rPr>
          <w:rFonts w:cs="Times New Roman"/>
        </w:rPr>
        <w:t xml:space="preserve"> </w:t>
      </w:r>
      <w:r w:rsidRPr="00895FA0">
        <w:rPr>
          <w:rFonts w:cs="Times New Roman"/>
          <w:b/>
          <w:bCs/>
        </w:rPr>
        <w:t>54</w:t>
      </w:r>
      <w:r w:rsidRPr="00895FA0">
        <w:rPr>
          <w:rFonts w:cs="Times New Roman"/>
        </w:rPr>
        <w:t>, 1786–1789 (2017).</w:t>
      </w:r>
    </w:p>
    <w:p w14:paraId="483EA4C3" w14:textId="77777777" w:rsidR="00895FA0" w:rsidRPr="00895FA0" w:rsidRDefault="00895FA0" w:rsidP="00895FA0">
      <w:pPr>
        <w:pStyle w:val="Bibliography"/>
        <w:rPr>
          <w:rFonts w:cs="Times New Roman"/>
        </w:rPr>
      </w:pPr>
      <w:r w:rsidRPr="00895FA0">
        <w:rPr>
          <w:rFonts w:cs="Times New Roman"/>
        </w:rPr>
        <w:t>30.</w:t>
      </w:r>
      <w:r w:rsidRPr="00895FA0">
        <w:rPr>
          <w:rFonts w:cs="Times New Roman"/>
        </w:rPr>
        <w:tab/>
        <w:t xml:space="preserve">Bolyen, E. </w:t>
      </w:r>
      <w:r w:rsidRPr="00895FA0">
        <w:rPr>
          <w:rFonts w:cs="Times New Roman"/>
          <w:i/>
          <w:iCs/>
        </w:rPr>
        <w:t>et al.</w:t>
      </w:r>
      <w:r w:rsidRPr="00895FA0">
        <w:rPr>
          <w:rFonts w:cs="Times New Roman"/>
        </w:rPr>
        <w:t xml:space="preserve"> Reproducible, interactive, scalable and extensible microbiome data science using QIIME 2. </w:t>
      </w:r>
      <w:r w:rsidRPr="00895FA0">
        <w:rPr>
          <w:rFonts w:cs="Times New Roman"/>
          <w:i/>
          <w:iCs/>
        </w:rPr>
        <w:t>Nature Biotechnology</w:t>
      </w:r>
      <w:r w:rsidRPr="00895FA0">
        <w:rPr>
          <w:rFonts w:cs="Times New Roman"/>
        </w:rPr>
        <w:t xml:space="preserve"> </w:t>
      </w:r>
      <w:r w:rsidRPr="00895FA0">
        <w:rPr>
          <w:rFonts w:cs="Times New Roman"/>
          <w:b/>
          <w:bCs/>
        </w:rPr>
        <w:t>37</w:t>
      </w:r>
      <w:r w:rsidRPr="00895FA0">
        <w:rPr>
          <w:rFonts w:cs="Times New Roman"/>
        </w:rPr>
        <w:t>, 852–857 (2019).</w:t>
      </w:r>
    </w:p>
    <w:p w14:paraId="2643A867" w14:textId="77777777" w:rsidR="00895FA0" w:rsidRPr="00895FA0" w:rsidRDefault="00895FA0" w:rsidP="00895FA0">
      <w:pPr>
        <w:pStyle w:val="Bibliography"/>
        <w:rPr>
          <w:rFonts w:cs="Times New Roman"/>
        </w:rPr>
      </w:pPr>
      <w:r w:rsidRPr="00895FA0">
        <w:rPr>
          <w:rFonts w:cs="Times New Roman"/>
        </w:rPr>
        <w:t>31.</w:t>
      </w:r>
      <w:r w:rsidRPr="00895FA0">
        <w:rPr>
          <w:rFonts w:cs="Times New Roman"/>
        </w:rPr>
        <w:tab/>
        <w:t>Martin, M. Cutadapt removes adapter sequences from high-throughput sequencing reads. (2011).</w:t>
      </w:r>
    </w:p>
    <w:p w14:paraId="0CA04FE9" w14:textId="77777777" w:rsidR="00895FA0" w:rsidRPr="00895FA0" w:rsidRDefault="00895FA0" w:rsidP="00895FA0">
      <w:pPr>
        <w:pStyle w:val="Bibliography"/>
        <w:rPr>
          <w:rFonts w:cs="Times New Roman"/>
        </w:rPr>
      </w:pPr>
      <w:r w:rsidRPr="00895FA0">
        <w:rPr>
          <w:rFonts w:cs="Times New Roman"/>
        </w:rPr>
        <w:t>32.</w:t>
      </w:r>
      <w:r w:rsidRPr="00895FA0">
        <w:rPr>
          <w:rFonts w:cs="Times New Roman"/>
        </w:rPr>
        <w:tab/>
        <w:t xml:space="preserve">Callahan, B. J. </w:t>
      </w:r>
      <w:r w:rsidRPr="00895FA0">
        <w:rPr>
          <w:rFonts w:cs="Times New Roman"/>
          <w:i/>
          <w:iCs/>
        </w:rPr>
        <w:t>et al.</w:t>
      </w:r>
      <w:r w:rsidRPr="00895FA0">
        <w:rPr>
          <w:rFonts w:cs="Times New Roman"/>
        </w:rPr>
        <w:t xml:space="preserve"> DADA2: High-resolution sample inference from Illumina amplicon data. </w:t>
      </w:r>
      <w:r w:rsidRPr="00895FA0">
        <w:rPr>
          <w:rFonts w:cs="Times New Roman"/>
          <w:i/>
          <w:iCs/>
        </w:rPr>
        <w:t>Nature Methods</w:t>
      </w:r>
      <w:r w:rsidRPr="00895FA0">
        <w:rPr>
          <w:rFonts w:cs="Times New Roman"/>
        </w:rPr>
        <w:t xml:space="preserve"> </w:t>
      </w:r>
      <w:r w:rsidRPr="00895FA0">
        <w:rPr>
          <w:rFonts w:cs="Times New Roman"/>
          <w:b/>
          <w:bCs/>
        </w:rPr>
        <w:t>13</w:t>
      </w:r>
      <w:r w:rsidRPr="00895FA0">
        <w:rPr>
          <w:rFonts w:cs="Times New Roman"/>
        </w:rPr>
        <w:t>, 581–583 (2016).</w:t>
      </w:r>
    </w:p>
    <w:p w14:paraId="7D2664F9" w14:textId="77777777" w:rsidR="00895FA0" w:rsidRPr="00895FA0" w:rsidRDefault="00895FA0" w:rsidP="00895FA0">
      <w:pPr>
        <w:pStyle w:val="Bibliography"/>
        <w:rPr>
          <w:rFonts w:cs="Times New Roman"/>
        </w:rPr>
      </w:pPr>
      <w:r w:rsidRPr="00895FA0">
        <w:rPr>
          <w:rFonts w:cs="Times New Roman"/>
        </w:rPr>
        <w:t>33.</w:t>
      </w:r>
      <w:r w:rsidRPr="00895FA0">
        <w:rPr>
          <w:rFonts w:cs="Times New Roman"/>
        </w:rPr>
        <w:tab/>
        <w:t xml:space="preserve">Katoh, K. MAFFT: a novel method for rapid multiple sequence alignment based on fast Fourier transform. </w:t>
      </w:r>
      <w:r w:rsidRPr="00895FA0">
        <w:rPr>
          <w:rFonts w:cs="Times New Roman"/>
          <w:i/>
          <w:iCs/>
        </w:rPr>
        <w:t>Nucleic Acids Research</w:t>
      </w:r>
      <w:r w:rsidRPr="00895FA0">
        <w:rPr>
          <w:rFonts w:cs="Times New Roman"/>
        </w:rPr>
        <w:t xml:space="preserve"> </w:t>
      </w:r>
      <w:r w:rsidRPr="00895FA0">
        <w:rPr>
          <w:rFonts w:cs="Times New Roman"/>
          <w:b/>
          <w:bCs/>
        </w:rPr>
        <w:t>30</w:t>
      </w:r>
      <w:r w:rsidRPr="00895FA0">
        <w:rPr>
          <w:rFonts w:cs="Times New Roman"/>
        </w:rPr>
        <w:t>, 3059–3066 (2002).</w:t>
      </w:r>
    </w:p>
    <w:p w14:paraId="44FCA1AA" w14:textId="77777777" w:rsidR="00895FA0" w:rsidRPr="00895FA0" w:rsidRDefault="00895FA0" w:rsidP="00895FA0">
      <w:pPr>
        <w:pStyle w:val="Bibliography"/>
        <w:rPr>
          <w:rFonts w:cs="Times New Roman"/>
        </w:rPr>
      </w:pPr>
      <w:r w:rsidRPr="00895FA0">
        <w:rPr>
          <w:rFonts w:cs="Times New Roman"/>
        </w:rPr>
        <w:t>34.</w:t>
      </w:r>
      <w:r w:rsidRPr="00895FA0">
        <w:rPr>
          <w:rFonts w:cs="Times New Roman"/>
        </w:rPr>
        <w:tab/>
        <w:t xml:space="preserve">Price, M. N., Dehal, P. S. &amp; Arkin, A. P. FastTree 2 – Approximately Maximum-Likelihood Trees for Large Alignments. </w:t>
      </w:r>
      <w:r w:rsidRPr="00895FA0">
        <w:rPr>
          <w:rFonts w:cs="Times New Roman"/>
          <w:i/>
          <w:iCs/>
        </w:rPr>
        <w:t>PLoS ONE</w:t>
      </w:r>
      <w:r w:rsidRPr="00895FA0">
        <w:rPr>
          <w:rFonts w:cs="Times New Roman"/>
        </w:rPr>
        <w:t xml:space="preserve"> </w:t>
      </w:r>
      <w:r w:rsidRPr="00895FA0">
        <w:rPr>
          <w:rFonts w:cs="Times New Roman"/>
          <w:b/>
          <w:bCs/>
        </w:rPr>
        <w:t>5</w:t>
      </w:r>
      <w:r w:rsidRPr="00895FA0">
        <w:rPr>
          <w:rFonts w:cs="Times New Roman"/>
        </w:rPr>
        <w:t>, e9490 (2010).</w:t>
      </w:r>
    </w:p>
    <w:p w14:paraId="2AD2BE51" w14:textId="77777777" w:rsidR="00895FA0" w:rsidRPr="00895FA0" w:rsidRDefault="00895FA0" w:rsidP="00895FA0">
      <w:pPr>
        <w:pStyle w:val="Bibliography"/>
        <w:rPr>
          <w:rFonts w:cs="Times New Roman"/>
        </w:rPr>
      </w:pPr>
      <w:r w:rsidRPr="00895FA0">
        <w:rPr>
          <w:rFonts w:cs="Times New Roman"/>
        </w:rPr>
        <w:t>35.</w:t>
      </w:r>
      <w:r w:rsidRPr="00895FA0">
        <w:rPr>
          <w:rFonts w:cs="Times New Roman"/>
        </w:rPr>
        <w:tab/>
        <w:t xml:space="preserve">Bokulich, N. A. </w:t>
      </w:r>
      <w:r w:rsidRPr="00895FA0">
        <w:rPr>
          <w:rFonts w:cs="Times New Roman"/>
          <w:i/>
          <w:iCs/>
        </w:rPr>
        <w:t>et al.</w:t>
      </w:r>
      <w:r w:rsidRPr="00895FA0">
        <w:rPr>
          <w:rFonts w:cs="Times New Roman"/>
        </w:rPr>
        <w:t xml:space="preserve"> Optimizing taxonomic classification of marker-gene amplicon sequences with QIIME 2’s q2-feature-classifier plugin. </w:t>
      </w:r>
      <w:r w:rsidRPr="00895FA0">
        <w:rPr>
          <w:rFonts w:cs="Times New Roman"/>
          <w:i/>
          <w:iCs/>
        </w:rPr>
        <w:t>Microbiome</w:t>
      </w:r>
      <w:r w:rsidRPr="00895FA0">
        <w:rPr>
          <w:rFonts w:cs="Times New Roman"/>
        </w:rPr>
        <w:t xml:space="preserve"> </w:t>
      </w:r>
      <w:r w:rsidRPr="00895FA0">
        <w:rPr>
          <w:rFonts w:cs="Times New Roman"/>
          <w:b/>
          <w:bCs/>
        </w:rPr>
        <w:t>6</w:t>
      </w:r>
      <w:r w:rsidRPr="00895FA0">
        <w:rPr>
          <w:rFonts w:cs="Times New Roman"/>
        </w:rPr>
        <w:t>, 90 (2018).</w:t>
      </w:r>
    </w:p>
    <w:p w14:paraId="71DBEECF" w14:textId="77777777" w:rsidR="00895FA0" w:rsidRPr="00895FA0" w:rsidRDefault="00895FA0" w:rsidP="00895FA0">
      <w:pPr>
        <w:pStyle w:val="Bibliography"/>
        <w:rPr>
          <w:rFonts w:cs="Times New Roman"/>
        </w:rPr>
      </w:pPr>
      <w:r w:rsidRPr="00895FA0">
        <w:rPr>
          <w:rFonts w:cs="Times New Roman"/>
        </w:rPr>
        <w:t>36.</w:t>
      </w:r>
      <w:r w:rsidRPr="00895FA0">
        <w:rPr>
          <w:rFonts w:cs="Times New Roman"/>
        </w:rPr>
        <w:tab/>
        <w:t xml:space="preserve">McDonald, D. </w:t>
      </w:r>
      <w:r w:rsidRPr="00895FA0">
        <w:rPr>
          <w:rFonts w:cs="Times New Roman"/>
          <w:i/>
          <w:iCs/>
        </w:rPr>
        <w:t>et al.</w:t>
      </w:r>
      <w:r w:rsidRPr="00895FA0">
        <w:rPr>
          <w:rFonts w:cs="Times New Roman"/>
        </w:rPr>
        <w:t xml:space="preserve"> An improved Greengenes taxonomy with explicit ranks for ecological and evolutionary analyses of bacteria and archaea. </w:t>
      </w:r>
      <w:r w:rsidRPr="00895FA0">
        <w:rPr>
          <w:rFonts w:cs="Times New Roman"/>
          <w:i/>
          <w:iCs/>
        </w:rPr>
        <w:t>ISME J</w:t>
      </w:r>
      <w:r w:rsidRPr="00895FA0">
        <w:rPr>
          <w:rFonts w:cs="Times New Roman"/>
        </w:rPr>
        <w:t xml:space="preserve"> </w:t>
      </w:r>
      <w:r w:rsidRPr="00895FA0">
        <w:rPr>
          <w:rFonts w:cs="Times New Roman"/>
          <w:b/>
          <w:bCs/>
        </w:rPr>
        <w:t>6</w:t>
      </w:r>
      <w:r w:rsidRPr="00895FA0">
        <w:rPr>
          <w:rFonts w:cs="Times New Roman"/>
        </w:rPr>
        <w:t>, 610–618 (2012).</w:t>
      </w:r>
    </w:p>
    <w:p w14:paraId="1D655CAF" w14:textId="77777777" w:rsidR="00895FA0" w:rsidRPr="00895FA0" w:rsidRDefault="00895FA0" w:rsidP="00895FA0">
      <w:pPr>
        <w:pStyle w:val="Bibliography"/>
        <w:rPr>
          <w:rFonts w:cs="Times New Roman"/>
        </w:rPr>
      </w:pPr>
      <w:r w:rsidRPr="00895FA0">
        <w:rPr>
          <w:rFonts w:cs="Times New Roman"/>
        </w:rPr>
        <w:lastRenderedPageBreak/>
        <w:t>37.</w:t>
      </w:r>
      <w:r w:rsidRPr="00895FA0">
        <w:rPr>
          <w:rFonts w:cs="Times New Roman"/>
        </w:rPr>
        <w:tab/>
        <w:t xml:space="preserve">Caporaso, J. G. </w:t>
      </w:r>
      <w:r w:rsidRPr="00895FA0">
        <w:rPr>
          <w:rFonts w:cs="Times New Roman"/>
          <w:i/>
          <w:iCs/>
        </w:rPr>
        <w:t>et al.</w:t>
      </w:r>
      <w:r w:rsidRPr="00895FA0">
        <w:rPr>
          <w:rFonts w:cs="Times New Roman"/>
        </w:rPr>
        <w:t xml:space="preserve"> Global patterns of 16S rRNA diversity at a depth of millions of sequences per sample. </w:t>
      </w:r>
      <w:r w:rsidRPr="00895FA0">
        <w:rPr>
          <w:rFonts w:cs="Times New Roman"/>
          <w:i/>
          <w:iCs/>
        </w:rPr>
        <w:t>Proceedings of the National Academy of Sciences</w:t>
      </w:r>
      <w:r w:rsidRPr="00895FA0">
        <w:rPr>
          <w:rFonts w:cs="Times New Roman"/>
        </w:rPr>
        <w:t xml:space="preserve"> </w:t>
      </w:r>
      <w:r w:rsidRPr="00895FA0">
        <w:rPr>
          <w:rFonts w:cs="Times New Roman"/>
          <w:b/>
          <w:bCs/>
        </w:rPr>
        <w:t>108</w:t>
      </w:r>
      <w:r w:rsidRPr="00895FA0">
        <w:rPr>
          <w:rFonts w:cs="Times New Roman"/>
        </w:rPr>
        <w:t>, 4516–4522 (2011).</w:t>
      </w:r>
    </w:p>
    <w:p w14:paraId="54A16530" w14:textId="77777777" w:rsidR="00895FA0" w:rsidRPr="00895FA0" w:rsidRDefault="00895FA0" w:rsidP="00895FA0">
      <w:pPr>
        <w:pStyle w:val="Bibliography"/>
        <w:rPr>
          <w:rFonts w:cs="Times New Roman"/>
        </w:rPr>
      </w:pPr>
      <w:r w:rsidRPr="00895FA0">
        <w:rPr>
          <w:rFonts w:cs="Times New Roman"/>
        </w:rPr>
        <w:t>38.</w:t>
      </w:r>
      <w:r w:rsidRPr="00895FA0">
        <w:rPr>
          <w:rFonts w:cs="Times New Roman"/>
        </w:rPr>
        <w:tab/>
        <w:t xml:space="preserve">McMurdie, P. J. &amp; Holmes, S. phyloseq: An R Package for Reproducible Interactive Analysis and Graphics of Microbiome Census Data. </w:t>
      </w:r>
      <w:r w:rsidRPr="00895FA0">
        <w:rPr>
          <w:rFonts w:cs="Times New Roman"/>
          <w:i/>
          <w:iCs/>
        </w:rPr>
        <w:t>PLoS ONE</w:t>
      </w:r>
      <w:r w:rsidRPr="00895FA0">
        <w:rPr>
          <w:rFonts w:cs="Times New Roman"/>
        </w:rPr>
        <w:t xml:space="preserve"> </w:t>
      </w:r>
      <w:r w:rsidRPr="00895FA0">
        <w:rPr>
          <w:rFonts w:cs="Times New Roman"/>
          <w:b/>
          <w:bCs/>
        </w:rPr>
        <w:t>8</w:t>
      </w:r>
      <w:r w:rsidRPr="00895FA0">
        <w:rPr>
          <w:rFonts w:cs="Times New Roman"/>
        </w:rPr>
        <w:t>, e61217 (2013).</w:t>
      </w:r>
    </w:p>
    <w:p w14:paraId="4EB3C471" w14:textId="77777777" w:rsidR="00895FA0" w:rsidRPr="00895FA0" w:rsidRDefault="00895FA0" w:rsidP="00895FA0">
      <w:pPr>
        <w:pStyle w:val="Bibliography"/>
        <w:rPr>
          <w:rFonts w:cs="Times New Roman"/>
        </w:rPr>
      </w:pPr>
      <w:r w:rsidRPr="00895FA0">
        <w:rPr>
          <w:rFonts w:cs="Times New Roman"/>
        </w:rPr>
        <w:t>39.</w:t>
      </w:r>
      <w:r w:rsidRPr="00895FA0">
        <w:rPr>
          <w:rFonts w:cs="Times New Roman"/>
        </w:rPr>
        <w:tab/>
        <w:t xml:space="preserve">Wickham, H. </w:t>
      </w:r>
      <w:r w:rsidRPr="00895FA0">
        <w:rPr>
          <w:rFonts w:cs="Times New Roman"/>
          <w:i/>
          <w:iCs/>
        </w:rPr>
        <w:t>ggplot2: Elegant Graphics for Data Analysis</w:t>
      </w:r>
      <w:r w:rsidRPr="00895FA0">
        <w:rPr>
          <w:rFonts w:cs="Times New Roman"/>
        </w:rPr>
        <w:t>. (Springer New York, 2009). doi:10.1007/978-0-387-98141-3.</w:t>
      </w:r>
    </w:p>
    <w:p w14:paraId="6184135E" w14:textId="77777777" w:rsidR="00895FA0" w:rsidRPr="00895FA0" w:rsidRDefault="00895FA0" w:rsidP="00895FA0">
      <w:pPr>
        <w:pStyle w:val="Bibliography"/>
        <w:rPr>
          <w:rFonts w:cs="Times New Roman"/>
        </w:rPr>
      </w:pPr>
      <w:r w:rsidRPr="00895FA0">
        <w:rPr>
          <w:rFonts w:cs="Times New Roman"/>
        </w:rPr>
        <w:t>40.</w:t>
      </w:r>
      <w:r w:rsidRPr="00895FA0">
        <w:rPr>
          <w:rFonts w:cs="Times New Roman"/>
        </w:rPr>
        <w:tab/>
        <w:t>R Core Team. R: A language and environment for statistical computing. R Foundation for Statistical Computing, Vienna, Austria. (2022).</w:t>
      </w:r>
    </w:p>
    <w:p w14:paraId="22E7E1B4" w14:textId="77777777" w:rsidR="00895FA0" w:rsidRPr="00895FA0" w:rsidRDefault="00895FA0" w:rsidP="00895FA0">
      <w:pPr>
        <w:pStyle w:val="Bibliography"/>
        <w:rPr>
          <w:rFonts w:cs="Times New Roman"/>
        </w:rPr>
      </w:pPr>
      <w:r w:rsidRPr="00895FA0">
        <w:rPr>
          <w:rFonts w:cs="Times New Roman"/>
        </w:rPr>
        <w:t>41.</w:t>
      </w:r>
      <w:r w:rsidRPr="00895FA0">
        <w:rPr>
          <w:rFonts w:cs="Times New Roman"/>
        </w:rPr>
        <w:tab/>
        <w:t xml:space="preserve">Shannon, C. A Mathematical Theory of Communication. </w:t>
      </w:r>
      <w:r w:rsidRPr="00895FA0">
        <w:rPr>
          <w:rFonts w:cs="Times New Roman"/>
          <w:i/>
          <w:iCs/>
        </w:rPr>
        <w:t>The Bell System Technical Journal</w:t>
      </w:r>
      <w:r w:rsidRPr="00895FA0">
        <w:rPr>
          <w:rFonts w:cs="Times New Roman"/>
        </w:rPr>
        <w:t xml:space="preserve"> 379–423 (1948) doi:https://doi.org/10.1002/j.1538-7305.1948.tb01338.x.</w:t>
      </w:r>
    </w:p>
    <w:p w14:paraId="34CA8717" w14:textId="77777777" w:rsidR="00895FA0" w:rsidRPr="00895FA0" w:rsidRDefault="00895FA0" w:rsidP="00895FA0">
      <w:pPr>
        <w:pStyle w:val="Bibliography"/>
        <w:rPr>
          <w:rFonts w:cs="Times New Roman"/>
        </w:rPr>
      </w:pPr>
      <w:r w:rsidRPr="00895FA0">
        <w:rPr>
          <w:rFonts w:cs="Times New Roman"/>
        </w:rPr>
        <w:t>42.</w:t>
      </w:r>
      <w:r w:rsidRPr="00895FA0">
        <w:rPr>
          <w:rFonts w:cs="Times New Roman"/>
        </w:rPr>
        <w:tab/>
        <w:t xml:space="preserve">Faith, D. Conservation evaluation and phylogenetic diversity. </w:t>
      </w:r>
      <w:r w:rsidRPr="00895FA0">
        <w:rPr>
          <w:rFonts w:cs="Times New Roman"/>
          <w:i/>
          <w:iCs/>
        </w:rPr>
        <w:t>Biological Conservation</w:t>
      </w:r>
      <w:r w:rsidRPr="00895FA0">
        <w:rPr>
          <w:rFonts w:cs="Times New Roman"/>
        </w:rPr>
        <w:t xml:space="preserve"> </w:t>
      </w:r>
      <w:r w:rsidRPr="00895FA0">
        <w:rPr>
          <w:rFonts w:cs="Times New Roman"/>
          <w:b/>
          <w:bCs/>
        </w:rPr>
        <w:t>61</w:t>
      </w:r>
      <w:r w:rsidRPr="00895FA0">
        <w:rPr>
          <w:rFonts w:cs="Times New Roman"/>
        </w:rPr>
        <w:t>, (1992).</w:t>
      </w:r>
    </w:p>
    <w:p w14:paraId="58AD48E2" w14:textId="77777777" w:rsidR="00895FA0" w:rsidRPr="00895FA0" w:rsidRDefault="00895FA0" w:rsidP="00895FA0">
      <w:pPr>
        <w:pStyle w:val="Bibliography"/>
        <w:rPr>
          <w:rFonts w:cs="Times New Roman"/>
        </w:rPr>
      </w:pPr>
      <w:r w:rsidRPr="00895FA0">
        <w:rPr>
          <w:rFonts w:cs="Times New Roman"/>
        </w:rPr>
        <w:t>43.</w:t>
      </w:r>
      <w:r w:rsidRPr="00895FA0">
        <w:rPr>
          <w:rFonts w:cs="Times New Roman"/>
        </w:rPr>
        <w:tab/>
        <w:t xml:space="preserve">Pielou, E. The measurement of diversity in different types of biological collections. </w:t>
      </w:r>
      <w:r w:rsidRPr="00895FA0">
        <w:rPr>
          <w:rFonts w:cs="Times New Roman"/>
          <w:i/>
          <w:iCs/>
        </w:rPr>
        <w:t>Journal of Theoretical Biology</w:t>
      </w:r>
      <w:r w:rsidRPr="00895FA0">
        <w:rPr>
          <w:rFonts w:cs="Times New Roman"/>
        </w:rPr>
        <w:t xml:space="preserve"> </w:t>
      </w:r>
      <w:r w:rsidRPr="00895FA0">
        <w:rPr>
          <w:rFonts w:cs="Times New Roman"/>
          <w:b/>
          <w:bCs/>
        </w:rPr>
        <w:t>13</w:t>
      </w:r>
      <w:r w:rsidRPr="00895FA0">
        <w:rPr>
          <w:rFonts w:cs="Times New Roman"/>
        </w:rPr>
        <w:t>, 131–144 (1966).</w:t>
      </w:r>
    </w:p>
    <w:p w14:paraId="0AD1E38A" w14:textId="77777777" w:rsidR="00895FA0" w:rsidRPr="00895FA0" w:rsidRDefault="00895FA0" w:rsidP="00895FA0">
      <w:pPr>
        <w:pStyle w:val="Bibliography"/>
        <w:rPr>
          <w:rFonts w:cs="Times New Roman"/>
        </w:rPr>
      </w:pPr>
      <w:r w:rsidRPr="00895FA0">
        <w:rPr>
          <w:rFonts w:cs="Times New Roman"/>
        </w:rPr>
        <w:t>44.</w:t>
      </w:r>
      <w:r w:rsidRPr="00895FA0">
        <w:rPr>
          <w:rFonts w:cs="Times New Roman"/>
        </w:rPr>
        <w:tab/>
        <w:t xml:space="preserve">Benjamini, Y. &amp; Hochberg, Y. Controlling the False Discovery Rate: A Practical and Powerful Approach to Multiple Testing. </w:t>
      </w:r>
      <w:r w:rsidRPr="00895FA0">
        <w:rPr>
          <w:rFonts w:cs="Times New Roman"/>
          <w:i/>
          <w:iCs/>
        </w:rPr>
        <w:t>Journal of the Royal Statistical Society: Series B (Methodological)</w:t>
      </w:r>
      <w:r w:rsidRPr="00895FA0">
        <w:rPr>
          <w:rFonts w:cs="Times New Roman"/>
        </w:rPr>
        <w:t xml:space="preserve"> </w:t>
      </w:r>
      <w:r w:rsidRPr="00895FA0">
        <w:rPr>
          <w:rFonts w:cs="Times New Roman"/>
          <w:b/>
          <w:bCs/>
        </w:rPr>
        <w:t>57</w:t>
      </w:r>
      <w:r w:rsidRPr="00895FA0">
        <w:rPr>
          <w:rFonts w:cs="Times New Roman"/>
        </w:rPr>
        <w:t>, 289–300 (1995).</w:t>
      </w:r>
    </w:p>
    <w:p w14:paraId="3112EC04" w14:textId="77777777" w:rsidR="00895FA0" w:rsidRPr="00895FA0" w:rsidRDefault="00895FA0" w:rsidP="00895FA0">
      <w:pPr>
        <w:pStyle w:val="Bibliography"/>
        <w:rPr>
          <w:rFonts w:cs="Times New Roman"/>
        </w:rPr>
      </w:pPr>
      <w:r w:rsidRPr="00895FA0">
        <w:rPr>
          <w:rFonts w:cs="Times New Roman"/>
        </w:rPr>
        <w:t>45.</w:t>
      </w:r>
      <w:r w:rsidRPr="00895FA0">
        <w:rPr>
          <w:rFonts w:cs="Times New Roman"/>
        </w:rPr>
        <w:tab/>
        <w:t xml:space="preserve">Bates, D., Mächler, M., Bolker, B. &amp; Walker, S. Fitting Linear Mixed-Effects Models Using </w:t>
      </w:r>
      <w:r w:rsidRPr="00895FA0">
        <w:rPr>
          <w:rFonts w:cs="Times New Roman"/>
          <w:b/>
          <w:bCs/>
        </w:rPr>
        <w:t>lme4</w:t>
      </w:r>
      <w:r w:rsidRPr="00895FA0">
        <w:rPr>
          <w:rFonts w:cs="Times New Roman"/>
        </w:rPr>
        <w:t xml:space="preserve">. </w:t>
      </w:r>
      <w:r w:rsidRPr="00895FA0">
        <w:rPr>
          <w:rFonts w:cs="Times New Roman"/>
          <w:i/>
          <w:iCs/>
        </w:rPr>
        <w:t>J. Stat. Soft.</w:t>
      </w:r>
      <w:r w:rsidRPr="00895FA0">
        <w:rPr>
          <w:rFonts w:cs="Times New Roman"/>
        </w:rPr>
        <w:t xml:space="preserve"> </w:t>
      </w:r>
      <w:r w:rsidRPr="00895FA0">
        <w:rPr>
          <w:rFonts w:cs="Times New Roman"/>
          <w:b/>
          <w:bCs/>
        </w:rPr>
        <w:t>67</w:t>
      </w:r>
      <w:r w:rsidRPr="00895FA0">
        <w:rPr>
          <w:rFonts w:cs="Times New Roman"/>
        </w:rPr>
        <w:t>, (2015).</w:t>
      </w:r>
    </w:p>
    <w:p w14:paraId="3DF528D9" w14:textId="77777777" w:rsidR="00895FA0" w:rsidRPr="00895FA0" w:rsidRDefault="00895FA0" w:rsidP="00895FA0">
      <w:pPr>
        <w:pStyle w:val="Bibliography"/>
        <w:rPr>
          <w:rFonts w:cs="Times New Roman"/>
        </w:rPr>
      </w:pPr>
      <w:r w:rsidRPr="00895FA0">
        <w:rPr>
          <w:rFonts w:cs="Times New Roman"/>
        </w:rPr>
        <w:t>46.</w:t>
      </w:r>
      <w:r w:rsidRPr="00895FA0">
        <w:rPr>
          <w:rFonts w:cs="Times New Roman"/>
        </w:rPr>
        <w:tab/>
        <w:t xml:space="preserve">Kuznetsova, A., Brockhoff, P. B. &amp; Christensen, R. H. B. </w:t>
      </w:r>
      <w:r w:rsidRPr="00895FA0">
        <w:rPr>
          <w:rFonts w:cs="Times New Roman"/>
          <w:b/>
          <w:bCs/>
        </w:rPr>
        <w:t>lmerTest</w:t>
      </w:r>
      <w:r w:rsidRPr="00895FA0">
        <w:rPr>
          <w:rFonts w:cs="Times New Roman"/>
        </w:rPr>
        <w:t xml:space="preserve"> Package: Tests in Linear Mixed Effects Models. </w:t>
      </w:r>
      <w:r w:rsidRPr="00895FA0">
        <w:rPr>
          <w:rFonts w:cs="Times New Roman"/>
          <w:i/>
          <w:iCs/>
        </w:rPr>
        <w:t>J. Stat. Soft.</w:t>
      </w:r>
      <w:r w:rsidRPr="00895FA0">
        <w:rPr>
          <w:rFonts w:cs="Times New Roman"/>
        </w:rPr>
        <w:t xml:space="preserve"> </w:t>
      </w:r>
      <w:r w:rsidRPr="00895FA0">
        <w:rPr>
          <w:rFonts w:cs="Times New Roman"/>
          <w:b/>
          <w:bCs/>
        </w:rPr>
        <w:t>82</w:t>
      </w:r>
      <w:r w:rsidRPr="00895FA0">
        <w:rPr>
          <w:rFonts w:cs="Times New Roman"/>
        </w:rPr>
        <w:t>, (2017).</w:t>
      </w:r>
    </w:p>
    <w:p w14:paraId="012CED0B" w14:textId="77777777" w:rsidR="00895FA0" w:rsidRPr="00895FA0" w:rsidRDefault="00895FA0" w:rsidP="00895FA0">
      <w:pPr>
        <w:pStyle w:val="Bibliography"/>
        <w:rPr>
          <w:rFonts w:cs="Times New Roman"/>
        </w:rPr>
      </w:pPr>
      <w:r w:rsidRPr="00895FA0">
        <w:rPr>
          <w:rFonts w:cs="Times New Roman"/>
        </w:rPr>
        <w:lastRenderedPageBreak/>
        <w:t>47.</w:t>
      </w:r>
      <w:r w:rsidRPr="00895FA0">
        <w:rPr>
          <w:rFonts w:cs="Times New Roman"/>
        </w:rPr>
        <w:tab/>
        <w:t xml:space="preserve">Brown </w:t>
      </w:r>
      <w:r w:rsidRPr="00895FA0">
        <w:rPr>
          <w:rFonts w:cs="Times New Roman"/>
          <w:i/>
          <w:iCs/>
        </w:rPr>
        <w:t>et al.</w:t>
      </w:r>
      <w:r w:rsidRPr="00895FA0">
        <w:rPr>
          <w:rFonts w:cs="Times New Roman"/>
        </w:rPr>
        <w:t xml:space="preserve"> Ontogeny, species identity, and environment dominate microbiome dynamics in wild populations of kissing bugs (Triatominae). </w:t>
      </w:r>
      <w:r w:rsidRPr="00895FA0">
        <w:rPr>
          <w:rFonts w:cs="Times New Roman"/>
          <w:i/>
          <w:iCs/>
        </w:rPr>
        <w:t>Microbiome</w:t>
      </w:r>
      <w:r w:rsidRPr="00895FA0">
        <w:rPr>
          <w:rFonts w:cs="Times New Roman"/>
        </w:rPr>
        <w:t xml:space="preserve"> </w:t>
      </w:r>
      <w:r w:rsidRPr="00895FA0">
        <w:rPr>
          <w:rFonts w:cs="Times New Roman"/>
          <w:b/>
          <w:bCs/>
        </w:rPr>
        <w:t>8</w:t>
      </w:r>
      <w:r w:rsidRPr="00895FA0">
        <w:rPr>
          <w:rFonts w:cs="Times New Roman"/>
        </w:rPr>
        <w:t>, 146 (2020).</w:t>
      </w:r>
    </w:p>
    <w:p w14:paraId="338E7B2A" w14:textId="77777777" w:rsidR="00895FA0" w:rsidRPr="00895FA0" w:rsidRDefault="00895FA0" w:rsidP="00895FA0">
      <w:pPr>
        <w:pStyle w:val="Bibliography"/>
        <w:rPr>
          <w:rFonts w:cs="Times New Roman"/>
        </w:rPr>
      </w:pPr>
      <w:r w:rsidRPr="00895FA0">
        <w:rPr>
          <w:rFonts w:cs="Times New Roman"/>
        </w:rPr>
        <w:t>48.</w:t>
      </w:r>
      <w:r w:rsidRPr="00895FA0">
        <w:rPr>
          <w:rFonts w:cs="Times New Roman"/>
        </w:rPr>
        <w:tab/>
        <w:t xml:space="preserve">Stoffel, M. A., Nakagawa, S. &amp; Schielzeth, H. partR2 : partitioning R </w:t>
      </w:r>
      <w:r w:rsidRPr="00895FA0">
        <w:rPr>
          <w:rFonts w:cs="Times New Roman"/>
          <w:vertAlign w:val="superscript"/>
        </w:rPr>
        <w:t>2</w:t>
      </w:r>
      <w:r w:rsidRPr="00895FA0">
        <w:rPr>
          <w:rFonts w:cs="Times New Roman"/>
        </w:rPr>
        <w:t xml:space="preserve"> in generalized linear mixed models. </w:t>
      </w:r>
      <w:r w:rsidRPr="00895FA0">
        <w:rPr>
          <w:rFonts w:cs="Times New Roman"/>
          <w:i/>
          <w:iCs/>
        </w:rPr>
        <w:t>PeerJ</w:t>
      </w:r>
      <w:r w:rsidRPr="00895FA0">
        <w:rPr>
          <w:rFonts w:cs="Times New Roman"/>
        </w:rPr>
        <w:t xml:space="preserve"> </w:t>
      </w:r>
      <w:r w:rsidRPr="00895FA0">
        <w:rPr>
          <w:rFonts w:cs="Times New Roman"/>
          <w:b/>
          <w:bCs/>
        </w:rPr>
        <w:t>9</w:t>
      </w:r>
      <w:r w:rsidRPr="00895FA0">
        <w:rPr>
          <w:rFonts w:cs="Times New Roman"/>
        </w:rPr>
        <w:t>, e11414 (2021).</w:t>
      </w:r>
    </w:p>
    <w:p w14:paraId="7C17CEA0" w14:textId="77777777" w:rsidR="00895FA0" w:rsidRPr="00895FA0" w:rsidRDefault="00895FA0" w:rsidP="00895FA0">
      <w:pPr>
        <w:pStyle w:val="Bibliography"/>
        <w:rPr>
          <w:rFonts w:cs="Times New Roman"/>
        </w:rPr>
      </w:pPr>
      <w:r w:rsidRPr="00895FA0">
        <w:rPr>
          <w:rFonts w:cs="Times New Roman"/>
        </w:rPr>
        <w:t>49.</w:t>
      </w:r>
      <w:r w:rsidRPr="00895FA0">
        <w:rPr>
          <w:rFonts w:cs="Times New Roman"/>
        </w:rPr>
        <w:tab/>
        <w:t xml:space="preserve">Dillon, R. J. &amp; Dillon, V. M. The Gut Bacteria of Insects: Nonpathogenic Interactions. </w:t>
      </w:r>
      <w:r w:rsidRPr="00895FA0">
        <w:rPr>
          <w:rFonts w:cs="Times New Roman"/>
          <w:i/>
          <w:iCs/>
        </w:rPr>
        <w:t>Annual Review of Entomology</w:t>
      </w:r>
      <w:r w:rsidRPr="00895FA0">
        <w:rPr>
          <w:rFonts w:cs="Times New Roman"/>
        </w:rPr>
        <w:t xml:space="preserve"> </w:t>
      </w:r>
      <w:r w:rsidRPr="00895FA0">
        <w:rPr>
          <w:rFonts w:cs="Times New Roman"/>
          <w:b/>
          <w:bCs/>
        </w:rPr>
        <w:t>49</w:t>
      </w:r>
      <w:r w:rsidRPr="00895FA0">
        <w:rPr>
          <w:rFonts w:cs="Times New Roman"/>
        </w:rPr>
        <w:t>, 71–92 (2004).</w:t>
      </w:r>
    </w:p>
    <w:p w14:paraId="385EC9B2" w14:textId="77777777" w:rsidR="00895FA0" w:rsidRPr="00895FA0" w:rsidRDefault="00895FA0" w:rsidP="00895FA0">
      <w:pPr>
        <w:pStyle w:val="Bibliography"/>
        <w:rPr>
          <w:rFonts w:cs="Times New Roman"/>
        </w:rPr>
      </w:pPr>
      <w:r w:rsidRPr="00895FA0">
        <w:rPr>
          <w:rFonts w:cs="Times New Roman"/>
        </w:rPr>
        <w:t>50.</w:t>
      </w:r>
      <w:r w:rsidRPr="00895FA0">
        <w:rPr>
          <w:rFonts w:cs="Times New Roman"/>
        </w:rPr>
        <w:tab/>
        <w:t xml:space="preserve">Salcedo-Porras, N. &amp; Lowenberger, C. The innate immune system of kissing bugs, vectors of chagas disease. </w:t>
      </w:r>
      <w:r w:rsidRPr="00895FA0">
        <w:rPr>
          <w:rFonts w:cs="Times New Roman"/>
          <w:i/>
          <w:iCs/>
        </w:rPr>
        <w:t>Developmental &amp; Comparative Immunology</w:t>
      </w:r>
      <w:r w:rsidRPr="00895FA0">
        <w:rPr>
          <w:rFonts w:cs="Times New Roman"/>
        </w:rPr>
        <w:t xml:space="preserve"> </w:t>
      </w:r>
      <w:r w:rsidRPr="00895FA0">
        <w:rPr>
          <w:rFonts w:cs="Times New Roman"/>
          <w:b/>
          <w:bCs/>
        </w:rPr>
        <w:t>98</w:t>
      </w:r>
      <w:r w:rsidRPr="00895FA0">
        <w:rPr>
          <w:rFonts w:cs="Times New Roman"/>
        </w:rPr>
        <w:t>, 119–128 (2019).</w:t>
      </w:r>
    </w:p>
    <w:p w14:paraId="276C93BF" w14:textId="77777777" w:rsidR="00895FA0" w:rsidRPr="00895FA0" w:rsidRDefault="00895FA0" w:rsidP="00895FA0">
      <w:pPr>
        <w:pStyle w:val="Bibliography"/>
        <w:rPr>
          <w:rFonts w:cs="Times New Roman"/>
        </w:rPr>
      </w:pPr>
      <w:r w:rsidRPr="00895FA0">
        <w:rPr>
          <w:rFonts w:cs="Times New Roman"/>
        </w:rPr>
        <w:t>51.</w:t>
      </w:r>
      <w:r w:rsidRPr="00895FA0">
        <w:rPr>
          <w:rFonts w:cs="Times New Roman"/>
        </w:rPr>
        <w:tab/>
        <w:t xml:space="preserve">Salcedo-Porras, N., Umaña-Diaz, C., de Oliveira Barbosa Bitencourt, R. &amp; Lowenberger, C. The Role of Bacterial Symbionts in Triatomines: An Evolutionary Perspective. </w:t>
      </w:r>
      <w:r w:rsidRPr="00895FA0">
        <w:rPr>
          <w:rFonts w:cs="Times New Roman"/>
          <w:i/>
          <w:iCs/>
        </w:rPr>
        <w:t>Microorganisms</w:t>
      </w:r>
      <w:r w:rsidRPr="00895FA0">
        <w:rPr>
          <w:rFonts w:cs="Times New Roman"/>
        </w:rPr>
        <w:t xml:space="preserve"> </w:t>
      </w:r>
      <w:r w:rsidRPr="00895FA0">
        <w:rPr>
          <w:rFonts w:cs="Times New Roman"/>
          <w:b/>
          <w:bCs/>
        </w:rPr>
        <w:t>8</w:t>
      </w:r>
      <w:r w:rsidRPr="00895FA0">
        <w:rPr>
          <w:rFonts w:cs="Times New Roman"/>
        </w:rPr>
        <w:t>, 1438 (2020).</w:t>
      </w:r>
    </w:p>
    <w:p w14:paraId="0B6CD750" w14:textId="77777777" w:rsidR="00895FA0" w:rsidRPr="00895FA0" w:rsidRDefault="00895FA0" w:rsidP="00895FA0">
      <w:pPr>
        <w:pStyle w:val="Bibliography"/>
        <w:rPr>
          <w:rFonts w:cs="Times New Roman"/>
        </w:rPr>
      </w:pPr>
      <w:r w:rsidRPr="00895FA0">
        <w:rPr>
          <w:rFonts w:cs="Times New Roman"/>
        </w:rPr>
        <w:t>52.</w:t>
      </w:r>
      <w:r w:rsidRPr="00895FA0">
        <w:rPr>
          <w:rFonts w:cs="Times New Roman"/>
        </w:rPr>
        <w:tab/>
        <w:t xml:space="preserve">Vogel, K. J. &amp; Coon, K. L. Functions and mechanisms of symbionts of insect disease vectors. in </w:t>
      </w:r>
      <w:r w:rsidRPr="00895FA0">
        <w:rPr>
          <w:rFonts w:cs="Times New Roman"/>
          <w:i/>
          <w:iCs/>
        </w:rPr>
        <w:t>Advances in Insect Physiology</w:t>
      </w:r>
      <w:r w:rsidRPr="00895FA0">
        <w:rPr>
          <w:rFonts w:cs="Times New Roman"/>
        </w:rPr>
        <w:t xml:space="preserve"> vol. 58 233–275 (Elsevier, 2020).</w:t>
      </w:r>
    </w:p>
    <w:p w14:paraId="698CD221" w14:textId="77777777" w:rsidR="00895FA0" w:rsidRPr="00895FA0" w:rsidRDefault="00895FA0" w:rsidP="00895FA0">
      <w:pPr>
        <w:pStyle w:val="Bibliography"/>
        <w:rPr>
          <w:rFonts w:cs="Times New Roman"/>
        </w:rPr>
      </w:pPr>
      <w:r w:rsidRPr="00895FA0">
        <w:rPr>
          <w:rFonts w:cs="Times New Roman"/>
        </w:rPr>
        <w:t>53.</w:t>
      </w:r>
      <w:r w:rsidRPr="00895FA0">
        <w:rPr>
          <w:rFonts w:cs="Times New Roman"/>
        </w:rPr>
        <w:tab/>
        <w:t xml:space="preserve">Akorli, J. </w:t>
      </w:r>
      <w:r w:rsidRPr="00895FA0">
        <w:rPr>
          <w:rFonts w:cs="Times New Roman"/>
          <w:i/>
          <w:iCs/>
        </w:rPr>
        <w:t>et al.</w:t>
      </w:r>
      <w:r w:rsidRPr="00895FA0">
        <w:rPr>
          <w:rFonts w:cs="Times New Roman"/>
        </w:rPr>
        <w:t xml:space="preserve"> Seasonality and locality affect the diversity of Anopheles gambiae and Anopheles coluzzii midgut microbiota from Ghana. </w:t>
      </w:r>
      <w:r w:rsidRPr="00895FA0">
        <w:rPr>
          <w:rFonts w:cs="Times New Roman"/>
          <w:i/>
          <w:iCs/>
        </w:rPr>
        <w:t>PLoS ONE</w:t>
      </w:r>
      <w:r w:rsidRPr="00895FA0">
        <w:rPr>
          <w:rFonts w:cs="Times New Roman"/>
        </w:rPr>
        <w:t xml:space="preserve"> </w:t>
      </w:r>
      <w:r w:rsidRPr="00895FA0">
        <w:rPr>
          <w:rFonts w:cs="Times New Roman"/>
          <w:b/>
          <w:bCs/>
        </w:rPr>
        <w:t>11</w:t>
      </w:r>
      <w:r w:rsidRPr="00895FA0">
        <w:rPr>
          <w:rFonts w:cs="Times New Roman"/>
        </w:rPr>
        <w:t>, (2016).</w:t>
      </w:r>
    </w:p>
    <w:p w14:paraId="5A66336C" w14:textId="77777777" w:rsidR="00895FA0" w:rsidRPr="00895FA0" w:rsidRDefault="00895FA0" w:rsidP="00895FA0">
      <w:pPr>
        <w:pStyle w:val="Bibliography"/>
        <w:rPr>
          <w:rFonts w:cs="Times New Roman"/>
        </w:rPr>
      </w:pPr>
      <w:r w:rsidRPr="00895FA0">
        <w:rPr>
          <w:rFonts w:cs="Times New Roman"/>
        </w:rPr>
        <w:t>54.</w:t>
      </w:r>
      <w:r w:rsidRPr="00895FA0">
        <w:rPr>
          <w:rFonts w:cs="Times New Roman"/>
        </w:rPr>
        <w:tab/>
        <w:t xml:space="preserve">Bascuñán, P., Niño-Garcia, J. P., Galeano-Castañeda, Y., Serre, D. &amp; Correa, M. M. Factors shaping the gut bacterial community assembly in two main Colombian malaria vectors. </w:t>
      </w:r>
      <w:r w:rsidRPr="00895FA0">
        <w:rPr>
          <w:rFonts w:cs="Times New Roman"/>
          <w:i/>
          <w:iCs/>
        </w:rPr>
        <w:t>Microbiome</w:t>
      </w:r>
      <w:r w:rsidRPr="00895FA0">
        <w:rPr>
          <w:rFonts w:cs="Times New Roman"/>
        </w:rPr>
        <w:t xml:space="preserve"> </w:t>
      </w:r>
      <w:r w:rsidRPr="00895FA0">
        <w:rPr>
          <w:rFonts w:cs="Times New Roman"/>
          <w:b/>
          <w:bCs/>
        </w:rPr>
        <w:t>6</w:t>
      </w:r>
      <w:r w:rsidRPr="00895FA0">
        <w:rPr>
          <w:rFonts w:cs="Times New Roman"/>
        </w:rPr>
        <w:t>, (2018).</w:t>
      </w:r>
    </w:p>
    <w:p w14:paraId="1DCFA49B" w14:textId="77777777" w:rsidR="00895FA0" w:rsidRPr="00895FA0" w:rsidRDefault="00895FA0" w:rsidP="00895FA0">
      <w:pPr>
        <w:pStyle w:val="Bibliography"/>
        <w:rPr>
          <w:rFonts w:cs="Times New Roman"/>
        </w:rPr>
      </w:pPr>
      <w:r w:rsidRPr="00895FA0">
        <w:rPr>
          <w:rFonts w:cs="Times New Roman"/>
        </w:rPr>
        <w:t>55.</w:t>
      </w:r>
      <w:r w:rsidRPr="00895FA0">
        <w:rPr>
          <w:rFonts w:cs="Times New Roman"/>
        </w:rPr>
        <w:tab/>
        <w:t xml:space="preserve">Coon, K. L., Brown, M. R. &amp; Strand, M. R. Mosquitoes host communities of bacteria that are essential for development but vary greatly between local habitats. </w:t>
      </w:r>
      <w:r w:rsidRPr="00895FA0">
        <w:rPr>
          <w:rFonts w:cs="Times New Roman"/>
          <w:i/>
          <w:iCs/>
        </w:rPr>
        <w:t>Molecular Ecology</w:t>
      </w:r>
      <w:r w:rsidRPr="00895FA0">
        <w:rPr>
          <w:rFonts w:cs="Times New Roman"/>
        </w:rPr>
        <w:t xml:space="preserve"> </w:t>
      </w:r>
      <w:r w:rsidRPr="00895FA0">
        <w:rPr>
          <w:rFonts w:cs="Times New Roman"/>
          <w:b/>
          <w:bCs/>
        </w:rPr>
        <w:t>25</w:t>
      </w:r>
      <w:r w:rsidRPr="00895FA0">
        <w:rPr>
          <w:rFonts w:cs="Times New Roman"/>
        </w:rPr>
        <w:t>, 5806–5826 (2016).</w:t>
      </w:r>
    </w:p>
    <w:p w14:paraId="41EA9724" w14:textId="77777777" w:rsidR="00895FA0" w:rsidRPr="00895FA0" w:rsidRDefault="00895FA0" w:rsidP="00895FA0">
      <w:pPr>
        <w:pStyle w:val="Bibliography"/>
        <w:rPr>
          <w:rFonts w:cs="Times New Roman"/>
        </w:rPr>
      </w:pPr>
      <w:r w:rsidRPr="00895FA0">
        <w:rPr>
          <w:rFonts w:cs="Times New Roman"/>
        </w:rPr>
        <w:lastRenderedPageBreak/>
        <w:t>56.</w:t>
      </w:r>
      <w:r w:rsidRPr="00895FA0">
        <w:rPr>
          <w:rFonts w:cs="Times New Roman"/>
        </w:rPr>
        <w:tab/>
        <w:t xml:space="preserve">Osei-Poku, J., Mbogo, C. M., Palmer, W. J. &amp; Jiggins, F. M. Deep sequencing reveals extensive variation in the gut microbiota of wild mosquitoes from Kenya. </w:t>
      </w:r>
      <w:r w:rsidRPr="00895FA0">
        <w:rPr>
          <w:rFonts w:cs="Times New Roman"/>
          <w:i/>
          <w:iCs/>
        </w:rPr>
        <w:t>Molecular Ecology</w:t>
      </w:r>
      <w:r w:rsidRPr="00895FA0">
        <w:rPr>
          <w:rFonts w:cs="Times New Roman"/>
        </w:rPr>
        <w:t xml:space="preserve"> </w:t>
      </w:r>
      <w:r w:rsidRPr="00895FA0">
        <w:rPr>
          <w:rFonts w:cs="Times New Roman"/>
          <w:b/>
          <w:bCs/>
        </w:rPr>
        <w:t>21</w:t>
      </w:r>
      <w:r w:rsidRPr="00895FA0">
        <w:rPr>
          <w:rFonts w:cs="Times New Roman"/>
        </w:rPr>
        <w:t>, 5138–5150 (2012).</w:t>
      </w:r>
    </w:p>
    <w:p w14:paraId="5FB508D5" w14:textId="77777777" w:rsidR="00895FA0" w:rsidRPr="00895FA0" w:rsidRDefault="00895FA0" w:rsidP="00895FA0">
      <w:pPr>
        <w:pStyle w:val="Bibliography"/>
        <w:rPr>
          <w:rFonts w:cs="Times New Roman"/>
        </w:rPr>
      </w:pPr>
      <w:r w:rsidRPr="00895FA0">
        <w:rPr>
          <w:rFonts w:cs="Times New Roman"/>
        </w:rPr>
        <w:t>57.</w:t>
      </w:r>
      <w:r w:rsidRPr="00895FA0">
        <w:rPr>
          <w:rFonts w:cs="Times New Roman"/>
        </w:rPr>
        <w:tab/>
        <w:t xml:space="preserve">Zouache, K. </w:t>
      </w:r>
      <w:r w:rsidRPr="00895FA0">
        <w:rPr>
          <w:rFonts w:cs="Times New Roman"/>
          <w:i/>
          <w:iCs/>
        </w:rPr>
        <w:t>et al.</w:t>
      </w:r>
      <w:r w:rsidRPr="00895FA0">
        <w:rPr>
          <w:rFonts w:cs="Times New Roman"/>
        </w:rPr>
        <w:t xml:space="preserve"> Bacterial diversity of field-caught mosquitoes, Aedes albopictus and Aedes aegypti, from different geographic regions of Madagascar. </w:t>
      </w:r>
      <w:r w:rsidRPr="00895FA0">
        <w:rPr>
          <w:rFonts w:cs="Times New Roman"/>
          <w:i/>
          <w:iCs/>
        </w:rPr>
        <w:t>FEMS Microbiology Ecology</w:t>
      </w:r>
      <w:r w:rsidRPr="00895FA0">
        <w:rPr>
          <w:rFonts w:cs="Times New Roman"/>
        </w:rPr>
        <w:t xml:space="preserve"> </w:t>
      </w:r>
      <w:r w:rsidRPr="00895FA0">
        <w:rPr>
          <w:rFonts w:cs="Times New Roman"/>
          <w:b/>
          <w:bCs/>
        </w:rPr>
        <w:t>75</w:t>
      </w:r>
      <w:r w:rsidRPr="00895FA0">
        <w:rPr>
          <w:rFonts w:cs="Times New Roman"/>
        </w:rPr>
        <w:t>, 377–389 (2011).</w:t>
      </w:r>
    </w:p>
    <w:p w14:paraId="3F20BB88" w14:textId="77777777" w:rsidR="00895FA0" w:rsidRPr="00895FA0" w:rsidRDefault="00895FA0" w:rsidP="00895FA0">
      <w:pPr>
        <w:pStyle w:val="Bibliography"/>
        <w:rPr>
          <w:rFonts w:cs="Times New Roman"/>
        </w:rPr>
      </w:pPr>
      <w:r w:rsidRPr="00895FA0">
        <w:rPr>
          <w:rFonts w:cs="Times New Roman"/>
        </w:rPr>
        <w:t>58.</w:t>
      </w:r>
      <w:r w:rsidRPr="00895FA0">
        <w:rPr>
          <w:rFonts w:cs="Times New Roman"/>
        </w:rPr>
        <w:tab/>
        <w:t xml:space="preserve">Li, S.-S. </w:t>
      </w:r>
      <w:r w:rsidRPr="00895FA0">
        <w:rPr>
          <w:rFonts w:cs="Times New Roman"/>
          <w:i/>
          <w:iCs/>
        </w:rPr>
        <w:t>et al.</w:t>
      </w:r>
      <w:r w:rsidRPr="00895FA0">
        <w:rPr>
          <w:rFonts w:cs="Times New Roman"/>
        </w:rPr>
        <w:t xml:space="preserve"> Bacterial microbiota analysis demonstrates that ticks can acquire bacteria from habitat and host blood meal. </w:t>
      </w:r>
      <w:r w:rsidRPr="00895FA0">
        <w:rPr>
          <w:rFonts w:cs="Times New Roman"/>
          <w:i/>
          <w:iCs/>
        </w:rPr>
        <w:t>Exp Appl Acarol</w:t>
      </w:r>
      <w:r w:rsidRPr="00895FA0">
        <w:rPr>
          <w:rFonts w:cs="Times New Roman"/>
        </w:rPr>
        <w:t xml:space="preserve"> (2022) doi:10.1007/s10493-022-00714-x.</w:t>
      </w:r>
    </w:p>
    <w:p w14:paraId="65C71650" w14:textId="77777777" w:rsidR="00895FA0" w:rsidRPr="00895FA0" w:rsidRDefault="00895FA0" w:rsidP="00895FA0">
      <w:pPr>
        <w:pStyle w:val="Bibliography"/>
        <w:rPr>
          <w:rFonts w:cs="Times New Roman"/>
        </w:rPr>
      </w:pPr>
      <w:r w:rsidRPr="00895FA0">
        <w:rPr>
          <w:rFonts w:cs="Times New Roman"/>
        </w:rPr>
        <w:t>59.</w:t>
      </w:r>
      <w:r w:rsidRPr="00895FA0">
        <w:rPr>
          <w:rFonts w:cs="Times New Roman"/>
        </w:rPr>
        <w:tab/>
        <w:t xml:space="preserve">René-Martellet, M. </w:t>
      </w:r>
      <w:r w:rsidRPr="00895FA0">
        <w:rPr>
          <w:rFonts w:cs="Times New Roman"/>
          <w:i/>
          <w:iCs/>
        </w:rPr>
        <w:t>et al.</w:t>
      </w:r>
      <w:r w:rsidRPr="00895FA0">
        <w:rPr>
          <w:rFonts w:cs="Times New Roman"/>
        </w:rPr>
        <w:t xml:space="preserve"> Bacterial microbiota associated with Rhipicephalus sanguineus (s.l.) ticks from France, Senegal and Arizona. </w:t>
      </w:r>
      <w:r w:rsidRPr="00895FA0">
        <w:rPr>
          <w:rFonts w:cs="Times New Roman"/>
          <w:i/>
          <w:iCs/>
        </w:rPr>
        <w:t>Parasites Vectors</w:t>
      </w:r>
      <w:r w:rsidRPr="00895FA0">
        <w:rPr>
          <w:rFonts w:cs="Times New Roman"/>
        </w:rPr>
        <w:t xml:space="preserve"> </w:t>
      </w:r>
      <w:r w:rsidRPr="00895FA0">
        <w:rPr>
          <w:rFonts w:cs="Times New Roman"/>
          <w:b/>
          <w:bCs/>
        </w:rPr>
        <w:t>10</w:t>
      </w:r>
      <w:r w:rsidRPr="00895FA0">
        <w:rPr>
          <w:rFonts w:cs="Times New Roman"/>
        </w:rPr>
        <w:t>, 416 (2017).</w:t>
      </w:r>
    </w:p>
    <w:p w14:paraId="21AFE6F6" w14:textId="77777777" w:rsidR="00895FA0" w:rsidRPr="00895FA0" w:rsidRDefault="00895FA0" w:rsidP="00895FA0">
      <w:pPr>
        <w:pStyle w:val="Bibliography"/>
        <w:rPr>
          <w:rFonts w:cs="Times New Roman"/>
        </w:rPr>
      </w:pPr>
      <w:r w:rsidRPr="00895FA0">
        <w:rPr>
          <w:rFonts w:cs="Times New Roman"/>
        </w:rPr>
        <w:t>60.</w:t>
      </w:r>
      <w:r w:rsidRPr="00895FA0">
        <w:rPr>
          <w:rFonts w:cs="Times New Roman"/>
        </w:rPr>
        <w:tab/>
        <w:t xml:space="preserve">Oliveira, J. L., Cury, J. C., Gurgel-Gonçalves, R., Bahia, A. C. &amp; Monteiro, F. A. Field-collected Triatoma sordida from central Brazil display high microbiota diversity that varies with regard to developmental stage and intestinal segmentation. </w:t>
      </w:r>
      <w:r w:rsidRPr="00895FA0">
        <w:rPr>
          <w:rFonts w:cs="Times New Roman"/>
          <w:i/>
          <w:iCs/>
        </w:rPr>
        <w:t>PLOS Neglected Tropical Diseases</w:t>
      </w:r>
      <w:r w:rsidRPr="00895FA0">
        <w:rPr>
          <w:rFonts w:cs="Times New Roman"/>
        </w:rPr>
        <w:t xml:space="preserve"> </w:t>
      </w:r>
      <w:r w:rsidRPr="00895FA0">
        <w:rPr>
          <w:rFonts w:cs="Times New Roman"/>
          <w:b/>
          <w:bCs/>
        </w:rPr>
        <w:t>12</w:t>
      </w:r>
      <w:r w:rsidRPr="00895FA0">
        <w:rPr>
          <w:rFonts w:cs="Times New Roman"/>
        </w:rPr>
        <w:t>, e0006709 (2018).</w:t>
      </w:r>
    </w:p>
    <w:p w14:paraId="743C346B" w14:textId="77777777" w:rsidR="00895FA0" w:rsidRPr="00895FA0" w:rsidRDefault="00895FA0" w:rsidP="00895FA0">
      <w:pPr>
        <w:pStyle w:val="Bibliography"/>
        <w:rPr>
          <w:rFonts w:cs="Times New Roman"/>
        </w:rPr>
      </w:pPr>
      <w:r w:rsidRPr="00895FA0">
        <w:rPr>
          <w:rFonts w:cs="Times New Roman"/>
        </w:rPr>
        <w:t>61.</w:t>
      </w:r>
      <w:r w:rsidRPr="00895FA0">
        <w:rPr>
          <w:rFonts w:cs="Times New Roman"/>
        </w:rPr>
        <w:tab/>
        <w:t xml:space="preserve">Rodríguez-Ruano, S. M. </w:t>
      </w:r>
      <w:r w:rsidRPr="00895FA0">
        <w:rPr>
          <w:rFonts w:cs="Times New Roman"/>
          <w:i/>
          <w:iCs/>
        </w:rPr>
        <w:t>et al.</w:t>
      </w:r>
      <w:r w:rsidRPr="00895FA0">
        <w:rPr>
          <w:rFonts w:cs="Times New Roman"/>
        </w:rPr>
        <w:t xml:space="preserve"> Microbiomes of North American Triatominae: The Grounds for Chagas Disease Epidemiology. </w:t>
      </w:r>
      <w:r w:rsidRPr="00895FA0">
        <w:rPr>
          <w:rFonts w:cs="Times New Roman"/>
          <w:i/>
          <w:iCs/>
        </w:rPr>
        <w:t>Frontiers in Microbiology</w:t>
      </w:r>
      <w:r w:rsidRPr="00895FA0">
        <w:rPr>
          <w:rFonts w:cs="Times New Roman"/>
        </w:rPr>
        <w:t xml:space="preserve"> </w:t>
      </w:r>
      <w:r w:rsidRPr="00895FA0">
        <w:rPr>
          <w:rFonts w:cs="Times New Roman"/>
          <w:b/>
          <w:bCs/>
        </w:rPr>
        <w:t>9</w:t>
      </w:r>
      <w:r w:rsidRPr="00895FA0">
        <w:rPr>
          <w:rFonts w:cs="Times New Roman"/>
        </w:rPr>
        <w:t>, (2018).</w:t>
      </w:r>
    </w:p>
    <w:p w14:paraId="44B3F0E5" w14:textId="77777777" w:rsidR="00895FA0" w:rsidRPr="00895FA0" w:rsidRDefault="00895FA0" w:rsidP="00895FA0">
      <w:pPr>
        <w:pStyle w:val="Bibliography"/>
        <w:rPr>
          <w:rFonts w:cs="Times New Roman"/>
        </w:rPr>
      </w:pPr>
      <w:r w:rsidRPr="00895FA0">
        <w:rPr>
          <w:rFonts w:cs="Times New Roman"/>
        </w:rPr>
        <w:t>62.</w:t>
      </w:r>
      <w:r w:rsidRPr="00895FA0">
        <w:rPr>
          <w:rFonts w:cs="Times New Roman"/>
        </w:rPr>
        <w:tab/>
        <w:t xml:space="preserve">da Mota, F. F. </w:t>
      </w:r>
      <w:r w:rsidRPr="00895FA0">
        <w:rPr>
          <w:rFonts w:cs="Times New Roman"/>
          <w:i/>
          <w:iCs/>
        </w:rPr>
        <w:t>et al.</w:t>
      </w:r>
      <w:r w:rsidRPr="00895FA0">
        <w:rPr>
          <w:rFonts w:cs="Times New Roman"/>
        </w:rPr>
        <w:t xml:space="preserve"> Cultivation-Independent Methods Reveal Differences among Bacterial Gut Microbiota in Triatomine Vectors of Chagas Disease. </w:t>
      </w:r>
      <w:r w:rsidRPr="00895FA0">
        <w:rPr>
          <w:rFonts w:cs="Times New Roman"/>
          <w:i/>
          <w:iCs/>
        </w:rPr>
        <w:t>PLoS Neglected Tropical Diseases</w:t>
      </w:r>
      <w:r w:rsidRPr="00895FA0">
        <w:rPr>
          <w:rFonts w:cs="Times New Roman"/>
        </w:rPr>
        <w:t xml:space="preserve"> </w:t>
      </w:r>
      <w:r w:rsidRPr="00895FA0">
        <w:rPr>
          <w:rFonts w:cs="Times New Roman"/>
          <w:b/>
          <w:bCs/>
        </w:rPr>
        <w:t>6</w:t>
      </w:r>
      <w:r w:rsidRPr="00895FA0">
        <w:rPr>
          <w:rFonts w:cs="Times New Roman"/>
        </w:rPr>
        <w:t>, e1631 (2012).</w:t>
      </w:r>
    </w:p>
    <w:p w14:paraId="462D5D21" w14:textId="77777777" w:rsidR="00895FA0" w:rsidRPr="00895FA0" w:rsidRDefault="00895FA0" w:rsidP="00895FA0">
      <w:pPr>
        <w:pStyle w:val="Bibliography"/>
        <w:rPr>
          <w:rFonts w:cs="Times New Roman"/>
        </w:rPr>
      </w:pPr>
      <w:r w:rsidRPr="00895FA0">
        <w:rPr>
          <w:rFonts w:cs="Times New Roman"/>
        </w:rPr>
        <w:t>63.</w:t>
      </w:r>
      <w:r w:rsidRPr="00895FA0">
        <w:rPr>
          <w:rFonts w:cs="Times New Roman"/>
        </w:rPr>
        <w:tab/>
        <w:t>Gumiel, M. Characterization of the microbiota in the guts of Triatoma brasiliensis and Triatoma pseudomaculata infected by Trypanosoma cruzi in natural conditions using culture independent methods. 17 (2015).</w:t>
      </w:r>
    </w:p>
    <w:p w14:paraId="555A8FF5" w14:textId="77777777" w:rsidR="00895FA0" w:rsidRPr="00895FA0" w:rsidRDefault="00895FA0" w:rsidP="00895FA0">
      <w:pPr>
        <w:pStyle w:val="Bibliography"/>
        <w:rPr>
          <w:rFonts w:cs="Times New Roman"/>
        </w:rPr>
      </w:pPr>
      <w:r w:rsidRPr="00895FA0">
        <w:rPr>
          <w:rFonts w:cs="Times New Roman"/>
        </w:rPr>
        <w:lastRenderedPageBreak/>
        <w:t>64.</w:t>
      </w:r>
      <w:r w:rsidRPr="00895FA0">
        <w:rPr>
          <w:rFonts w:cs="Times New Roman"/>
        </w:rPr>
        <w:tab/>
        <w:t xml:space="preserve">Montoya-Porras, L. M., Omar, T.-C., Alzate, J. F., Moreno-Herrera, C. X. &amp; Cadavid-Restrepo, G. E. 16S rRNA gene amplicon sequencing reveals dominance of Actinobacteria in Rhodnius pallescens compared to Triatoma maculata midgut microbiota in natural populations of vector insects from Colombia. </w:t>
      </w:r>
      <w:r w:rsidRPr="00895FA0">
        <w:rPr>
          <w:rFonts w:cs="Times New Roman"/>
          <w:i/>
          <w:iCs/>
        </w:rPr>
        <w:t>Acta Tropica</w:t>
      </w:r>
      <w:r w:rsidRPr="00895FA0">
        <w:rPr>
          <w:rFonts w:cs="Times New Roman"/>
        </w:rPr>
        <w:t xml:space="preserve"> </w:t>
      </w:r>
      <w:r w:rsidRPr="00895FA0">
        <w:rPr>
          <w:rFonts w:cs="Times New Roman"/>
          <w:b/>
          <w:bCs/>
        </w:rPr>
        <w:t>178</w:t>
      </w:r>
      <w:r w:rsidRPr="00895FA0">
        <w:rPr>
          <w:rFonts w:cs="Times New Roman"/>
        </w:rPr>
        <w:t>, 327–332 (2018).</w:t>
      </w:r>
    </w:p>
    <w:p w14:paraId="0E518319" w14:textId="77777777" w:rsidR="00895FA0" w:rsidRPr="00895FA0" w:rsidRDefault="00895FA0" w:rsidP="00895FA0">
      <w:pPr>
        <w:pStyle w:val="Bibliography"/>
        <w:rPr>
          <w:rFonts w:cs="Times New Roman"/>
        </w:rPr>
      </w:pPr>
      <w:r w:rsidRPr="00895FA0">
        <w:rPr>
          <w:rFonts w:cs="Times New Roman"/>
        </w:rPr>
        <w:t>65.</w:t>
      </w:r>
      <w:r w:rsidRPr="00895FA0">
        <w:rPr>
          <w:rFonts w:cs="Times New Roman"/>
        </w:rPr>
        <w:tab/>
        <w:t xml:space="preserve">Waltmann, A. </w:t>
      </w:r>
      <w:r w:rsidRPr="00895FA0">
        <w:rPr>
          <w:rFonts w:cs="Times New Roman"/>
          <w:i/>
          <w:iCs/>
        </w:rPr>
        <w:t>et al.</w:t>
      </w:r>
      <w:r w:rsidRPr="00895FA0">
        <w:rPr>
          <w:rFonts w:cs="Times New Roman"/>
        </w:rPr>
        <w:t xml:space="preserve"> Hindgut microbiota in laboratory-reared and wild Triatoma infestans. </w:t>
      </w:r>
      <w:r w:rsidRPr="00895FA0">
        <w:rPr>
          <w:rFonts w:cs="Times New Roman"/>
          <w:i/>
          <w:iCs/>
        </w:rPr>
        <w:t>PLoS Negl Trop Dis</w:t>
      </w:r>
      <w:r w:rsidRPr="00895FA0">
        <w:rPr>
          <w:rFonts w:cs="Times New Roman"/>
        </w:rPr>
        <w:t xml:space="preserve"> </w:t>
      </w:r>
      <w:r w:rsidRPr="00895FA0">
        <w:rPr>
          <w:rFonts w:cs="Times New Roman"/>
          <w:b/>
          <w:bCs/>
        </w:rPr>
        <w:t>13</w:t>
      </w:r>
      <w:r w:rsidRPr="00895FA0">
        <w:rPr>
          <w:rFonts w:cs="Times New Roman"/>
        </w:rPr>
        <w:t>, e0007383 (2019).</w:t>
      </w:r>
    </w:p>
    <w:p w14:paraId="681F086F" w14:textId="77777777" w:rsidR="00895FA0" w:rsidRPr="00895FA0" w:rsidRDefault="00895FA0" w:rsidP="00895FA0">
      <w:pPr>
        <w:pStyle w:val="Bibliography"/>
        <w:rPr>
          <w:rFonts w:cs="Times New Roman"/>
        </w:rPr>
      </w:pPr>
      <w:r w:rsidRPr="00895FA0">
        <w:rPr>
          <w:rFonts w:cs="Times New Roman"/>
        </w:rPr>
        <w:t>66.</w:t>
      </w:r>
      <w:r w:rsidRPr="00895FA0">
        <w:rPr>
          <w:rFonts w:cs="Times New Roman"/>
        </w:rPr>
        <w:tab/>
        <w:t xml:space="preserve">Yadav, K. K., Chandel, K., Bora, A. &amp; Veer, V. Isolation and characterization of Dietzia maris from midgut of Aedes albopictus: A suitable candidate for paratransgenesis. </w:t>
      </w:r>
      <w:r w:rsidRPr="00895FA0">
        <w:rPr>
          <w:rFonts w:cs="Times New Roman"/>
          <w:i/>
          <w:iCs/>
        </w:rPr>
        <w:t>International Journal of Mosquito Research</w:t>
      </w:r>
      <w:r w:rsidRPr="00895FA0">
        <w:rPr>
          <w:rFonts w:cs="Times New Roman"/>
        </w:rPr>
        <w:t xml:space="preserve"> 6 (2015).</w:t>
      </w:r>
    </w:p>
    <w:p w14:paraId="09936691" w14:textId="77777777" w:rsidR="00895FA0" w:rsidRPr="00895FA0" w:rsidRDefault="00895FA0" w:rsidP="00895FA0">
      <w:pPr>
        <w:pStyle w:val="Bibliography"/>
        <w:rPr>
          <w:rFonts w:cs="Times New Roman"/>
        </w:rPr>
      </w:pPr>
      <w:r w:rsidRPr="00895FA0">
        <w:rPr>
          <w:rFonts w:cs="Times New Roman"/>
        </w:rPr>
        <w:t>67.</w:t>
      </w:r>
      <w:r w:rsidRPr="00895FA0">
        <w:rPr>
          <w:rFonts w:cs="Times New Roman"/>
        </w:rPr>
        <w:tab/>
        <w:t xml:space="preserve">Malele, I. </w:t>
      </w:r>
      <w:r w:rsidRPr="00895FA0">
        <w:rPr>
          <w:rFonts w:cs="Times New Roman"/>
          <w:i/>
          <w:iCs/>
        </w:rPr>
        <w:t>et al.</w:t>
      </w:r>
      <w:r w:rsidRPr="00895FA0">
        <w:rPr>
          <w:rFonts w:cs="Times New Roman"/>
        </w:rPr>
        <w:t xml:space="preserve"> Bacterial diversity obtained by culturable approaches in the gut of Glossina pallidipes population from a non sleeping sickness focus in Tanzania: preliminary results. </w:t>
      </w:r>
      <w:r w:rsidRPr="00895FA0">
        <w:rPr>
          <w:rFonts w:cs="Times New Roman"/>
          <w:i/>
          <w:iCs/>
        </w:rPr>
        <w:t>BMC Microbiol</w:t>
      </w:r>
      <w:r w:rsidRPr="00895FA0">
        <w:rPr>
          <w:rFonts w:cs="Times New Roman"/>
        </w:rPr>
        <w:t xml:space="preserve"> </w:t>
      </w:r>
      <w:r w:rsidRPr="00895FA0">
        <w:rPr>
          <w:rFonts w:cs="Times New Roman"/>
          <w:b/>
          <w:bCs/>
        </w:rPr>
        <w:t>18</w:t>
      </w:r>
      <w:r w:rsidRPr="00895FA0">
        <w:rPr>
          <w:rFonts w:cs="Times New Roman"/>
        </w:rPr>
        <w:t>, 164 (2018).</w:t>
      </w:r>
    </w:p>
    <w:p w14:paraId="76D26CCA" w14:textId="77777777" w:rsidR="00895FA0" w:rsidRPr="00895FA0" w:rsidRDefault="00895FA0" w:rsidP="00895FA0">
      <w:pPr>
        <w:pStyle w:val="Bibliography"/>
        <w:rPr>
          <w:rFonts w:cs="Times New Roman"/>
        </w:rPr>
      </w:pPr>
      <w:r w:rsidRPr="00895FA0">
        <w:rPr>
          <w:rFonts w:cs="Times New Roman"/>
        </w:rPr>
        <w:t>68.</w:t>
      </w:r>
      <w:r w:rsidRPr="00895FA0">
        <w:rPr>
          <w:rFonts w:cs="Times New Roman"/>
        </w:rPr>
        <w:tab/>
        <w:t xml:space="preserve">Carels, N., Gumiel, M., da Mota, F. F., de Carvalho Moreira, C. J. &amp; Azambuja, P. A Metagenomic Analysis of Bacterial Microbiota in the Digestive Tract of Triatomines. </w:t>
      </w:r>
      <w:r w:rsidRPr="00895FA0">
        <w:rPr>
          <w:rFonts w:cs="Times New Roman"/>
          <w:i/>
          <w:iCs/>
        </w:rPr>
        <w:t>Bioinformatics and Biology Insights</w:t>
      </w:r>
      <w:r w:rsidRPr="00895FA0">
        <w:rPr>
          <w:rFonts w:cs="Times New Roman"/>
        </w:rPr>
        <w:t xml:space="preserve"> </w:t>
      </w:r>
      <w:r w:rsidRPr="00895FA0">
        <w:rPr>
          <w:rFonts w:cs="Times New Roman"/>
          <w:b/>
          <w:bCs/>
        </w:rPr>
        <w:t>11</w:t>
      </w:r>
      <w:r w:rsidRPr="00895FA0">
        <w:rPr>
          <w:rFonts w:cs="Times New Roman"/>
        </w:rPr>
        <w:t>, 117793221773342 (2017).</w:t>
      </w:r>
    </w:p>
    <w:p w14:paraId="01A4705B" w14:textId="77777777" w:rsidR="00895FA0" w:rsidRPr="00895FA0" w:rsidRDefault="00895FA0" w:rsidP="00895FA0">
      <w:pPr>
        <w:pStyle w:val="Bibliography"/>
        <w:rPr>
          <w:rFonts w:cs="Times New Roman"/>
        </w:rPr>
      </w:pPr>
      <w:r w:rsidRPr="00895FA0">
        <w:rPr>
          <w:rFonts w:cs="Times New Roman"/>
        </w:rPr>
        <w:t>69.</w:t>
      </w:r>
      <w:r w:rsidRPr="00895FA0">
        <w:rPr>
          <w:rFonts w:cs="Times New Roman"/>
        </w:rPr>
        <w:tab/>
        <w:t xml:space="preserve">Padukone, A. Relationships between Microhabitat Characteristics and the Abundance of a Chagas disease vector, Rhodnius pallescens, in Central Panama. </w:t>
      </w:r>
      <w:r w:rsidRPr="00895FA0">
        <w:rPr>
          <w:rFonts w:cs="Times New Roman"/>
          <w:i/>
          <w:iCs/>
        </w:rPr>
        <w:t>Unpublished Undergraduate Thesis</w:t>
      </w:r>
      <w:r w:rsidRPr="00895FA0">
        <w:rPr>
          <w:rFonts w:cs="Times New Roman"/>
        </w:rPr>
        <w:t xml:space="preserve"> (2016).</w:t>
      </w:r>
    </w:p>
    <w:p w14:paraId="1C7706FD" w14:textId="77777777" w:rsidR="00895FA0" w:rsidRPr="00895FA0" w:rsidRDefault="00895FA0" w:rsidP="00895FA0">
      <w:pPr>
        <w:pStyle w:val="Bibliography"/>
        <w:rPr>
          <w:rFonts w:cs="Times New Roman"/>
        </w:rPr>
      </w:pPr>
      <w:r w:rsidRPr="00895FA0">
        <w:rPr>
          <w:rFonts w:cs="Times New Roman"/>
        </w:rPr>
        <w:t>70.</w:t>
      </w:r>
      <w:r w:rsidRPr="00895FA0">
        <w:rPr>
          <w:rFonts w:cs="Times New Roman"/>
        </w:rPr>
        <w:tab/>
        <w:t xml:space="preserve">Varian, C. P. </w:t>
      </w:r>
      <w:r w:rsidRPr="00895FA0">
        <w:rPr>
          <w:rFonts w:cs="Times New Roman"/>
          <w:i/>
          <w:iCs/>
        </w:rPr>
        <w:t>et al.</w:t>
      </w:r>
      <w:r w:rsidRPr="00895FA0">
        <w:rPr>
          <w:rFonts w:cs="Times New Roman"/>
        </w:rPr>
        <w:t xml:space="preserve"> Food web structure and microenvironment affect Chagas disease vector infection and abundance in a rural landscape. </w:t>
      </w:r>
      <w:r w:rsidRPr="00895FA0">
        <w:rPr>
          <w:rFonts w:cs="Times New Roman"/>
          <w:i/>
          <w:iCs/>
        </w:rPr>
        <w:t>Ecosphere</w:t>
      </w:r>
      <w:r w:rsidRPr="00895FA0">
        <w:rPr>
          <w:rFonts w:cs="Times New Roman"/>
        </w:rPr>
        <w:t xml:space="preserve"> </w:t>
      </w:r>
      <w:r w:rsidRPr="00895FA0">
        <w:rPr>
          <w:rFonts w:cs="Times New Roman"/>
          <w:b/>
          <w:bCs/>
        </w:rPr>
        <w:t>14</w:t>
      </w:r>
      <w:r w:rsidRPr="00895FA0">
        <w:rPr>
          <w:rFonts w:cs="Times New Roman"/>
        </w:rPr>
        <w:t>, (2023).</w:t>
      </w:r>
    </w:p>
    <w:p w14:paraId="1D53C6AB" w14:textId="77777777" w:rsidR="00895FA0" w:rsidRPr="00895FA0" w:rsidRDefault="00895FA0" w:rsidP="00895FA0">
      <w:pPr>
        <w:pStyle w:val="Bibliography"/>
        <w:rPr>
          <w:rFonts w:cs="Times New Roman"/>
        </w:rPr>
      </w:pPr>
      <w:r w:rsidRPr="00895FA0">
        <w:rPr>
          <w:rFonts w:cs="Times New Roman"/>
        </w:rPr>
        <w:t>71.</w:t>
      </w:r>
      <w:r w:rsidRPr="00895FA0">
        <w:rPr>
          <w:rFonts w:cs="Times New Roman"/>
        </w:rPr>
        <w:tab/>
        <w:t xml:space="preserve">Kieran, T. J. </w:t>
      </w:r>
      <w:r w:rsidRPr="00895FA0">
        <w:rPr>
          <w:rFonts w:cs="Times New Roman"/>
          <w:i/>
          <w:iCs/>
        </w:rPr>
        <w:t>et al.</w:t>
      </w:r>
      <w:r w:rsidRPr="00895FA0">
        <w:rPr>
          <w:rFonts w:cs="Times New Roman"/>
        </w:rPr>
        <w:t xml:space="preserve"> Population genetics of two chromatic morphs of the Chagas disease vector Rhodnius pallescens Barber, 1932 in Panamá. 13 (2020).</w:t>
      </w:r>
    </w:p>
    <w:p w14:paraId="31F95A49" w14:textId="77777777" w:rsidR="00895FA0" w:rsidRPr="00895FA0" w:rsidRDefault="00895FA0" w:rsidP="00895FA0">
      <w:pPr>
        <w:pStyle w:val="Bibliography"/>
        <w:rPr>
          <w:rFonts w:cs="Times New Roman"/>
        </w:rPr>
      </w:pPr>
      <w:r w:rsidRPr="00895FA0">
        <w:rPr>
          <w:rFonts w:cs="Times New Roman"/>
        </w:rPr>
        <w:lastRenderedPageBreak/>
        <w:t>72.</w:t>
      </w:r>
      <w:r w:rsidRPr="00895FA0">
        <w:rPr>
          <w:rFonts w:cs="Times New Roman"/>
        </w:rPr>
        <w:tab/>
        <w:t xml:space="preserve">Saldaña, A. </w:t>
      </w:r>
      <w:r w:rsidRPr="00895FA0">
        <w:rPr>
          <w:rFonts w:cs="Times New Roman"/>
          <w:i/>
          <w:iCs/>
        </w:rPr>
        <w:t>et al.</w:t>
      </w:r>
      <w:r w:rsidRPr="00895FA0">
        <w:rPr>
          <w:rFonts w:cs="Times New Roman"/>
        </w:rPr>
        <w:t xml:space="preserve"> A darker chromatic variation of Rhodnius pallescens infected by specific genetic groups of Trypanosoma rangeli and Trypanosoma cruzi from Panama. 1–6 (2018) doi:10.1186/s13071-018-3004-4.</w:t>
      </w:r>
    </w:p>
    <w:p w14:paraId="460981A4" w14:textId="77777777" w:rsidR="00895FA0" w:rsidRPr="00895FA0" w:rsidRDefault="00895FA0" w:rsidP="00895FA0">
      <w:pPr>
        <w:pStyle w:val="Bibliography"/>
        <w:rPr>
          <w:rFonts w:cs="Times New Roman"/>
        </w:rPr>
      </w:pPr>
      <w:r w:rsidRPr="00895FA0">
        <w:rPr>
          <w:rFonts w:cs="Times New Roman"/>
        </w:rPr>
        <w:t>73.</w:t>
      </w:r>
      <w:r w:rsidRPr="00895FA0">
        <w:rPr>
          <w:rFonts w:cs="Times New Roman"/>
        </w:rPr>
        <w:tab/>
        <w:t xml:space="preserve">Adair, K. L. </w:t>
      </w:r>
      <w:r w:rsidRPr="00895FA0">
        <w:rPr>
          <w:rFonts w:cs="Times New Roman"/>
          <w:i/>
          <w:iCs/>
        </w:rPr>
        <w:t>et al.</w:t>
      </w:r>
      <w:r w:rsidRPr="00895FA0">
        <w:rPr>
          <w:rFonts w:cs="Times New Roman"/>
        </w:rPr>
        <w:t xml:space="preserve"> Host determinants of among-species variation in microbiome composition in drosophilid flies. </w:t>
      </w:r>
      <w:r w:rsidRPr="00895FA0">
        <w:rPr>
          <w:rFonts w:cs="Times New Roman"/>
          <w:i/>
          <w:iCs/>
        </w:rPr>
        <w:t>ISME J</w:t>
      </w:r>
      <w:r w:rsidRPr="00895FA0">
        <w:rPr>
          <w:rFonts w:cs="Times New Roman"/>
        </w:rPr>
        <w:t xml:space="preserve"> </w:t>
      </w:r>
      <w:r w:rsidRPr="00895FA0">
        <w:rPr>
          <w:rFonts w:cs="Times New Roman"/>
          <w:b/>
          <w:bCs/>
        </w:rPr>
        <w:t>14</w:t>
      </w:r>
      <w:r w:rsidRPr="00895FA0">
        <w:rPr>
          <w:rFonts w:cs="Times New Roman"/>
        </w:rPr>
        <w:t>, 217–229 (2020).</w:t>
      </w:r>
    </w:p>
    <w:p w14:paraId="75BF4DF9" w14:textId="77777777" w:rsidR="00895FA0" w:rsidRPr="00895FA0" w:rsidRDefault="00895FA0" w:rsidP="00895FA0">
      <w:pPr>
        <w:pStyle w:val="Bibliography"/>
        <w:rPr>
          <w:rFonts w:cs="Times New Roman"/>
        </w:rPr>
      </w:pPr>
      <w:r w:rsidRPr="00895FA0">
        <w:rPr>
          <w:rFonts w:cs="Times New Roman"/>
        </w:rPr>
        <w:t>74.</w:t>
      </w:r>
      <w:r w:rsidRPr="00895FA0">
        <w:rPr>
          <w:rFonts w:cs="Times New Roman"/>
        </w:rPr>
        <w:tab/>
        <w:t xml:space="preserve">Huang, K. </w:t>
      </w:r>
      <w:r w:rsidRPr="00895FA0">
        <w:rPr>
          <w:rFonts w:cs="Times New Roman"/>
          <w:i/>
          <w:iCs/>
        </w:rPr>
        <w:t>et al.</w:t>
      </w:r>
      <w:r w:rsidRPr="00895FA0">
        <w:rPr>
          <w:rFonts w:cs="Times New Roman"/>
        </w:rPr>
        <w:t xml:space="preserve"> Host Phylogeny and Diet Shape Gut Microbial Communities Within Bamboo-Feeding Insects. </w:t>
      </w:r>
      <w:r w:rsidRPr="00895FA0">
        <w:rPr>
          <w:rFonts w:cs="Times New Roman"/>
          <w:i/>
          <w:iCs/>
        </w:rPr>
        <w:t>Frontiers in Microbiology</w:t>
      </w:r>
      <w:r w:rsidRPr="00895FA0">
        <w:rPr>
          <w:rFonts w:cs="Times New Roman"/>
        </w:rPr>
        <w:t xml:space="preserve"> </w:t>
      </w:r>
      <w:r w:rsidRPr="00895FA0">
        <w:rPr>
          <w:rFonts w:cs="Times New Roman"/>
          <w:b/>
          <w:bCs/>
        </w:rPr>
        <w:t>12</w:t>
      </w:r>
      <w:r w:rsidRPr="00895FA0">
        <w:rPr>
          <w:rFonts w:cs="Times New Roman"/>
        </w:rPr>
        <w:t>, (2021).</w:t>
      </w:r>
    </w:p>
    <w:p w14:paraId="471F4670" w14:textId="77777777" w:rsidR="00895FA0" w:rsidRPr="00895FA0" w:rsidRDefault="00895FA0" w:rsidP="00895FA0">
      <w:pPr>
        <w:pStyle w:val="Bibliography"/>
        <w:rPr>
          <w:rFonts w:cs="Times New Roman"/>
        </w:rPr>
      </w:pPr>
      <w:r w:rsidRPr="00895FA0">
        <w:rPr>
          <w:rFonts w:cs="Times New Roman"/>
        </w:rPr>
        <w:t>75.</w:t>
      </w:r>
      <w:r w:rsidRPr="00895FA0">
        <w:rPr>
          <w:rFonts w:cs="Times New Roman"/>
        </w:rPr>
        <w:tab/>
        <w:t xml:space="preserve">Lim, S. J. &amp; Bordenstein, S. R. An introduction to phylosymbiosis. </w:t>
      </w:r>
      <w:r w:rsidRPr="00895FA0">
        <w:rPr>
          <w:rFonts w:cs="Times New Roman"/>
          <w:i/>
          <w:iCs/>
        </w:rPr>
        <w:t>Proc. R. Soc. B.</w:t>
      </w:r>
      <w:r w:rsidRPr="00895FA0">
        <w:rPr>
          <w:rFonts w:cs="Times New Roman"/>
        </w:rPr>
        <w:t xml:space="preserve"> </w:t>
      </w:r>
      <w:r w:rsidRPr="00895FA0">
        <w:rPr>
          <w:rFonts w:cs="Times New Roman"/>
          <w:b/>
          <w:bCs/>
        </w:rPr>
        <w:t>287</w:t>
      </w:r>
      <w:r w:rsidRPr="00895FA0">
        <w:rPr>
          <w:rFonts w:cs="Times New Roman"/>
        </w:rPr>
        <w:t>, 20192900 (2020).</w:t>
      </w:r>
    </w:p>
    <w:p w14:paraId="555503BC" w14:textId="53F611A2" w:rsidR="00895FA0" w:rsidRDefault="00895FA0">
      <w:pPr>
        <w:rPr>
          <w:b/>
          <w:bCs/>
        </w:rPr>
      </w:pPr>
      <w:r>
        <w:rPr>
          <w:b/>
          <w:bCs/>
        </w:rPr>
        <w:fldChar w:fldCharType="end"/>
      </w:r>
    </w:p>
    <w:p w14:paraId="59B7A356" w14:textId="77777777" w:rsidR="006D7554" w:rsidRDefault="006D7554">
      <w:pPr>
        <w:rPr>
          <w:b/>
          <w:bCs/>
        </w:rPr>
        <w:sectPr w:rsidR="006D7554" w:rsidSect="006742BC">
          <w:pgSz w:w="12240" w:h="15840"/>
          <w:pgMar w:top="1440" w:right="1440" w:bottom="1440" w:left="1440" w:header="720" w:footer="720" w:gutter="0"/>
          <w:cols w:space="720"/>
          <w:docGrid w:linePitch="360"/>
        </w:sectPr>
      </w:pPr>
    </w:p>
    <w:p w14:paraId="7D78169A" w14:textId="0F21FBD4" w:rsidR="001C7EEC" w:rsidRDefault="0069431B">
      <w:pPr>
        <w:rPr>
          <w:b/>
          <w:bCs/>
        </w:rPr>
      </w:pPr>
      <w:r>
        <w:rPr>
          <w:b/>
          <w:bCs/>
        </w:rPr>
        <w:lastRenderedPageBreak/>
        <w:t>3.7 Tables</w:t>
      </w:r>
    </w:p>
    <w:p w14:paraId="5472B7A6" w14:textId="77777777" w:rsidR="0069431B" w:rsidRDefault="0069431B">
      <w:pPr>
        <w:rPr>
          <w:b/>
          <w:bCs/>
        </w:rPr>
      </w:pPr>
    </w:p>
    <w:p w14:paraId="0DFD8A01" w14:textId="77777777" w:rsidR="002663D4" w:rsidRPr="002663D4" w:rsidRDefault="002663D4" w:rsidP="002663D4">
      <w:pPr>
        <w:rPr>
          <w:b/>
          <w:bCs/>
        </w:rPr>
      </w:pPr>
      <w:r w:rsidRPr="002663D4">
        <w:rPr>
          <w:b/>
          <w:bCs/>
        </w:rPr>
        <w:t>Table 3.1. Linear mixed models testing the effects of sampling region, dominant blood meal, and blood meal richness on alpha diversity across pasture palms after accounting for triatomine age groups.</w:t>
      </w:r>
    </w:p>
    <w:p w14:paraId="52A3EEE0" w14:textId="77777777" w:rsidR="002663D4" w:rsidRPr="002663D4" w:rsidRDefault="002663D4" w:rsidP="002663D4">
      <w:r w:rsidRPr="002663D4">
        <w:t xml:space="preserve">Alpha diversity values were log-transformed prior to fitting and palm identity was included as a random effect. </w:t>
      </w:r>
    </w:p>
    <w:p w14:paraId="1830EDE5" w14:textId="6BA1BBF2" w:rsidR="0069431B" w:rsidRDefault="002663D4">
      <w:r w:rsidRPr="002663D4">
        <w:t>Marginal R</w:t>
      </w:r>
      <w:r w:rsidRPr="00534DEE">
        <w:rPr>
          <w:vertAlign w:val="superscript"/>
        </w:rPr>
        <w:t>2</w:t>
      </w:r>
      <w:r w:rsidRPr="002663D4">
        <w:t xml:space="preserve"> values were reported for full models and partial R2 values were reported for each covariate. Significant relationships are shown in bold.</w:t>
      </w:r>
    </w:p>
    <w:p w14:paraId="3853AC14" w14:textId="77777777" w:rsidR="00D76F98" w:rsidRDefault="00D76F98"/>
    <w:p w14:paraId="1E88950B" w14:textId="77777777" w:rsidR="00D76F98" w:rsidRDefault="00D76F98"/>
    <w:p w14:paraId="0BA3BBCE" w14:textId="77777777" w:rsidR="00D76F98" w:rsidRPr="00D76F98" w:rsidRDefault="00D76F98"/>
    <w:tbl>
      <w:tblPr>
        <w:tblW w:w="12960" w:type="dxa"/>
        <w:tblLook w:val="04A0" w:firstRow="1" w:lastRow="0" w:firstColumn="1" w:lastColumn="0" w:noHBand="0" w:noVBand="1"/>
      </w:tblPr>
      <w:tblGrid>
        <w:gridCol w:w="3126"/>
        <w:gridCol w:w="14"/>
        <w:gridCol w:w="1288"/>
        <w:gridCol w:w="12"/>
        <w:gridCol w:w="1290"/>
        <w:gridCol w:w="10"/>
        <w:gridCol w:w="1292"/>
        <w:gridCol w:w="8"/>
        <w:gridCol w:w="1294"/>
        <w:gridCol w:w="6"/>
        <w:gridCol w:w="1300"/>
        <w:gridCol w:w="1302"/>
        <w:gridCol w:w="1302"/>
        <w:gridCol w:w="716"/>
      </w:tblGrid>
      <w:tr w:rsidR="00303FAC" w:rsidRPr="00303FAC" w14:paraId="36D7BB61"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2D0DE4FF"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0916C9A8" w14:textId="77777777" w:rsidR="00303FAC" w:rsidRPr="00303FAC" w:rsidRDefault="00303FAC" w:rsidP="00303FAC">
            <w:pPr>
              <w:rPr>
                <w:rFonts w:eastAsia="Times New Roman" w:cs="Times New Roman"/>
                <w:b/>
                <w:bCs/>
                <w:color w:val="000000"/>
              </w:rPr>
            </w:pPr>
            <w:r w:rsidRPr="00303FAC">
              <w:rPr>
                <w:rFonts w:eastAsia="Times New Roman" w:cs="Times New Roman"/>
                <w:b/>
                <w:bCs/>
                <w:color w:val="000000"/>
              </w:rPr>
              <w:t>R^2</w:t>
            </w:r>
          </w:p>
        </w:tc>
        <w:tc>
          <w:tcPr>
            <w:tcW w:w="1302" w:type="dxa"/>
            <w:gridSpan w:val="2"/>
            <w:tcBorders>
              <w:top w:val="nil"/>
              <w:left w:val="nil"/>
              <w:bottom w:val="nil"/>
              <w:right w:val="nil"/>
            </w:tcBorders>
            <w:shd w:val="clear" w:color="auto" w:fill="auto"/>
            <w:noWrap/>
            <w:vAlign w:val="bottom"/>
            <w:hideMark/>
          </w:tcPr>
          <w:p w14:paraId="4A42DC4A" w14:textId="77777777" w:rsidR="00303FAC" w:rsidRPr="00303FAC" w:rsidRDefault="00303FAC" w:rsidP="00303FAC">
            <w:pPr>
              <w:rPr>
                <w:rFonts w:eastAsia="Times New Roman" w:cs="Times New Roman"/>
                <w:b/>
                <w:bCs/>
                <w:color w:val="000000"/>
              </w:rPr>
            </w:pPr>
            <w:r w:rsidRPr="00303FAC">
              <w:rPr>
                <w:rFonts w:eastAsia="Times New Roman" w:cs="Times New Roman"/>
                <w:b/>
                <w:bCs/>
                <w:color w:val="000000"/>
              </w:rPr>
              <w:t>Sum SQ</w:t>
            </w:r>
          </w:p>
        </w:tc>
        <w:tc>
          <w:tcPr>
            <w:tcW w:w="1302" w:type="dxa"/>
            <w:gridSpan w:val="2"/>
            <w:tcBorders>
              <w:top w:val="nil"/>
              <w:left w:val="nil"/>
              <w:bottom w:val="nil"/>
              <w:right w:val="nil"/>
            </w:tcBorders>
            <w:shd w:val="clear" w:color="auto" w:fill="auto"/>
            <w:noWrap/>
            <w:vAlign w:val="bottom"/>
            <w:hideMark/>
          </w:tcPr>
          <w:p w14:paraId="0209EDCF" w14:textId="77777777" w:rsidR="00303FAC" w:rsidRPr="00303FAC" w:rsidRDefault="00303FAC" w:rsidP="00303FAC">
            <w:pPr>
              <w:rPr>
                <w:rFonts w:eastAsia="Times New Roman" w:cs="Times New Roman"/>
                <w:b/>
                <w:bCs/>
                <w:color w:val="000000"/>
              </w:rPr>
            </w:pPr>
            <w:r w:rsidRPr="00303FAC">
              <w:rPr>
                <w:rFonts w:eastAsia="Times New Roman" w:cs="Times New Roman"/>
                <w:b/>
                <w:bCs/>
                <w:color w:val="000000"/>
              </w:rPr>
              <w:t>Mean SQ</w:t>
            </w:r>
          </w:p>
        </w:tc>
        <w:tc>
          <w:tcPr>
            <w:tcW w:w="1302" w:type="dxa"/>
            <w:gridSpan w:val="2"/>
            <w:tcBorders>
              <w:top w:val="nil"/>
              <w:left w:val="nil"/>
              <w:bottom w:val="nil"/>
              <w:right w:val="nil"/>
            </w:tcBorders>
            <w:shd w:val="clear" w:color="auto" w:fill="auto"/>
            <w:noWrap/>
            <w:vAlign w:val="bottom"/>
            <w:hideMark/>
          </w:tcPr>
          <w:p w14:paraId="51F4D964" w14:textId="77777777" w:rsidR="00303FAC" w:rsidRPr="00303FAC" w:rsidRDefault="00303FAC" w:rsidP="00303FAC">
            <w:pPr>
              <w:rPr>
                <w:rFonts w:eastAsia="Times New Roman" w:cs="Times New Roman"/>
                <w:b/>
                <w:bCs/>
                <w:color w:val="000000"/>
              </w:rPr>
            </w:pPr>
            <w:r w:rsidRPr="00303FAC">
              <w:rPr>
                <w:rFonts w:eastAsia="Times New Roman" w:cs="Times New Roman"/>
                <w:b/>
                <w:bCs/>
                <w:color w:val="000000"/>
              </w:rPr>
              <w:t>NumDF</w:t>
            </w:r>
          </w:p>
        </w:tc>
        <w:tc>
          <w:tcPr>
            <w:tcW w:w="1302" w:type="dxa"/>
            <w:gridSpan w:val="2"/>
            <w:tcBorders>
              <w:top w:val="nil"/>
              <w:left w:val="nil"/>
              <w:bottom w:val="nil"/>
              <w:right w:val="nil"/>
            </w:tcBorders>
            <w:shd w:val="clear" w:color="auto" w:fill="auto"/>
            <w:noWrap/>
            <w:vAlign w:val="bottom"/>
            <w:hideMark/>
          </w:tcPr>
          <w:p w14:paraId="3944BE34" w14:textId="77777777" w:rsidR="00303FAC" w:rsidRPr="00303FAC" w:rsidRDefault="00303FAC" w:rsidP="00303FAC">
            <w:pPr>
              <w:rPr>
                <w:rFonts w:eastAsia="Times New Roman" w:cs="Times New Roman"/>
                <w:b/>
                <w:bCs/>
                <w:color w:val="000000"/>
              </w:rPr>
            </w:pPr>
            <w:r w:rsidRPr="00303FAC">
              <w:rPr>
                <w:rFonts w:eastAsia="Times New Roman" w:cs="Times New Roman"/>
                <w:b/>
                <w:bCs/>
                <w:color w:val="000000"/>
              </w:rPr>
              <w:t>DenDF</w:t>
            </w:r>
          </w:p>
        </w:tc>
        <w:tc>
          <w:tcPr>
            <w:tcW w:w="1302" w:type="dxa"/>
            <w:tcBorders>
              <w:top w:val="nil"/>
              <w:left w:val="nil"/>
              <w:bottom w:val="nil"/>
              <w:right w:val="nil"/>
            </w:tcBorders>
            <w:shd w:val="clear" w:color="auto" w:fill="auto"/>
            <w:noWrap/>
            <w:vAlign w:val="bottom"/>
            <w:hideMark/>
          </w:tcPr>
          <w:p w14:paraId="1D419873" w14:textId="77777777" w:rsidR="00303FAC" w:rsidRPr="00303FAC" w:rsidRDefault="00303FAC" w:rsidP="00303FAC">
            <w:pPr>
              <w:rPr>
                <w:rFonts w:eastAsia="Times New Roman" w:cs="Times New Roman"/>
                <w:b/>
                <w:bCs/>
                <w:color w:val="000000"/>
              </w:rPr>
            </w:pPr>
            <w:r w:rsidRPr="00303FAC">
              <w:rPr>
                <w:rFonts w:eastAsia="Times New Roman" w:cs="Times New Roman"/>
                <w:b/>
                <w:bCs/>
                <w:color w:val="000000"/>
              </w:rPr>
              <w:t>F Statistic</w:t>
            </w:r>
          </w:p>
        </w:tc>
        <w:tc>
          <w:tcPr>
            <w:tcW w:w="1302" w:type="dxa"/>
            <w:tcBorders>
              <w:top w:val="nil"/>
              <w:left w:val="nil"/>
              <w:bottom w:val="nil"/>
              <w:right w:val="nil"/>
            </w:tcBorders>
            <w:shd w:val="clear" w:color="auto" w:fill="auto"/>
            <w:noWrap/>
            <w:vAlign w:val="bottom"/>
            <w:hideMark/>
          </w:tcPr>
          <w:p w14:paraId="78823928" w14:textId="77777777" w:rsidR="00303FAC" w:rsidRPr="00303FAC" w:rsidRDefault="00303FAC" w:rsidP="00303FAC">
            <w:pPr>
              <w:rPr>
                <w:rFonts w:eastAsia="Times New Roman" w:cs="Times New Roman"/>
                <w:b/>
                <w:bCs/>
                <w:color w:val="000000"/>
              </w:rPr>
            </w:pPr>
            <w:r w:rsidRPr="00303FAC">
              <w:rPr>
                <w:rFonts w:eastAsia="Times New Roman" w:cs="Times New Roman"/>
                <w:b/>
                <w:bCs/>
                <w:color w:val="000000"/>
              </w:rPr>
              <w:t>p value</w:t>
            </w:r>
          </w:p>
        </w:tc>
      </w:tr>
      <w:tr w:rsidR="00303FAC" w:rsidRPr="00303FAC" w14:paraId="4C2D15C3"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0D3C37DB" w14:textId="77777777" w:rsidR="00303FAC" w:rsidRPr="00303FAC" w:rsidRDefault="00303FAC" w:rsidP="00303FAC">
            <w:pPr>
              <w:rPr>
                <w:rFonts w:eastAsia="Times New Roman" w:cs="Times New Roman"/>
                <w:b/>
                <w:bCs/>
                <w:color w:val="000000"/>
              </w:rPr>
            </w:pPr>
            <w:r w:rsidRPr="00303FAC">
              <w:rPr>
                <w:rFonts w:eastAsia="Times New Roman" w:cs="Times New Roman"/>
                <w:b/>
                <w:bCs/>
                <w:color w:val="000000"/>
              </w:rPr>
              <w:t>ASV Richness</w:t>
            </w:r>
          </w:p>
        </w:tc>
        <w:tc>
          <w:tcPr>
            <w:tcW w:w="1302" w:type="dxa"/>
            <w:gridSpan w:val="2"/>
            <w:tcBorders>
              <w:top w:val="nil"/>
              <w:left w:val="nil"/>
              <w:bottom w:val="nil"/>
              <w:right w:val="nil"/>
            </w:tcBorders>
            <w:shd w:val="clear" w:color="auto" w:fill="auto"/>
            <w:noWrap/>
            <w:vAlign w:val="bottom"/>
            <w:hideMark/>
          </w:tcPr>
          <w:p w14:paraId="5A378833" w14:textId="77777777" w:rsidR="00303FAC" w:rsidRPr="00303FAC" w:rsidRDefault="00303FAC" w:rsidP="00303FAC">
            <w:pPr>
              <w:rPr>
                <w:rFonts w:eastAsia="Times New Roman" w:cs="Times New Roman"/>
                <w:b/>
                <w:bCs/>
                <w:color w:val="000000"/>
              </w:rPr>
            </w:pPr>
          </w:p>
        </w:tc>
        <w:tc>
          <w:tcPr>
            <w:tcW w:w="1302" w:type="dxa"/>
            <w:gridSpan w:val="2"/>
            <w:tcBorders>
              <w:top w:val="nil"/>
              <w:left w:val="nil"/>
              <w:bottom w:val="nil"/>
              <w:right w:val="nil"/>
            </w:tcBorders>
            <w:shd w:val="clear" w:color="auto" w:fill="auto"/>
            <w:noWrap/>
            <w:vAlign w:val="bottom"/>
            <w:hideMark/>
          </w:tcPr>
          <w:p w14:paraId="1F70FCD9"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4CA0CF06"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5032E9E0"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4C432844"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476C9623"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2BC8A9F6" w14:textId="77777777" w:rsidR="00303FAC" w:rsidRPr="00303FAC" w:rsidRDefault="00303FAC" w:rsidP="00303FAC">
            <w:pPr>
              <w:rPr>
                <w:rFonts w:eastAsia="Times New Roman" w:cs="Times New Roman"/>
              </w:rPr>
            </w:pPr>
          </w:p>
        </w:tc>
      </w:tr>
      <w:tr w:rsidR="00303FAC" w:rsidRPr="00303FAC" w14:paraId="0B8FE4CF"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78A8BA0B"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Age group</w:t>
            </w:r>
          </w:p>
        </w:tc>
        <w:tc>
          <w:tcPr>
            <w:tcW w:w="1302" w:type="dxa"/>
            <w:gridSpan w:val="2"/>
            <w:tcBorders>
              <w:top w:val="nil"/>
              <w:left w:val="nil"/>
              <w:bottom w:val="nil"/>
              <w:right w:val="nil"/>
            </w:tcBorders>
            <w:shd w:val="clear" w:color="auto" w:fill="auto"/>
            <w:noWrap/>
            <w:vAlign w:val="bottom"/>
            <w:hideMark/>
          </w:tcPr>
          <w:p w14:paraId="7BF640E3"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0.1009</w:t>
            </w:r>
          </w:p>
        </w:tc>
        <w:tc>
          <w:tcPr>
            <w:tcW w:w="1302" w:type="dxa"/>
            <w:gridSpan w:val="2"/>
            <w:tcBorders>
              <w:top w:val="nil"/>
              <w:left w:val="nil"/>
              <w:bottom w:val="nil"/>
              <w:right w:val="nil"/>
            </w:tcBorders>
            <w:shd w:val="clear" w:color="auto" w:fill="auto"/>
            <w:noWrap/>
            <w:vAlign w:val="bottom"/>
            <w:hideMark/>
          </w:tcPr>
          <w:p w14:paraId="31243F46"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0.19707</w:t>
            </w:r>
          </w:p>
        </w:tc>
        <w:tc>
          <w:tcPr>
            <w:tcW w:w="1302" w:type="dxa"/>
            <w:gridSpan w:val="2"/>
            <w:tcBorders>
              <w:top w:val="nil"/>
              <w:left w:val="nil"/>
              <w:bottom w:val="nil"/>
              <w:right w:val="nil"/>
            </w:tcBorders>
            <w:shd w:val="clear" w:color="auto" w:fill="auto"/>
            <w:noWrap/>
            <w:vAlign w:val="bottom"/>
            <w:hideMark/>
          </w:tcPr>
          <w:p w14:paraId="569C2F2E"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0.197074</w:t>
            </w:r>
          </w:p>
        </w:tc>
        <w:tc>
          <w:tcPr>
            <w:tcW w:w="1302" w:type="dxa"/>
            <w:gridSpan w:val="2"/>
            <w:tcBorders>
              <w:top w:val="nil"/>
              <w:left w:val="nil"/>
              <w:bottom w:val="nil"/>
              <w:right w:val="nil"/>
            </w:tcBorders>
            <w:shd w:val="clear" w:color="auto" w:fill="auto"/>
            <w:noWrap/>
            <w:vAlign w:val="bottom"/>
            <w:hideMark/>
          </w:tcPr>
          <w:p w14:paraId="40CACDE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1</w:t>
            </w:r>
          </w:p>
        </w:tc>
        <w:tc>
          <w:tcPr>
            <w:tcW w:w="1302" w:type="dxa"/>
            <w:gridSpan w:val="2"/>
            <w:tcBorders>
              <w:top w:val="nil"/>
              <w:left w:val="nil"/>
              <w:bottom w:val="nil"/>
              <w:right w:val="nil"/>
            </w:tcBorders>
            <w:shd w:val="clear" w:color="auto" w:fill="auto"/>
            <w:noWrap/>
            <w:vAlign w:val="bottom"/>
            <w:hideMark/>
          </w:tcPr>
          <w:p w14:paraId="3F49063B"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90.846</w:t>
            </w:r>
          </w:p>
        </w:tc>
        <w:tc>
          <w:tcPr>
            <w:tcW w:w="1302" w:type="dxa"/>
            <w:tcBorders>
              <w:top w:val="nil"/>
              <w:left w:val="nil"/>
              <w:bottom w:val="nil"/>
              <w:right w:val="nil"/>
            </w:tcBorders>
            <w:shd w:val="clear" w:color="auto" w:fill="auto"/>
            <w:noWrap/>
            <w:vAlign w:val="bottom"/>
            <w:hideMark/>
          </w:tcPr>
          <w:p w14:paraId="6F80E8F0"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3.4099</w:t>
            </w:r>
          </w:p>
        </w:tc>
        <w:tc>
          <w:tcPr>
            <w:tcW w:w="1302" w:type="dxa"/>
            <w:tcBorders>
              <w:top w:val="nil"/>
              <w:left w:val="nil"/>
              <w:bottom w:val="nil"/>
              <w:right w:val="nil"/>
            </w:tcBorders>
            <w:shd w:val="clear" w:color="auto" w:fill="auto"/>
            <w:noWrap/>
            <w:vAlign w:val="bottom"/>
            <w:hideMark/>
          </w:tcPr>
          <w:p w14:paraId="3F75216B"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0.06806</w:t>
            </w:r>
          </w:p>
        </w:tc>
      </w:tr>
      <w:tr w:rsidR="00303FAC" w:rsidRPr="00303FAC" w14:paraId="31E6F0DF"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2A4991FF"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Sampling region</w:t>
            </w:r>
          </w:p>
        </w:tc>
        <w:tc>
          <w:tcPr>
            <w:tcW w:w="1302" w:type="dxa"/>
            <w:gridSpan w:val="2"/>
            <w:tcBorders>
              <w:top w:val="nil"/>
              <w:left w:val="nil"/>
              <w:bottom w:val="nil"/>
              <w:right w:val="nil"/>
            </w:tcBorders>
            <w:shd w:val="clear" w:color="auto" w:fill="auto"/>
            <w:noWrap/>
            <w:vAlign w:val="bottom"/>
            <w:hideMark/>
          </w:tcPr>
          <w:p w14:paraId="6372B156"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0.2811</w:t>
            </w:r>
          </w:p>
        </w:tc>
        <w:tc>
          <w:tcPr>
            <w:tcW w:w="1302" w:type="dxa"/>
            <w:gridSpan w:val="2"/>
            <w:tcBorders>
              <w:top w:val="nil"/>
              <w:left w:val="nil"/>
              <w:bottom w:val="nil"/>
              <w:right w:val="nil"/>
            </w:tcBorders>
            <w:shd w:val="clear" w:color="auto" w:fill="auto"/>
            <w:noWrap/>
            <w:vAlign w:val="bottom"/>
            <w:hideMark/>
          </w:tcPr>
          <w:p w14:paraId="420A17F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0.34123</w:t>
            </w:r>
          </w:p>
        </w:tc>
        <w:tc>
          <w:tcPr>
            <w:tcW w:w="1302" w:type="dxa"/>
            <w:gridSpan w:val="2"/>
            <w:tcBorders>
              <w:top w:val="nil"/>
              <w:left w:val="nil"/>
              <w:bottom w:val="nil"/>
              <w:right w:val="nil"/>
            </w:tcBorders>
            <w:shd w:val="clear" w:color="auto" w:fill="auto"/>
            <w:noWrap/>
            <w:vAlign w:val="bottom"/>
            <w:hideMark/>
          </w:tcPr>
          <w:p w14:paraId="1845616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0.170613</w:t>
            </w:r>
          </w:p>
        </w:tc>
        <w:tc>
          <w:tcPr>
            <w:tcW w:w="1302" w:type="dxa"/>
            <w:gridSpan w:val="2"/>
            <w:tcBorders>
              <w:top w:val="nil"/>
              <w:left w:val="nil"/>
              <w:bottom w:val="nil"/>
              <w:right w:val="nil"/>
            </w:tcBorders>
            <w:shd w:val="clear" w:color="auto" w:fill="auto"/>
            <w:noWrap/>
            <w:vAlign w:val="bottom"/>
            <w:hideMark/>
          </w:tcPr>
          <w:p w14:paraId="38B57E23"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w:t>
            </w:r>
          </w:p>
        </w:tc>
        <w:tc>
          <w:tcPr>
            <w:tcW w:w="1302" w:type="dxa"/>
            <w:gridSpan w:val="2"/>
            <w:tcBorders>
              <w:top w:val="nil"/>
              <w:left w:val="nil"/>
              <w:bottom w:val="nil"/>
              <w:right w:val="nil"/>
            </w:tcBorders>
            <w:shd w:val="clear" w:color="auto" w:fill="auto"/>
            <w:noWrap/>
            <w:vAlign w:val="bottom"/>
            <w:hideMark/>
          </w:tcPr>
          <w:p w14:paraId="25B4CB86"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29.379</w:t>
            </w:r>
          </w:p>
        </w:tc>
        <w:tc>
          <w:tcPr>
            <w:tcW w:w="1302" w:type="dxa"/>
            <w:tcBorders>
              <w:top w:val="nil"/>
              <w:left w:val="nil"/>
              <w:bottom w:val="nil"/>
              <w:right w:val="nil"/>
            </w:tcBorders>
            <w:shd w:val="clear" w:color="auto" w:fill="auto"/>
            <w:noWrap/>
            <w:vAlign w:val="bottom"/>
            <w:hideMark/>
          </w:tcPr>
          <w:p w14:paraId="23F0A01C"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2.952</w:t>
            </w:r>
          </w:p>
        </w:tc>
        <w:tc>
          <w:tcPr>
            <w:tcW w:w="1302" w:type="dxa"/>
            <w:tcBorders>
              <w:top w:val="nil"/>
              <w:left w:val="nil"/>
              <w:bottom w:val="nil"/>
              <w:right w:val="nil"/>
            </w:tcBorders>
            <w:shd w:val="clear" w:color="auto" w:fill="auto"/>
            <w:noWrap/>
            <w:vAlign w:val="bottom"/>
            <w:hideMark/>
          </w:tcPr>
          <w:p w14:paraId="613B1023"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0.06788</w:t>
            </w:r>
          </w:p>
        </w:tc>
      </w:tr>
      <w:tr w:rsidR="00303FAC" w:rsidRPr="00303FAC" w14:paraId="461B97E8"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03B372E8"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Blood meal richness</w:t>
            </w:r>
          </w:p>
        </w:tc>
        <w:tc>
          <w:tcPr>
            <w:tcW w:w="1302" w:type="dxa"/>
            <w:gridSpan w:val="2"/>
            <w:tcBorders>
              <w:top w:val="nil"/>
              <w:left w:val="nil"/>
              <w:bottom w:val="nil"/>
              <w:right w:val="nil"/>
            </w:tcBorders>
            <w:shd w:val="clear" w:color="auto" w:fill="auto"/>
            <w:noWrap/>
            <w:vAlign w:val="bottom"/>
            <w:hideMark/>
          </w:tcPr>
          <w:p w14:paraId="164BE43C"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0.121</w:t>
            </w:r>
          </w:p>
        </w:tc>
        <w:tc>
          <w:tcPr>
            <w:tcW w:w="1302" w:type="dxa"/>
            <w:gridSpan w:val="2"/>
            <w:tcBorders>
              <w:top w:val="nil"/>
              <w:left w:val="nil"/>
              <w:bottom w:val="nil"/>
              <w:right w:val="nil"/>
            </w:tcBorders>
            <w:shd w:val="clear" w:color="auto" w:fill="auto"/>
            <w:noWrap/>
            <w:vAlign w:val="bottom"/>
            <w:hideMark/>
          </w:tcPr>
          <w:p w14:paraId="787F7CE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0.37833</w:t>
            </w:r>
          </w:p>
        </w:tc>
        <w:tc>
          <w:tcPr>
            <w:tcW w:w="1302" w:type="dxa"/>
            <w:gridSpan w:val="2"/>
            <w:tcBorders>
              <w:top w:val="nil"/>
              <w:left w:val="nil"/>
              <w:bottom w:val="nil"/>
              <w:right w:val="nil"/>
            </w:tcBorders>
            <w:shd w:val="clear" w:color="auto" w:fill="auto"/>
            <w:noWrap/>
            <w:vAlign w:val="bottom"/>
            <w:hideMark/>
          </w:tcPr>
          <w:p w14:paraId="4DE6AE96"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0.126112</w:t>
            </w:r>
          </w:p>
        </w:tc>
        <w:tc>
          <w:tcPr>
            <w:tcW w:w="1302" w:type="dxa"/>
            <w:gridSpan w:val="2"/>
            <w:tcBorders>
              <w:top w:val="nil"/>
              <w:left w:val="nil"/>
              <w:bottom w:val="nil"/>
              <w:right w:val="nil"/>
            </w:tcBorders>
            <w:shd w:val="clear" w:color="auto" w:fill="auto"/>
            <w:noWrap/>
            <w:vAlign w:val="bottom"/>
            <w:hideMark/>
          </w:tcPr>
          <w:p w14:paraId="25C48B3B"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3</w:t>
            </w:r>
          </w:p>
        </w:tc>
        <w:tc>
          <w:tcPr>
            <w:tcW w:w="1302" w:type="dxa"/>
            <w:gridSpan w:val="2"/>
            <w:tcBorders>
              <w:top w:val="nil"/>
              <w:left w:val="nil"/>
              <w:bottom w:val="nil"/>
              <w:right w:val="nil"/>
            </w:tcBorders>
            <w:shd w:val="clear" w:color="auto" w:fill="auto"/>
            <w:noWrap/>
            <w:vAlign w:val="bottom"/>
            <w:hideMark/>
          </w:tcPr>
          <w:p w14:paraId="001E2F0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94.276</w:t>
            </w:r>
          </w:p>
        </w:tc>
        <w:tc>
          <w:tcPr>
            <w:tcW w:w="1302" w:type="dxa"/>
            <w:tcBorders>
              <w:top w:val="nil"/>
              <w:left w:val="nil"/>
              <w:bottom w:val="nil"/>
              <w:right w:val="nil"/>
            </w:tcBorders>
            <w:shd w:val="clear" w:color="auto" w:fill="auto"/>
            <w:noWrap/>
            <w:vAlign w:val="bottom"/>
            <w:hideMark/>
          </w:tcPr>
          <w:p w14:paraId="20FDE14D"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2.182</w:t>
            </w:r>
          </w:p>
        </w:tc>
        <w:tc>
          <w:tcPr>
            <w:tcW w:w="1302" w:type="dxa"/>
            <w:tcBorders>
              <w:top w:val="nil"/>
              <w:left w:val="nil"/>
              <w:bottom w:val="nil"/>
              <w:right w:val="nil"/>
            </w:tcBorders>
            <w:shd w:val="clear" w:color="auto" w:fill="auto"/>
            <w:noWrap/>
            <w:vAlign w:val="bottom"/>
            <w:hideMark/>
          </w:tcPr>
          <w:p w14:paraId="46B919B2"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0.09526</w:t>
            </w:r>
          </w:p>
        </w:tc>
      </w:tr>
      <w:tr w:rsidR="00303FAC" w:rsidRPr="00303FAC" w14:paraId="5B766039"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2B9F7BBF"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Dominant blood meal</w:t>
            </w:r>
          </w:p>
        </w:tc>
        <w:tc>
          <w:tcPr>
            <w:tcW w:w="1302" w:type="dxa"/>
            <w:gridSpan w:val="2"/>
            <w:tcBorders>
              <w:top w:val="nil"/>
              <w:left w:val="nil"/>
              <w:bottom w:val="nil"/>
              <w:right w:val="nil"/>
            </w:tcBorders>
            <w:shd w:val="clear" w:color="auto" w:fill="auto"/>
            <w:noWrap/>
            <w:vAlign w:val="bottom"/>
            <w:hideMark/>
          </w:tcPr>
          <w:p w14:paraId="205B0769"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0.019</w:t>
            </w:r>
          </w:p>
        </w:tc>
        <w:tc>
          <w:tcPr>
            <w:tcW w:w="1302" w:type="dxa"/>
            <w:gridSpan w:val="2"/>
            <w:tcBorders>
              <w:top w:val="nil"/>
              <w:left w:val="nil"/>
              <w:bottom w:val="nil"/>
              <w:right w:val="nil"/>
            </w:tcBorders>
            <w:shd w:val="clear" w:color="auto" w:fill="auto"/>
            <w:noWrap/>
            <w:vAlign w:val="bottom"/>
            <w:hideMark/>
          </w:tcPr>
          <w:p w14:paraId="5F380363"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0.56492</w:t>
            </w:r>
          </w:p>
        </w:tc>
        <w:tc>
          <w:tcPr>
            <w:tcW w:w="1302" w:type="dxa"/>
            <w:gridSpan w:val="2"/>
            <w:tcBorders>
              <w:top w:val="nil"/>
              <w:left w:val="nil"/>
              <w:bottom w:val="nil"/>
              <w:right w:val="nil"/>
            </w:tcBorders>
            <w:shd w:val="clear" w:color="auto" w:fill="auto"/>
            <w:noWrap/>
            <w:vAlign w:val="bottom"/>
            <w:hideMark/>
          </w:tcPr>
          <w:p w14:paraId="02E6C84E"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0.070615</w:t>
            </w:r>
          </w:p>
        </w:tc>
        <w:tc>
          <w:tcPr>
            <w:tcW w:w="1302" w:type="dxa"/>
            <w:gridSpan w:val="2"/>
            <w:tcBorders>
              <w:top w:val="nil"/>
              <w:left w:val="nil"/>
              <w:bottom w:val="nil"/>
              <w:right w:val="nil"/>
            </w:tcBorders>
            <w:shd w:val="clear" w:color="auto" w:fill="auto"/>
            <w:noWrap/>
            <w:vAlign w:val="bottom"/>
            <w:hideMark/>
          </w:tcPr>
          <w:p w14:paraId="6A9F1BEB"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8</w:t>
            </w:r>
          </w:p>
        </w:tc>
        <w:tc>
          <w:tcPr>
            <w:tcW w:w="1302" w:type="dxa"/>
            <w:gridSpan w:val="2"/>
            <w:tcBorders>
              <w:top w:val="nil"/>
              <w:left w:val="nil"/>
              <w:bottom w:val="nil"/>
              <w:right w:val="nil"/>
            </w:tcBorders>
            <w:shd w:val="clear" w:color="auto" w:fill="auto"/>
            <w:noWrap/>
            <w:vAlign w:val="bottom"/>
            <w:hideMark/>
          </w:tcPr>
          <w:p w14:paraId="74FF006E"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85.822</w:t>
            </w:r>
          </w:p>
        </w:tc>
        <w:tc>
          <w:tcPr>
            <w:tcW w:w="1302" w:type="dxa"/>
            <w:tcBorders>
              <w:top w:val="nil"/>
              <w:left w:val="nil"/>
              <w:bottom w:val="nil"/>
              <w:right w:val="nil"/>
            </w:tcBorders>
            <w:shd w:val="clear" w:color="auto" w:fill="auto"/>
            <w:noWrap/>
            <w:vAlign w:val="bottom"/>
            <w:hideMark/>
          </w:tcPr>
          <w:p w14:paraId="75C068AE"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1.2218</w:t>
            </w:r>
          </w:p>
        </w:tc>
        <w:tc>
          <w:tcPr>
            <w:tcW w:w="1302" w:type="dxa"/>
            <w:tcBorders>
              <w:top w:val="nil"/>
              <w:left w:val="nil"/>
              <w:bottom w:val="nil"/>
              <w:right w:val="nil"/>
            </w:tcBorders>
            <w:shd w:val="clear" w:color="auto" w:fill="auto"/>
            <w:noWrap/>
            <w:vAlign w:val="bottom"/>
            <w:hideMark/>
          </w:tcPr>
          <w:p w14:paraId="717CCAA0"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0.29617</w:t>
            </w:r>
          </w:p>
        </w:tc>
      </w:tr>
      <w:tr w:rsidR="00303FAC" w:rsidRPr="00303FAC" w14:paraId="31BFFB1E"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67564D89" w14:textId="77777777" w:rsidR="00303FAC" w:rsidRPr="00303FAC" w:rsidRDefault="00303FAC" w:rsidP="00303FAC">
            <w:pPr>
              <w:jc w:val="right"/>
              <w:rPr>
                <w:rFonts w:eastAsia="Times New Roman" w:cs="Times New Roman"/>
                <w:color w:val="000000"/>
              </w:rPr>
            </w:pPr>
          </w:p>
        </w:tc>
        <w:tc>
          <w:tcPr>
            <w:tcW w:w="1302" w:type="dxa"/>
            <w:gridSpan w:val="2"/>
            <w:tcBorders>
              <w:top w:val="nil"/>
              <w:left w:val="nil"/>
              <w:bottom w:val="nil"/>
              <w:right w:val="nil"/>
            </w:tcBorders>
            <w:shd w:val="clear" w:color="auto" w:fill="auto"/>
            <w:noWrap/>
            <w:vAlign w:val="bottom"/>
            <w:hideMark/>
          </w:tcPr>
          <w:p w14:paraId="74E97102"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3AA15DAD"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5B938ABD"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463E6D25"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63EE0147"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3CB3DCA8"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5B24E708" w14:textId="77777777" w:rsidR="00303FAC" w:rsidRPr="00303FAC" w:rsidRDefault="00303FAC" w:rsidP="00303FAC">
            <w:pPr>
              <w:rPr>
                <w:rFonts w:eastAsia="Times New Roman" w:cs="Times New Roman"/>
              </w:rPr>
            </w:pPr>
          </w:p>
        </w:tc>
      </w:tr>
      <w:tr w:rsidR="00303FAC" w:rsidRPr="00303FAC" w14:paraId="35024CE1"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2D11863E"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1457B1EC"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03516376"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6461463C"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02D057A0"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0DBE47DB"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57D74EE9"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79FB33E2" w14:textId="77777777" w:rsidR="00303FAC" w:rsidRPr="00303FAC" w:rsidRDefault="00303FAC" w:rsidP="00303FAC">
            <w:pPr>
              <w:rPr>
                <w:rFonts w:eastAsia="Times New Roman" w:cs="Times New Roman"/>
              </w:rPr>
            </w:pPr>
          </w:p>
        </w:tc>
      </w:tr>
      <w:tr w:rsidR="00303FAC" w:rsidRPr="00303FAC" w14:paraId="1DC09EBA"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344C1D3E" w14:textId="77777777" w:rsidR="00303FAC" w:rsidRPr="00303FAC" w:rsidRDefault="00303FAC" w:rsidP="00303FAC">
            <w:pPr>
              <w:rPr>
                <w:rFonts w:eastAsia="Times New Roman" w:cs="Times New Roman"/>
                <w:b/>
                <w:bCs/>
                <w:color w:val="000000"/>
              </w:rPr>
            </w:pPr>
            <w:r w:rsidRPr="00303FAC">
              <w:rPr>
                <w:rFonts w:eastAsia="Times New Roman" w:cs="Times New Roman"/>
                <w:b/>
                <w:bCs/>
                <w:color w:val="000000"/>
              </w:rPr>
              <w:t>Shannon</w:t>
            </w:r>
          </w:p>
        </w:tc>
        <w:tc>
          <w:tcPr>
            <w:tcW w:w="1302" w:type="dxa"/>
            <w:gridSpan w:val="2"/>
            <w:tcBorders>
              <w:top w:val="nil"/>
              <w:left w:val="nil"/>
              <w:bottom w:val="nil"/>
              <w:right w:val="nil"/>
            </w:tcBorders>
            <w:shd w:val="clear" w:color="auto" w:fill="auto"/>
            <w:noWrap/>
            <w:vAlign w:val="bottom"/>
            <w:hideMark/>
          </w:tcPr>
          <w:p w14:paraId="670AB4A1" w14:textId="77777777" w:rsidR="00303FAC" w:rsidRPr="00303FAC" w:rsidRDefault="00303FAC" w:rsidP="00303FAC">
            <w:pPr>
              <w:rPr>
                <w:rFonts w:eastAsia="Times New Roman" w:cs="Times New Roman"/>
                <w:b/>
                <w:bCs/>
                <w:color w:val="000000"/>
              </w:rPr>
            </w:pPr>
          </w:p>
        </w:tc>
        <w:tc>
          <w:tcPr>
            <w:tcW w:w="1302" w:type="dxa"/>
            <w:gridSpan w:val="2"/>
            <w:tcBorders>
              <w:top w:val="nil"/>
              <w:left w:val="nil"/>
              <w:bottom w:val="nil"/>
              <w:right w:val="nil"/>
            </w:tcBorders>
            <w:shd w:val="clear" w:color="auto" w:fill="auto"/>
            <w:noWrap/>
            <w:vAlign w:val="bottom"/>
            <w:hideMark/>
          </w:tcPr>
          <w:p w14:paraId="20C06DEA"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1145734A"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3064AA16"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20DDDD6B"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7A841A06"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38E75550" w14:textId="77777777" w:rsidR="00303FAC" w:rsidRPr="00303FAC" w:rsidRDefault="00303FAC" w:rsidP="00303FAC">
            <w:pPr>
              <w:rPr>
                <w:rFonts w:eastAsia="Times New Roman" w:cs="Times New Roman"/>
              </w:rPr>
            </w:pPr>
          </w:p>
        </w:tc>
      </w:tr>
      <w:tr w:rsidR="00303FAC" w:rsidRPr="00303FAC" w14:paraId="629E2852"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0196160C"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Age group</w:t>
            </w:r>
          </w:p>
        </w:tc>
        <w:tc>
          <w:tcPr>
            <w:tcW w:w="1302" w:type="dxa"/>
            <w:gridSpan w:val="2"/>
            <w:tcBorders>
              <w:top w:val="nil"/>
              <w:left w:val="nil"/>
              <w:bottom w:val="nil"/>
              <w:right w:val="nil"/>
            </w:tcBorders>
            <w:shd w:val="clear" w:color="auto" w:fill="auto"/>
            <w:noWrap/>
            <w:vAlign w:val="bottom"/>
            <w:hideMark/>
          </w:tcPr>
          <w:p w14:paraId="75D880FB"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0.0115</w:t>
            </w:r>
          </w:p>
        </w:tc>
        <w:tc>
          <w:tcPr>
            <w:tcW w:w="1302" w:type="dxa"/>
            <w:gridSpan w:val="2"/>
            <w:tcBorders>
              <w:top w:val="nil"/>
              <w:left w:val="nil"/>
              <w:bottom w:val="nil"/>
              <w:right w:val="nil"/>
            </w:tcBorders>
            <w:shd w:val="clear" w:color="auto" w:fill="auto"/>
            <w:noWrap/>
            <w:vAlign w:val="bottom"/>
            <w:hideMark/>
          </w:tcPr>
          <w:p w14:paraId="0DD906FD"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0.13187</w:t>
            </w:r>
          </w:p>
        </w:tc>
        <w:tc>
          <w:tcPr>
            <w:tcW w:w="1302" w:type="dxa"/>
            <w:gridSpan w:val="2"/>
            <w:tcBorders>
              <w:top w:val="nil"/>
              <w:left w:val="nil"/>
              <w:bottom w:val="nil"/>
              <w:right w:val="nil"/>
            </w:tcBorders>
            <w:shd w:val="clear" w:color="auto" w:fill="auto"/>
            <w:noWrap/>
            <w:vAlign w:val="bottom"/>
            <w:hideMark/>
          </w:tcPr>
          <w:p w14:paraId="59EDC2D8"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0.131867</w:t>
            </w:r>
          </w:p>
        </w:tc>
        <w:tc>
          <w:tcPr>
            <w:tcW w:w="1302" w:type="dxa"/>
            <w:gridSpan w:val="2"/>
            <w:tcBorders>
              <w:top w:val="nil"/>
              <w:left w:val="nil"/>
              <w:bottom w:val="nil"/>
              <w:right w:val="nil"/>
            </w:tcBorders>
            <w:shd w:val="clear" w:color="auto" w:fill="auto"/>
            <w:noWrap/>
            <w:vAlign w:val="bottom"/>
            <w:hideMark/>
          </w:tcPr>
          <w:p w14:paraId="1158B562"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1</w:t>
            </w:r>
          </w:p>
        </w:tc>
        <w:tc>
          <w:tcPr>
            <w:tcW w:w="1302" w:type="dxa"/>
            <w:gridSpan w:val="2"/>
            <w:tcBorders>
              <w:top w:val="nil"/>
              <w:left w:val="nil"/>
              <w:bottom w:val="nil"/>
              <w:right w:val="nil"/>
            </w:tcBorders>
            <w:shd w:val="clear" w:color="auto" w:fill="auto"/>
            <w:noWrap/>
            <w:vAlign w:val="bottom"/>
            <w:hideMark/>
          </w:tcPr>
          <w:p w14:paraId="13332D12"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92.052</w:t>
            </w:r>
          </w:p>
        </w:tc>
        <w:tc>
          <w:tcPr>
            <w:tcW w:w="1302" w:type="dxa"/>
            <w:tcBorders>
              <w:top w:val="nil"/>
              <w:left w:val="nil"/>
              <w:bottom w:val="nil"/>
              <w:right w:val="nil"/>
            </w:tcBorders>
            <w:shd w:val="clear" w:color="auto" w:fill="auto"/>
            <w:noWrap/>
            <w:vAlign w:val="bottom"/>
            <w:hideMark/>
          </w:tcPr>
          <w:p w14:paraId="2D54D56B"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3.8411</w:t>
            </w:r>
          </w:p>
        </w:tc>
        <w:tc>
          <w:tcPr>
            <w:tcW w:w="1302" w:type="dxa"/>
            <w:tcBorders>
              <w:top w:val="nil"/>
              <w:left w:val="nil"/>
              <w:bottom w:val="nil"/>
              <w:right w:val="nil"/>
            </w:tcBorders>
            <w:shd w:val="clear" w:color="auto" w:fill="auto"/>
            <w:noWrap/>
            <w:vAlign w:val="bottom"/>
            <w:hideMark/>
          </w:tcPr>
          <w:p w14:paraId="2A8C4775"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0.05304</w:t>
            </w:r>
          </w:p>
        </w:tc>
      </w:tr>
      <w:tr w:rsidR="00303FAC" w:rsidRPr="00303FAC" w14:paraId="6A8834CA"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687DC34E"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Sampling region</w:t>
            </w:r>
          </w:p>
        </w:tc>
        <w:tc>
          <w:tcPr>
            <w:tcW w:w="1302" w:type="dxa"/>
            <w:gridSpan w:val="2"/>
            <w:tcBorders>
              <w:top w:val="nil"/>
              <w:left w:val="nil"/>
              <w:bottom w:val="nil"/>
              <w:right w:val="nil"/>
            </w:tcBorders>
            <w:shd w:val="clear" w:color="auto" w:fill="auto"/>
            <w:noWrap/>
            <w:vAlign w:val="bottom"/>
            <w:hideMark/>
          </w:tcPr>
          <w:p w14:paraId="3BBA684B"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0.1138</w:t>
            </w:r>
          </w:p>
        </w:tc>
        <w:tc>
          <w:tcPr>
            <w:tcW w:w="1302" w:type="dxa"/>
            <w:gridSpan w:val="2"/>
            <w:tcBorders>
              <w:top w:val="nil"/>
              <w:left w:val="nil"/>
              <w:bottom w:val="nil"/>
              <w:right w:val="nil"/>
            </w:tcBorders>
            <w:shd w:val="clear" w:color="auto" w:fill="auto"/>
            <w:noWrap/>
            <w:vAlign w:val="bottom"/>
            <w:hideMark/>
          </w:tcPr>
          <w:p w14:paraId="793FE0BB"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0.17851</w:t>
            </w:r>
          </w:p>
        </w:tc>
        <w:tc>
          <w:tcPr>
            <w:tcW w:w="1302" w:type="dxa"/>
            <w:gridSpan w:val="2"/>
            <w:tcBorders>
              <w:top w:val="nil"/>
              <w:left w:val="nil"/>
              <w:bottom w:val="nil"/>
              <w:right w:val="nil"/>
            </w:tcBorders>
            <w:shd w:val="clear" w:color="auto" w:fill="auto"/>
            <w:noWrap/>
            <w:vAlign w:val="bottom"/>
            <w:hideMark/>
          </w:tcPr>
          <w:p w14:paraId="229D5DD2"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0.089256</w:t>
            </w:r>
          </w:p>
        </w:tc>
        <w:tc>
          <w:tcPr>
            <w:tcW w:w="1302" w:type="dxa"/>
            <w:gridSpan w:val="2"/>
            <w:tcBorders>
              <w:top w:val="nil"/>
              <w:left w:val="nil"/>
              <w:bottom w:val="nil"/>
              <w:right w:val="nil"/>
            </w:tcBorders>
            <w:shd w:val="clear" w:color="auto" w:fill="auto"/>
            <w:noWrap/>
            <w:vAlign w:val="bottom"/>
            <w:hideMark/>
          </w:tcPr>
          <w:p w14:paraId="0A250CBF"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w:t>
            </w:r>
          </w:p>
        </w:tc>
        <w:tc>
          <w:tcPr>
            <w:tcW w:w="1302" w:type="dxa"/>
            <w:gridSpan w:val="2"/>
            <w:tcBorders>
              <w:top w:val="nil"/>
              <w:left w:val="nil"/>
              <w:bottom w:val="nil"/>
              <w:right w:val="nil"/>
            </w:tcBorders>
            <w:shd w:val="clear" w:color="auto" w:fill="auto"/>
            <w:noWrap/>
            <w:vAlign w:val="bottom"/>
            <w:hideMark/>
          </w:tcPr>
          <w:p w14:paraId="4A66AB7E"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30.784</w:t>
            </w:r>
          </w:p>
        </w:tc>
        <w:tc>
          <w:tcPr>
            <w:tcW w:w="1302" w:type="dxa"/>
            <w:tcBorders>
              <w:top w:val="nil"/>
              <w:left w:val="nil"/>
              <w:bottom w:val="nil"/>
              <w:right w:val="nil"/>
            </w:tcBorders>
            <w:shd w:val="clear" w:color="auto" w:fill="auto"/>
            <w:noWrap/>
            <w:vAlign w:val="bottom"/>
            <w:hideMark/>
          </w:tcPr>
          <w:p w14:paraId="5FCDCBC6"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2.5999</w:t>
            </w:r>
          </w:p>
        </w:tc>
        <w:tc>
          <w:tcPr>
            <w:tcW w:w="1302" w:type="dxa"/>
            <w:tcBorders>
              <w:top w:val="nil"/>
              <w:left w:val="nil"/>
              <w:bottom w:val="nil"/>
              <w:right w:val="nil"/>
            </w:tcBorders>
            <w:shd w:val="clear" w:color="auto" w:fill="auto"/>
            <w:noWrap/>
            <w:vAlign w:val="bottom"/>
            <w:hideMark/>
          </w:tcPr>
          <w:p w14:paraId="750F6450"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0.09051</w:t>
            </w:r>
          </w:p>
        </w:tc>
      </w:tr>
      <w:tr w:rsidR="00303FAC" w:rsidRPr="00303FAC" w14:paraId="15F3C406"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065E2099"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Blood meal richness</w:t>
            </w:r>
          </w:p>
        </w:tc>
        <w:tc>
          <w:tcPr>
            <w:tcW w:w="1302" w:type="dxa"/>
            <w:gridSpan w:val="2"/>
            <w:tcBorders>
              <w:top w:val="nil"/>
              <w:left w:val="nil"/>
              <w:bottom w:val="nil"/>
              <w:right w:val="nil"/>
            </w:tcBorders>
            <w:shd w:val="clear" w:color="auto" w:fill="auto"/>
            <w:noWrap/>
            <w:vAlign w:val="bottom"/>
            <w:hideMark/>
          </w:tcPr>
          <w:p w14:paraId="641540AE"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0.0197</w:t>
            </w:r>
          </w:p>
        </w:tc>
        <w:tc>
          <w:tcPr>
            <w:tcW w:w="1302" w:type="dxa"/>
            <w:gridSpan w:val="2"/>
            <w:tcBorders>
              <w:top w:val="nil"/>
              <w:left w:val="nil"/>
              <w:bottom w:val="nil"/>
              <w:right w:val="nil"/>
            </w:tcBorders>
            <w:shd w:val="clear" w:color="auto" w:fill="auto"/>
            <w:noWrap/>
            <w:vAlign w:val="bottom"/>
            <w:hideMark/>
          </w:tcPr>
          <w:p w14:paraId="1E5F4EC5"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0.23372</w:t>
            </w:r>
          </w:p>
        </w:tc>
        <w:tc>
          <w:tcPr>
            <w:tcW w:w="1302" w:type="dxa"/>
            <w:gridSpan w:val="2"/>
            <w:tcBorders>
              <w:top w:val="nil"/>
              <w:left w:val="nil"/>
              <w:bottom w:val="nil"/>
              <w:right w:val="nil"/>
            </w:tcBorders>
            <w:shd w:val="clear" w:color="auto" w:fill="auto"/>
            <w:noWrap/>
            <w:vAlign w:val="bottom"/>
            <w:hideMark/>
          </w:tcPr>
          <w:p w14:paraId="495DA333"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0.077907</w:t>
            </w:r>
          </w:p>
        </w:tc>
        <w:tc>
          <w:tcPr>
            <w:tcW w:w="1302" w:type="dxa"/>
            <w:gridSpan w:val="2"/>
            <w:tcBorders>
              <w:top w:val="nil"/>
              <w:left w:val="nil"/>
              <w:bottom w:val="nil"/>
              <w:right w:val="nil"/>
            </w:tcBorders>
            <w:shd w:val="clear" w:color="auto" w:fill="auto"/>
            <w:noWrap/>
            <w:vAlign w:val="bottom"/>
            <w:hideMark/>
          </w:tcPr>
          <w:p w14:paraId="284AA7E2"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3</w:t>
            </w:r>
          </w:p>
        </w:tc>
        <w:tc>
          <w:tcPr>
            <w:tcW w:w="1302" w:type="dxa"/>
            <w:gridSpan w:val="2"/>
            <w:tcBorders>
              <w:top w:val="nil"/>
              <w:left w:val="nil"/>
              <w:bottom w:val="nil"/>
              <w:right w:val="nil"/>
            </w:tcBorders>
            <w:shd w:val="clear" w:color="auto" w:fill="auto"/>
            <w:noWrap/>
            <w:vAlign w:val="bottom"/>
            <w:hideMark/>
          </w:tcPr>
          <w:p w14:paraId="53174019"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95.121</w:t>
            </w:r>
          </w:p>
        </w:tc>
        <w:tc>
          <w:tcPr>
            <w:tcW w:w="1302" w:type="dxa"/>
            <w:tcBorders>
              <w:top w:val="nil"/>
              <w:left w:val="nil"/>
              <w:bottom w:val="nil"/>
              <w:right w:val="nil"/>
            </w:tcBorders>
            <w:shd w:val="clear" w:color="auto" w:fill="auto"/>
            <w:noWrap/>
            <w:vAlign w:val="bottom"/>
            <w:hideMark/>
          </w:tcPr>
          <w:p w14:paraId="3E02E55C"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2.2693</w:t>
            </w:r>
          </w:p>
        </w:tc>
        <w:tc>
          <w:tcPr>
            <w:tcW w:w="1302" w:type="dxa"/>
            <w:tcBorders>
              <w:top w:val="nil"/>
              <w:left w:val="nil"/>
              <w:bottom w:val="nil"/>
              <w:right w:val="nil"/>
            </w:tcBorders>
            <w:shd w:val="clear" w:color="auto" w:fill="auto"/>
            <w:noWrap/>
            <w:vAlign w:val="bottom"/>
            <w:hideMark/>
          </w:tcPr>
          <w:p w14:paraId="1025D1F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0.08544</w:t>
            </w:r>
          </w:p>
        </w:tc>
      </w:tr>
      <w:tr w:rsidR="00303FAC" w:rsidRPr="00303FAC" w14:paraId="12332C34"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43B3D9DE"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Dominant blood meal</w:t>
            </w:r>
          </w:p>
        </w:tc>
        <w:tc>
          <w:tcPr>
            <w:tcW w:w="1302" w:type="dxa"/>
            <w:gridSpan w:val="2"/>
            <w:tcBorders>
              <w:top w:val="nil"/>
              <w:left w:val="nil"/>
              <w:bottom w:val="nil"/>
              <w:right w:val="nil"/>
            </w:tcBorders>
            <w:shd w:val="clear" w:color="auto" w:fill="auto"/>
            <w:noWrap/>
            <w:vAlign w:val="bottom"/>
            <w:hideMark/>
          </w:tcPr>
          <w:p w14:paraId="65BA029F"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0.1447</w:t>
            </w:r>
          </w:p>
        </w:tc>
        <w:tc>
          <w:tcPr>
            <w:tcW w:w="1302" w:type="dxa"/>
            <w:gridSpan w:val="2"/>
            <w:tcBorders>
              <w:top w:val="nil"/>
              <w:left w:val="nil"/>
              <w:bottom w:val="nil"/>
              <w:right w:val="nil"/>
            </w:tcBorders>
            <w:shd w:val="clear" w:color="auto" w:fill="auto"/>
            <w:noWrap/>
            <w:vAlign w:val="bottom"/>
            <w:hideMark/>
          </w:tcPr>
          <w:p w14:paraId="2C0379F6"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0.3929</w:t>
            </w:r>
          </w:p>
        </w:tc>
        <w:tc>
          <w:tcPr>
            <w:tcW w:w="1302" w:type="dxa"/>
            <w:gridSpan w:val="2"/>
            <w:tcBorders>
              <w:top w:val="nil"/>
              <w:left w:val="nil"/>
              <w:bottom w:val="nil"/>
              <w:right w:val="nil"/>
            </w:tcBorders>
            <w:shd w:val="clear" w:color="auto" w:fill="auto"/>
            <w:noWrap/>
            <w:vAlign w:val="bottom"/>
            <w:hideMark/>
          </w:tcPr>
          <w:p w14:paraId="1C6A90EF"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0.049113</w:t>
            </w:r>
          </w:p>
        </w:tc>
        <w:tc>
          <w:tcPr>
            <w:tcW w:w="1302" w:type="dxa"/>
            <w:gridSpan w:val="2"/>
            <w:tcBorders>
              <w:top w:val="nil"/>
              <w:left w:val="nil"/>
              <w:bottom w:val="nil"/>
              <w:right w:val="nil"/>
            </w:tcBorders>
            <w:shd w:val="clear" w:color="auto" w:fill="auto"/>
            <w:noWrap/>
            <w:vAlign w:val="bottom"/>
            <w:hideMark/>
          </w:tcPr>
          <w:p w14:paraId="3F46EE00"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8</w:t>
            </w:r>
          </w:p>
        </w:tc>
        <w:tc>
          <w:tcPr>
            <w:tcW w:w="1302" w:type="dxa"/>
            <w:gridSpan w:val="2"/>
            <w:tcBorders>
              <w:top w:val="nil"/>
              <w:left w:val="nil"/>
              <w:bottom w:val="nil"/>
              <w:right w:val="nil"/>
            </w:tcBorders>
            <w:shd w:val="clear" w:color="auto" w:fill="auto"/>
            <w:noWrap/>
            <w:vAlign w:val="bottom"/>
            <w:hideMark/>
          </w:tcPr>
          <w:p w14:paraId="1F25534A"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85.164</w:t>
            </w:r>
          </w:p>
        </w:tc>
        <w:tc>
          <w:tcPr>
            <w:tcW w:w="1302" w:type="dxa"/>
            <w:tcBorders>
              <w:top w:val="nil"/>
              <w:left w:val="nil"/>
              <w:bottom w:val="nil"/>
              <w:right w:val="nil"/>
            </w:tcBorders>
            <w:shd w:val="clear" w:color="auto" w:fill="auto"/>
            <w:noWrap/>
            <w:vAlign w:val="bottom"/>
            <w:hideMark/>
          </w:tcPr>
          <w:p w14:paraId="75F8F6D3"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1.4306</w:t>
            </w:r>
          </w:p>
        </w:tc>
        <w:tc>
          <w:tcPr>
            <w:tcW w:w="1302" w:type="dxa"/>
            <w:tcBorders>
              <w:top w:val="nil"/>
              <w:left w:val="nil"/>
              <w:bottom w:val="nil"/>
              <w:right w:val="nil"/>
            </w:tcBorders>
            <w:shd w:val="clear" w:color="auto" w:fill="auto"/>
            <w:noWrap/>
            <w:vAlign w:val="bottom"/>
            <w:hideMark/>
          </w:tcPr>
          <w:p w14:paraId="6B21FEA7"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0.19559</w:t>
            </w:r>
          </w:p>
        </w:tc>
      </w:tr>
      <w:tr w:rsidR="00303FAC" w:rsidRPr="00303FAC" w14:paraId="05389FD0"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50339125"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Full Model</w:t>
            </w:r>
          </w:p>
        </w:tc>
        <w:tc>
          <w:tcPr>
            <w:tcW w:w="1302" w:type="dxa"/>
            <w:gridSpan w:val="2"/>
            <w:tcBorders>
              <w:top w:val="nil"/>
              <w:left w:val="nil"/>
              <w:bottom w:val="nil"/>
              <w:right w:val="nil"/>
            </w:tcBorders>
            <w:shd w:val="clear" w:color="auto" w:fill="auto"/>
            <w:noWrap/>
            <w:vAlign w:val="bottom"/>
            <w:hideMark/>
          </w:tcPr>
          <w:p w14:paraId="6554128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0.3604</w:t>
            </w:r>
          </w:p>
        </w:tc>
        <w:tc>
          <w:tcPr>
            <w:tcW w:w="1302" w:type="dxa"/>
            <w:gridSpan w:val="2"/>
            <w:tcBorders>
              <w:top w:val="nil"/>
              <w:left w:val="nil"/>
              <w:bottom w:val="nil"/>
              <w:right w:val="nil"/>
            </w:tcBorders>
            <w:shd w:val="clear" w:color="auto" w:fill="auto"/>
            <w:noWrap/>
            <w:vAlign w:val="bottom"/>
            <w:hideMark/>
          </w:tcPr>
          <w:p w14:paraId="6556C570" w14:textId="77777777" w:rsidR="00303FAC" w:rsidRPr="00303FAC" w:rsidRDefault="00303FAC" w:rsidP="00303FAC">
            <w:pPr>
              <w:jc w:val="right"/>
              <w:rPr>
                <w:rFonts w:eastAsia="Times New Roman" w:cs="Times New Roman"/>
                <w:color w:val="000000"/>
              </w:rPr>
            </w:pPr>
          </w:p>
        </w:tc>
        <w:tc>
          <w:tcPr>
            <w:tcW w:w="1302" w:type="dxa"/>
            <w:gridSpan w:val="2"/>
            <w:tcBorders>
              <w:top w:val="nil"/>
              <w:left w:val="nil"/>
              <w:bottom w:val="nil"/>
              <w:right w:val="nil"/>
            </w:tcBorders>
            <w:shd w:val="clear" w:color="auto" w:fill="auto"/>
            <w:noWrap/>
            <w:vAlign w:val="bottom"/>
            <w:hideMark/>
          </w:tcPr>
          <w:p w14:paraId="4CE14D14"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7A56C79D"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6E34B995"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77C08A87"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308F518F" w14:textId="77777777" w:rsidR="00303FAC" w:rsidRPr="00303FAC" w:rsidRDefault="00303FAC" w:rsidP="00303FAC">
            <w:pPr>
              <w:rPr>
                <w:rFonts w:eastAsia="Times New Roman" w:cs="Times New Roman"/>
              </w:rPr>
            </w:pPr>
          </w:p>
        </w:tc>
      </w:tr>
      <w:tr w:rsidR="00303FAC" w:rsidRPr="00303FAC" w14:paraId="03ECE646"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7BBD0E42" w14:textId="77777777" w:rsidR="00303FAC" w:rsidRDefault="00303FAC" w:rsidP="00303FAC">
            <w:pPr>
              <w:rPr>
                <w:rFonts w:eastAsia="Times New Roman" w:cs="Times New Roman"/>
              </w:rPr>
            </w:pPr>
          </w:p>
          <w:p w14:paraId="0261E6B9" w14:textId="77777777" w:rsidR="00A53C1D" w:rsidRDefault="00A53C1D" w:rsidP="00303FAC">
            <w:pPr>
              <w:rPr>
                <w:rFonts w:eastAsia="Times New Roman" w:cs="Times New Roman"/>
              </w:rPr>
            </w:pPr>
          </w:p>
          <w:p w14:paraId="3A4D28F2" w14:textId="77777777" w:rsidR="00A53C1D" w:rsidRDefault="00A53C1D" w:rsidP="00303FAC">
            <w:pPr>
              <w:rPr>
                <w:rFonts w:eastAsia="Times New Roman" w:cs="Times New Roman"/>
              </w:rPr>
            </w:pPr>
          </w:p>
          <w:p w14:paraId="68579F44" w14:textId="3D289B1C" w:rsidR="00A53C1D" w:rsidRPr="00303FAC" w:rsidRDefault="00A53C1D"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0485D018"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1C8CDAC6"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62B19E4B"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53127E35"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0780A4BA"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6D3C3581"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39DD9012" w14:textId="77777777" w:rsidR="00303FAC" w:rsidRPr="00303FAC" w:rsidRDefault="00303FAC" w:rsidP="00303FAC">
            <w:pPr>
              <w:rPr>
                <w:rFonts w:eastAsia="Times New Roman" w:cs="Times New Roman"/>
              </w:rPr>
            </w:pPr>
          </w:p>
        </w:tc>
      </w:tr>
      <w:tr w:rsidR="00303FAC" w:rsidRPr="00303FAC" w14:paraId="12DFF6CC"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324AB5D7" w14:textId="77777777" w:rsidR="00303FAC" w:rsidRPr="00303FAC" w:rsidRDefault="00303FAC" w:rsidP="00303FAC">
            <w:pPr>
              <w:rPr>
                <w:rFonts w:eastAsia="Times New Roman" w:cs="Times New Roman"/>
                <w:b/>
                <w:bCs/>
                <w:color w:val="000000"/>
              </w:rPr>
            </w:pPr>
            <w:r w:rsidRPr="00303FAC">
              <w:rPr>
                <w:rFonts w:eastAsia="Times New Roman" w:cs="Times New Roman"/>
                <w:b/>
                <w:bCs/>
                <w:color w:val="000000"/>
              </w:rPr>
              <w:lastRenderedPageBreak/>
              <w:t>Faith's PD</w:t>
            </w:r>
          </w:p>
        </w:tc>
        <w:tc>
          <w:tcPr>
            <w:tcW w:w="1302" w:type="dxa"/>
            <w:gridSpan w:val="2"/>
            <w:tcBorders>
              <w:top w:val="nil"/>
              <w:left w:val="nil"/>
              <w:bottom w:val="nil"/>
              <w:right w:val="nil"/>
            </w:tcBorders>
            <w:shd w:val="clear" w:color="auto" w:fill="auto"/>
            <w:noWrap/>
            <w:vAlign w:val="bottom"/>
            <w:hideMark/>
          </w:tcPr>
          <w:p w14:paraId="772ECB99" w14:textId="77777777" w:rsidR="00303FAC" w:rsidRPr="00303FAC" w:rsidRDefault="00303FAC" w:rsidP="00303FAC">
            <w:pPr>
              <w:rPr>
                <w:rFonts w:eastAsia="Times New Roman" w:cs="Times New Roman"/>
                <w:b/>
                <w:bCs/>
                <w:color w:val="000000"/>
              </w:rPr>
            </w:pPr>
          </w:p>
        </w:tc>
        <w:tc>
          <w:tcPr>
            <w:tcW w:w="1302" w:type="dxa"/>
            <w:gridSpan w:val="2"/>
            <w:tcBorders>
              <w:top w:val="nil"/>
              <w:left w:val="nil"/>
              <w:bottom w:val="nil"/>
              <w:right w:val="nil"/>
            </w:tcBorders>
            <w:shd w:val="clear" w:color="auto" w:fill="auto"/>
            <w:noWrap/>
            <w:vAlign w:val="bottom"/>
            <w:hideMark/>
          </w:tcPr>
          <w:p w14:paraId="5945AC42"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60EE4D98"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3123B675"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421B721B"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31F55A37"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2C92B2BE" w14:textId="77777777" w:rsidR="00303FAC" w:rsidRPr="00303FAC" w:rsidRDefault="00303FAC" w:rsidP="00303FAC">
            <w:pPr>
              <w:rPr>
                <w:rFonts w:eastAsia="Times New Roman" w:cs="Times New Roman"/>
              </w:rPr>
            </w:pPr>
          </w:p>
        </w:tc>
      </w:tr>
      <w:tr w:rsidR="00303FAC" w:rsidRPr="00303FAC" w14:paraId="509500D1"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350BA66F"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Age group</w:t>
            </w:r>
          </w:p>
        </w:tc>
        <w:tc>
          <w:tcPr>
            <w:tcW w:w="1302" w:type="dxa"/>
            <w:gridSpan w:val="2"/>
            <w:tcBorders>
              <w:top w:val="nil"/>
              <w:left w:val="nil"/>
              <w:bottom w:val="nil"/>
              <w:right w:val="nil"/>
            </w:tcBorders>
            <w:shd w:val="clear" w:color="auto" w:fill="auto"/>
            <w:noWrap/>
            <w:vAlign w:val="bottom"/>
            <w:hideMark/>
          </w:tcPr>
          <w:p w14:paraId="1AFCBE4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0.0185</w:t>
            </w:r>
          </w:p>
        </w:tc>
        <w:tc>
          <w:tcPr>
            <w:tcW w:w="1302" w:type="dxa"/>
            <w:gridSpan w:val="2"/>
            <w:tcBorders>
              <w:top w:val="nil"/>
              <w:left w:val="nil"/>
              <w:bottom w:val="nil"/>
              <w:right w:val="nil"/>
            </w:tcBorders>
            <w:shd w:val="clear" w:color="auto" w:fill="auto"/>
            <w:noWrap/>
            <w:vAlign w:val="bottom"/>
            <w:hideMark/>
          </w:tcPr>
          <w:p w14:paraId="6D1B737D"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0.39308</w:t>
            </w:r>
          </w:p>
        </w:tc>
        <w:tc>
          <w:tcPr>
            <w:tcW w:w="1302" w:type="dxa"/>
            <w:gridSpan w:val="2"/>
            <w:tcBorders>
              <w:top w:val="nil"/>
              <w:left w:val="nil"/>
              <w:bottom w:val="nil"/>
              <w:right w:val="nil"/>
            </w:tcBorders>
            <w:shd w:val="clear" w:color="auto" w:fill="auto"/>
            <w:noWrap/>
            <w:vAlign w:val="bottom"/>
            <w:hideMark/>
          </w:tcPr>
          <w:p w14:paraId="512A853C"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0.39308</w:t>
            </w:r>
          </w:p>
        </w:tc>
        <w:tc>
          <w:tcPr>
            <w:tcW w:w="1302" w:type="dxa"/>
            <w:gridSpan w:val="2"/>
            <w:tcBorders>
              <w:top w:val="nil"/>
              <w:left w:val="nil"/>
              <w:bottom w:val="nil"/>
              <w:right w:val="nil"/>
            </w:tcBorders>
            <w:shd w:val="clear" w:color="auto" w:fill="auto"/>
            <w:noWrap/>
            <w:vAlign w:val="bottom"/>
            <w:hideMark/>
          </w:tcPr>
          <w:p w14:paraId="67462E54"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1</w:t>
            </w:r>
          </w:p>
        </w:tc>
        <w:tc>
          <w:tcPr>
            <w:tcW w:w="1302" w:type="dxa"/>
            <w:gridSpan w:val="2"/>
            <w:tcBorders>
              <w:top w:val="nil"/>
              <w:left w:val="nil"/>
              <w:bottom w:val="nil"/>
              <w:right w:val="nil"/>
            </w:tcBorders>
            <w:shd w:val="clear" w:color="auto" w:fill="auto"/>
            <w:noWrap/>
            <w:vAlign w:val="bottom"/>
            <w:hideMark/>
          </w:tcPr>
          <w:p w14:paraId="0A6C3D10"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86.734</w:t>
            </w:r>
          </w:p>
        </w:tc>
        <w:tc>
          <w:tcPr>
            <w:tcW w:w="1302" w:type="dxa"/>
            <w:tcBorders>
              <w:top w:val="nil"/>
              <w:left w:val="nil"/>
              <w:bottom w:val="nil"/>
              <w:right w:val="nil"/>
            </w:tcBorders>
            <w:shd w:val="clear" w:color="auto" w:fill="auto"/>
            <w:noWrap/>
            <w:vAlign w:val="bottom"/>
            <w:hideMark/>
          </w:tcPr>
          <w:p w14:paraId="756F3B8B"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5.5876</w:t>
            </w:r>
          </w:p>
        </w:tc>
        <w:tc>
          <w:tcPr>
            <w:tcW w:w="1302" w:type="dxa"/>
            <w:tcBorders>
              <w:top w:val="nil"/>
              <w:left w:val="nil"/>
              <w:bottom w:val="nil"/>
              <w:right w:val="nil"/>
            </w:tcBorders>
            <w:shd w:val="clear" w:color="auto" w:fill="auto"/>
            <w:noWrap/>
            <w:vAlign w:val="bottom"/>
            <w:hideMark/>
          </w:tcPr>
          <w:p w14:paraId="474C2E32" w14:textId="77777777" w:rsidR="00303FAC" w:rsidRPr="00303FAC" w:rsidRDefault="00303FAC" w:rsidP="00303FAC">
            <w:pPr>
              <w:jc w:val="right"/>
              <w:rPr>
                <w:rFonts w:eastAsia="Times New Roman" w:cs="Times New Roman"/>
                <w:b/>
                <w:bCs/>
                <w:color w:val="000000"/>
              </w:rPr>
            </w:pPr>
            <w:r w:rsidRPr="00303FAC">
              <w:rPr>
                <w:rFonts w:eastAsia="Times New Roman" w:cs="Times New Roman"/>
                <w:b/>
                <w:bCs/>
                <w:color w:val="000000"/>
              </w:rPr>
              <w:t>0.02032</w:t>
            </w:r>
          </w:p>
        </w:tc>
      </w:tr>
      <w:tr w:rsidR="00303FAC" w:rsidRPr="00303FAC" w14:paraId="2EF9EFA6"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7F4D24CB"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Sampling region</w:t>
            </w:r>
          </w:p>
        </w:tc>
        <w:tc>
          <w:tcPr>
            <w:tcW w:w="1302" w:type="dxa"/>
            <w:gridSpan w:val="2"/>
            <w:tcBorders>
              <w:top w:val="nil"/>
              <w:left w:val="nil"/>
              <w:bottom w:val="nil"/>
              <w:right w:val="nil"/>
            </w:tcBorders>
            <w:shd w:val="clear" w:color="auto" w:fill="auto"/>
            <w:noWrap/>
            <w:vAlign w:val="bottom"/>
            <w:hideMark/>
          </w:tcPr>
          <w:p w14:paraId="4D897BE7"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0.0706</w:t>
            </w:r>
          </w:p>
        </w:tc>
        <w:tc>
          <w:tcPr>
            <w:tcW w:w="1302" w:type="dxa"/>
            <w:gridSpan w:val="2"/>
            <w:tcBorders>
              <w:top w:val="nil"/>
              <w:left w:val="nil"/>
              <w:bottom w:val="nil"/>
              <w:right w:val="nil"/>
            </w:tcBorders>
            <w:shd w:val="clear" w:color="auto" w:fill="auto"/>
            <w:noWrap/>
            <w:vAlign w:val="bottom"/>
            <w:hideMark/>
          </w:tcPr>
          <w:p w14:paraId="2E632602"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0.18852</w:t>
            </w:r>
          </w:p>
        </w:tc>
        <w:tc>
          <w:tcPr>
            <w:tcW w:w="1302" w:type="dxa"/>
            <w:gridSpan w:val="2"/>
            <w:tcBorders>
              <w:top w:val="nil"/>
              <w:left w:val="nil"/>
              <w:bottom w:val="nil"/>
              <w:right w:val="nil"/>
            </w:tcBorders>
            <w:shd w:val="clear" w:color="auto" w:fill="auto"/>
            <w:noWrap/>
            <w:vAlign w:val="bottom"/>
            <w:hideMark/>
          </w:tcPr>
          <w:p w14:paraId="2CB5F37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0.09426</w:t>
            </w:r>
          </w:p>
        </w:tc>
        <w:tc>
          <w:tcPr>
            <w:tcW w:w="1302" w:type="dxa"/>
            <w:gridSpan w:val="2"/>
            <w:tcBorders>
              <w:top w:val="nil"/>
              <w:left w:val="nil"/>
              <w:bottom w:val="nil"/>
              <w:right w:val="nil"/>
            </w:tcBorders>
            <w:shd w:val="clear" w:color="auto" w:fill="auto"/>
            <w:noWrap/>
            <w:vAlign w:val="bottom"/>
            <w:hideMark/>
          </w:tcPr>
          <w:p w14:paraId="5B491249"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w:t>
            </w:r>
          </w:p>
        </w:tc>
        <w:tc>
          <w:tcPr>
            <w:tcW w:w="1302" w:type="dxa"/>
            <w:gridSpan w:val="2"/>
            <w:tcBorders>
              <w:top w:val="nil"/>
              <w:left w:val="nil"/>
              <w:bottom w:val="nil"/>
              <w:right w:val="nil"/>
            </w:tcBorders>
            <w:shd w:val="clear" w:color="auto" w:fill="auto"/>
            <w:noWrap/>
            <w:vAlign w:val="bottom"/>
            <w:hideMark/>
          </w:tcPr>
          <w:p w14:paraId="1D4F6B5D"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26.308</w:t>
            </w:r>
          </w:p>
        </w:tc>
        <w:tc>
          <w:tcPr>
            <w:tcW w:w="1302" w:type="dxa"/>
            <w:tcBorders>
              <w:top w:val="nil"/>
              <w:left w:val="nil"/>
              <w:bottom w:val="nil"/>
              <w:right w:val="nil"/>
            </w:tcBorders>
            <w:shd w:val="clear" w:color="auto" w:fill="auto"/>
            <w:noWrap/>
            <w:vAlign w:val="bottom"/>
            <w:hideMark/>
          </w:tcPr>
          <w:p w14:paraId="0AD69765"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1.3399</w:t>
            </w:r>
          </w:p>
        </w:tc>
        <w:tc>
          <w:tcPr>
            <w:tcW w:w="1302" w:type="dxa"/>
            <w:tcBorders>
              <w:top w:val="nil"/>
              <w:left w:val="nil"/>
              <w:bottom w:val="nil"/>
              <w:right w:val="nil"/>
            </w:tcBorders>
            <w:shd w:val="clear" w:color="auto" w:fill="auto"/>
            <w:noWrap/>
            <w:vAlign w:val="bottom"/>
            <w:hideMark/>
          </w:tcPr>
          <w:p w14:paraId="657AB18A"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0.27917</w:t>
            </w:r>
          </w:p>
        </w:tc>
      </w:tr>
      <w:tr w:rsidR="00303FAC" w:rsidRPr="00303FAC" w14:paraId="12F3CD45"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456B7817"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Blood meal richness</w:t>
            </w:r>
          </w:p>
        </w:tc>
        <w:tc>
          <w:tcPr>
            <w:tcW w:w="1302" w:type="dxa"/>
            <w:gridSpan w:val="2"/>
            <w:tcBorders>
              <w:top w:val="nil"/>
              <w:left w:val="nil"/>
              <w:bottom w:val="nil"/>
              <w:right w:val="nil"/>
            </w:tcBorders>
            <w:shd w:val="clear" w:color="auto" w:fill="auto"/>
            <w:noWrap/>
            <w:vAlign w:val="bottom"/>
            <w:hideMark/>
          </w:tcPr>
          <w:p w14:paraId="46EADA74"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w:t>
            </w:r>
          </w:p>
        </w:tc>
        <w:tc>
          <w:tcPr>
            <w:tcW w:w="1302" w:type="dxa"/>
            <w:gridSpan w:val="2"/>
            <w:tcBorders>
              <w:top w:val="nil"/>
              <w:left w:val="nil"/>
              <w:bottom w:val="nil"/>
              <w:right w:val="nil"/>
            </w:tcBorders>
            <w:shd w:val="clear" w:color="auto" w:fill="auto"/>
            <w:noWrap/>
            <w:vAlign w:val="bottom"/>
            <w:hideMark/>
          </w:tcPr>
          <w:p w14:paraId="3ACB74A6"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0.14015</w:t>
            </w:r>
          </w:p>
        </w:tc>
        <w:tc>
          <w:tcPr>
            <w:tcW w:w="1302" w:type="dxa"/>
            <w:gridSpan w:val="2"/>
            <w:tcBorders>
              <w:top w:val="nil"/>
              <w:left w:val="nil"/>
              <w:bottom w:val="nil"/>
              <w:right w:val="nil"/>
            </w:tcBorders>
            <w:shd w:val="clear" w:color="auto" w:fill="auto"/>
            <w:noWrap/>
            <w:vAlign w:val="bottom"/>
            <w:hideMark/>
          </w:tcPr>
          <w:p w14:paraId="2A46DC59"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0.04672</w:t>
            </w:r>
          </w:p>
        </w:tc>
        <w:tc>
          <w:tcPr>
            <w:tcW w:w="1302" w:type="dxa"/>
            <w:gridSpan w:val="2"/>
            <w:tcBorders>
              <w:top w:val="nil"/>
              <w:left w:val="nil"/>
              <w:bottom w:val="nil"/>
              <w:right w:val="nil"/>
            </w:tcBorders>
            <w:shd w:val="clear" w:color="auto" w:fill="auto"/>
            <w:noWrap/>
            <w:vAlign w:val="bottom"/>
            <w:hideMark/>
          </w:tcPr>
          <w:p w14:paraId="7B800637"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3</w:t>
            </w:r>
          </w:p>
        </w:tc>
        <w:tc>
          <w:tcPr>
            <w:tcW w:w="1302" w:type="dxa"/>
            <w:gridSpan w:val="2"/>
            <w:tcBorders>
              <w:top w:val="nil"/>
              <w:left w:val="nil"/>
              <w:bottom w:val="nil"/>
              <w:right w:val="nil"/>
            </w:tcBorders>
            <w:shd w:val="clear" w:color="auto" w:fill="auto"/>
            <w:noWrap/>
            <w:vAlign w:val="bottom"/>
            <w:hideMark/>
          </w:tcPr>
          <w:p w14:paraId="797B5B8C"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90.977</w:t>
            </w:r>
          </w:p>
        </w:tc>
        <w:tc>
          <w:tcPr>
            <w:tcW w:w="1302" w:type="dxa"/>
            <w:tcBorders>
              <w:top w:val="nil"/>
              <w:left w:val="nil"/>
              <w:bottom w:val="nil"/>
              <w:right w:val="nil"/>
            </w:tcBorders>
            <w:shd w:val="clear" w:color="auto" w:fill="auto"/>
            <w:noWrap/>
            <w:vAlign w:val="bottom"/>
            <w:hideMark/>
          </w:tcPr>
          <w:p w14:paraId="0C73F589"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0.6641</w:t>
            </w:r>
          </w:p>
        </w:tc>
        <w:tc>
          <w:tcPr>
            <w:tcW w:w="1302" w:type="dxa"/>
            <w:tcBorders>
              <w:top w:val="nil"/>
              <w:left w:val="nil"/>
              <w:bottom w:val="nil"/>
              <w:right w:val="nil"/>
            </w:tcBorders>
            <w:shd w:val="clear" w:color="auto" w:fill="auto"/>
            <w:noWrap/>
            <w:vAlign w:val="bottom"/>
            <w:hideMark/>
          </w:tcPr>
          <w:p w14:paraId="579F3CFE"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0.57627</w:t>
            </w:r>
          </w:p>
        </w:tc>
      </w:tr>
      <w:tr w:rsidR="00303FAC" w:rsidRPr="00303FAC" w14:paraId="26191B85"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2E16803F"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Dominant blood meal</w:t>
            </w:r>
          </w:p>
        </w:tc>
        <w:tc>
          <w:tcPr>
            <w:tcW w:w="1302" w:type="dxa"/>
            <w:gridSpan w:val="2"/>
            <w:tcBorders>
              <w:top w:val="nil"/>
              <w:left w:val="nil"/>
              <w:bottom w:val="nil"/>
              <w:right w:val="nil"/>
            </w:tcBorders>
            <w:shd w:val="clear" w:color="auto" w:fill="auto"/>
            <w:noWrap/>
            <w:vAlign w:val="bottom"/>
            <w:hideMark/>
          </w:tcPr>
          <w:p w14:paraId="3042C2DC"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0.0812</w:t>
            </w:r>
          </w:p>
        </w:tc>
        <w:tc>
          <w:tcPr>
            <w:tcW w:w="1302" w:type="dxa"/>
            <w:gridSpan w:val="2"/>
            <w:tcBorders>
              <w:top w:val="nil"/>
              <w:left w:val="nil"/>
              <w:bottom w:val="nil"/>
              <w:right w:val="nil"/>
            </w:tcBorders>
            <w:shd w:val="clear" w:color="auto" w:fill="auto"/>
            <w:noWrap/>
            <w:vAlign w:val="bottom"/>
            <w:hideMark/>
          </w:tcPr>
          <w:p w14:paraId="0C3A40D3"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0.68597</w:t>
            </w:r>
          </w:p>
        </w:tc>
        <w:tc>
          <w:tcPr>
            <w:tcW w:w="1302" w:type="dxa"/>
            <w:gridSpan w:val="2"/>
            <w:tcBorders>
              <w:top w:val="nil"/>
              <w:left w:val="nil"/>
              <w:bottom w:val="nil"/>
              <w:right w:val="nil"/>
            </w:tcBorders>
            <w:shd w:val="clear" w:color="auto" w:fill="auto"/>
            <w:noWrap/>
            <w:vAlign w:val="bottom"/>
            <w:hideMark/>
          </w:tcPr>
          <w:p w14:paraId="31D59C65"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0.08575</w:t>
            </w:r>
          </w:p>
        </w:tc>
        <w:tc>
          <w:tcPr>
            <w:tcW w:w="1302" w:type="dxa"/>
            <w:gridSpan w:val="2"/>
            <w:tcBorders>
              <w:top w:val="nil"/>
              <w:left w:val="nil"/>
              <w:bottom w:val="nil"/>
              <w:right w:val="nil"/>
            </w:tcBorders>
            <w:shd w:val="clear" w:color="auto" w:fill="auto"/>
            <w:noWrap/>
            <w:vAlign w:val="bottom"/>
            <w:hideMark/>
          </w:tcPr>
          <w:p w14:paraId="6ADD9BF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8</w:t>
            </w:r>
          </w:p>
        </w:tc>
        <w:tc>
          <w:tcPr>
            <w:tcW w:w="1302" w:type="dxa"/>
            <w:gridSpan w:val="2"/>
            <w:tcBorders>
              <w:top w:val="nil"/>
              <w:left w:val="nil"/>
              <w:bottom w:val="nil"/>
              <w:right w:val="nil"/>
            </w:tcBorders>
            <w:shd w:val="clear" w:color="auto" w:fill="auto"/>
            <w:noWrap/>
            <w:vAlign w:val="bottom"/>
            <w:hideMark/>
          </w:tcPr>
          <w:p w14:paraId="52B450CE"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88.493</w:t>
            </w:r>
          </w:p>
        </w:tc>
        <w:tc>
          <w:tcPr>
            <w:tcW w:w="1302" w:type="dxa"/>
            <w:tcBorders>
              <w:top w:val="nil"/>
              <w:left w:val="nil"/>
              <w:bottom w:val="nil"/>
              <w:right w:val="nil"/>
            </w:tcBorders>
            <w:shd w:val="clear" w:color="auto" w:fill="auto"/>
            <w:noWrap/>
            <w:vAlign w:val="bottom"/>
            <w:hideMark/>
          </w:tcPr>
          <w:p w14:paraId="6A8CCA2C"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1.2189</w:t>
            </w:r>
          </w:p>
        </w:tc>
        <w:tc>
          <w:tcPr>
            <w:tcW w:w="1302" w:type="dxa"/>
            <w:tcBorders>
              <w:top w:val="nil"/>
              <w:left w:val="nil"/>
              <w:bottom w:val="nil"/>
              <w:right w:val="nil"/>
            </w:tcBorders>
            <w:shd w:val="clear" w:color="auto" w:fill="auto"/>
            <w:noWrap/>
            <w:vAlign w:val="bottom"/>
            <w:hideMark/>
          </w:tcPr>
          <w:p w14:paraId="3634E3EF"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0.29742</w:t>
            </w:r>
          </w:p>
        </w:tc>
      </w:tr>
      <w:tr w:rsidR="00303FAC" w:rsidRPr="00303FAC" w14:paraId="320D9F98"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2C419309"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Full Model</w:t>
            </w:r>
          </w:p>
        </w:tc>
        <w:tc>
          <w:tcPr>
            <w:tcW w:w="1302" w:type="dxa"/>
            <w:gridSpan w:val="2"/>
            <w:tcBorders>
              <w:top w:val="nil"/>
              <w:left w:val="nil"/>
              <w:bottom w:val="nil"/>
              <w:right w:val="nil"/>
            </w:tcBorders>
            <w:shd w:val="clear" w:color="auto" w:fill="auto"/>
            <w:noWrap/>
            <w:vAlign w:val="bottom"/>
            <w:hideMark/>
          </w:tcPr>
          <w:p w14:paraId="6AB29250"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0.2369</w:t>
            </w:r>
          </w:p>
        </w:tc>
        <w:tc>
          <w:tcPr>
            <w:tcW w:w="1302" w:type="dxa"/>
            <w:gridSpan w:val="2"/>
            <w:tcBorders>
              <w:top w:val="nil"/>
              <w:left w:val="nil"/>
              <w:bottom w:val="nil"/>
              <w:right w:val="nil"/>
            </w:tcBorders>
            <w:shd w:val="clear" w:color="auto" w:fill="auto"/>
            <w:noWrap/>
            <w:vAlign w:val="bottom"/>
            <w:hideMark/>
          </w:tcPr>
          <w:p w14:paraId="5FA4034B" w14:textId="77777777" w:rsidR="00303FAC" w:rsidRPr="00303FAC" w:rsidRDefault="00303FAC" w:rsidP="00303FAC">
            <w:pPr>
              <w:jc w:val="right"/>
              <w:rPr>
                <w:rFonts w:eastAsia="Times New Roman" w:cs="Times New Roman"/>
                <w:color w:val="000000"/>
              </w:rPr>
            </w:pPr>
          </w:p>
        </w:tc>
        <w:tc>
          <w:tcPr>
            <w:tcW w:w="1302" w:type="dxa"/>
            <w:gridSpan w:val="2"/>
            <w:tcBorders>
              <w:top w:val="nil"/>
              <w:left w:val="nil"/>
              <w:bottom w:val="nil"/>
              <w:right w:val="nil"/>
            </w:tcBorders>
            <w:shd w:val="clear" w:color="auto" w:fill="auto"/>
            <w:noWrap/>
            <w:vAlign w:val="bottom"/>
            <w:hideMark/>
          </w:tcPr>
          <w:p w14:paraId="321F343B"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7223890E"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584DE52E"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3F5E02BB"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149BA4CA" w14:textId="77777777" w:rsidR="00303FAC" w:rsidRPr="00303FAC" w:rsidRDefault="00303FAC" w:rsidP="00303FAC">
            <w:pPr>
              <w:rPr>
                <w:rFonts w:eastAsia="Times New Roman" w:cs="Times New Roman"/>
              </w:rPr>
            </w:pPr>
          </w:p>
        </w:tc>
      </w:tr>
      <w:tr w:rsidR="00303FAC" w:rsidRPr="00303FAC" w14:paraId="4BBED4D7"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4FB04543"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385DFA46"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08572E98"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13A3248F"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74BE4349"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42283058"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1AD37E4E"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3EA1441D" w14:textId="77777777" w:rsidR="00303FAC" w:rsidRPr="00303FAC" w:rsidRDefault="00303FAC" w:rsidP="00303FAC">
            <w:pPr>
              <w:rPr>
                <w:rFonts w:eastAsia="Times New Roman" w:cs="Times New Roman"/>
              </w:rPr>
            </w:pPr>
          </w:p>
        </w:tc>
      </w:tr>
      <w:tr w:rsidR="00303FAC" w:rsidRPr="00303FAC" w14:paraId="4569AA9C"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72F820CE" w14:textId="77777777" w:rsidR="00303FAC" w:rsidRPr="00303FAC" w:rsidRDefault="00303FAC" w:rsidP="00303FAC">
            <w:pPr>
              <w:rPr>
                <w:rFonts w:eastAsia="Times New Roman" w:cs="Times New Roman"/>
                <w:b/>
                <w:bCs/>
                <w:color w:val="000000"/>
              </w:rPr>
            </w:pPr>
            <w:r w:rsidRPr="00303FAC">
              <w:rPr>
                <w:rFonts w:eastAsia="Times New Roman" w:cs="Times New Roman"/>
                <w:b/>
                <w:bCs/>
                <w:color w:val="000000"/>
              </w:rPr>
              <w:t>Evenness</w:t>
            </w:r>
          </w:p>
        </w:tc>
        <w:tc>
          <w:tcPr>
            <w:tcW w:w="1302" w:type="dxa"/>
            <w:gridSpan w:val="2"/>
            <w:tcBorders>
              <w:top w:val="nil"/>
              <w:left w:val="nil"/>
              <w:bottom w:val="nil"/>
              <w:right w:val="nil"/>
            </w:tcBorders>
            <w:shd w:val="clear" w:color="auto" w:fill="auto"/>
            <w:noWrap/>
            <w:vAlign w:val="bottom"/>
            <w:hideMark/>
          </w:tcPr>
          <w:p w14:paraId="340F83D6" w14:textId="77777777" w:rsidR="00303FAC" w:rsidRPr="00303FAC" w:rsidRDefault="00303FAC" w:rsidP="00303FAC">
            <w:pPr>
              <w:rPr>
                <w:rFonts w:eastAsia="Times New Roman" w:cs="Times New Roman"/>
                <w:b/>
                <w:bCs/>
                <w:color w:val="000000"/>
              </w:rPr>
            </w:pPr>
          </w:p>
        </w:tc>
        <w:tc>
          <w:tcPr>
            <w:tcW w:w="1302" w:type="dxa"/>
            <w:gridSpan w:val="2"/>
            <w:tcBorders>
              <w:top w:val="nil"/>
              <w:left w:val="nil"/>
              <w:bottom w:val="nil"/>
              <w:right w:val="nil"/>
            </w:tcBorders>
            <w:shd w:val="clear" w:color="auto" w:fill="auto"/>
            <w:noWrap/>
            <w:vAlign w:val="bottom"/>
            <w:hideMark/>
          </w:tcPr>
          <w:p w14:paraId="52416C1A"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32DD069A"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6452FDA9"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5EDA33AE"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73FD7AA4"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5E56DD03" w14:textId="77777777" w:rsidR="00303FAC" w:rsidRPr="00303FAC" w:rsidRDefault="00303FAC" w:rsidP="00303FAC">
            <w:pPr>
              <w:rPr>
                <w:rFonts w:eastAsia="Times New Roman" w:cs="Times New Roman"/>
              </w:rPr>
            </w:pPr>
          </w:p>
        </w:tc>
      </w:tr>
      <w:tr w:rsidR="00303FAC" w:rsidRPr="00303FAC" w14:paraId="31948865"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01C2F971"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Age group</w:t>
            </w:r>
          </w:p>
        </w:tc>
        <w:tc>
          <w:tcPr>
            <w:tcW w:w="1302" w:type="dxa"/>
            <w:gridSpan w:val="2"/>
            <w:tcBorders>
              <w:top w:val="nil"/>
              <w:left w:val="nil"/>
              <w:bottom w:val="nil"/>
              <w:right w:val="nil"/>
            </w:tcBorders>
            <w:shd w:val="clear" w:color="auto" w:fill="auto"/>
            <w:noWrap/>
            <w:vAlign w:val="bottom"/>
            <w:hideMark/>
          </w:tcPr>
          <w:p w14:paraId="2FE8249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0.0232</w:t>
            </w:r>
          </w:p>
        </w:tc>
        <w:tc>
          <w:tcPr>
            <w:tcW w:w="1302" w:type="dxa"/>
            <w:gridSpan w:val="2"/>
            <w:tcBorders>
              <w:top w:val="nil"/>
              <w:left w:val="nil"/>
              <w:bottom w:val="nil"/>
              <w:right w:val="nil"/>
            </w:tcBorders>
            <w:shd w:val="clear" w:color="auto" w:fill="auto"/>
            <w:noWrap/>
            <w:vAlign w:val="bottom"/>
            <w:hideMark/>
          </w:tcPr>
          <w:p w14:paraId="77CF9136"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0.009128</w:t>
            </w:r>
          </w:p>
        </w:tc>
        <w:tc>
          <w:tcPr>
            <w:tcW w:w="1302" w:type="dxa"/>
            <w:gridSpan w:val="2"/>
            <w:tcBorders>
              <w:top w:val="nil"/>
              <w:left w:val="nil"/>
              <w:bottom w:val="nil"/>
              <w:right w:val="nil"/>
            </w:tcBorders>
            <w:shd w:val="clear" w:color="auto" w:fill="auto"/>
            <w:noWrap/>
            <w:vAlign w:val="bottom"/>
            <w:hideMark/>
          </w:tcPr>
          <w:p w14:paraId="7102C0D8"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0.009128</w:t>
            </w:r>
          </w:p>
        </w:tc>
        <w:tc>
          <w:tcPr>
            <w:tcW w:w="1302" w:type="dxa"/>
            <w:gridSpan w:val="2"/>
            <w:tcBorders>
              <w:top w:val="nil"/>
              <w:left w:val="nil"/>
              <w:bottom w:val="nil"/>
              <w:right w:val="nil"/>
            </w:tcBorders>
            <w:shd w:val="clear" w:color="auto" w:fill="auto"/>
            <w:noWrap/>
            <w:vAlign w:val="bottom"/>
            <w:hideMark/>
          </w:tcPr>
          <w:p w14:paraId="11AD24F8"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1</w:t>
            </w:r>
          </w:p>
        </w:tc>
        <w:tc>
          <w:tcPr>
            <w:tcW w:w="1302" w:type="dxa"/>
            <w:gridSpan w:val="2"/>
            <w:tcBorders>
              <w:top w:val="nil"/>
              <w:left w:val="nil"/>
              <w:bottom w:val="nil"/>
              <w:right w:val="nil"/>
            </w:tcBorders>
            <w:shd w:val="clear" w:color="auto" w:fill="auto"/>
            <w:noWrap/>
            <w:vAlign w:val="bottom"/>
            <w:hideMark/>
          </w:tcPr>
          <w:p w14:paraId="3A6FF35E"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94.228</w:t>
            </w:r>
          </w:p>
        </w:tc>
        <w:tc>
          <w:tcPr>
            <w:tcW w:w="1302" w:type="dxa"/>
            <w:tcBorders>
              <w:top w:val="nil"/>
              <w:left w:val="nil"/>
              <w:bottom w:val="nil"/>
              <w:right w:val="nil"/>
            </w:tcBorders>
            <w:shd w:val="clear" w:color="auto" w:fill="auto"/>
            <w:noWrap/>
            <w:vAlign w:val="bottom"/>
            <w:hideMark/>
          </w:tcPr>
          <w:p w14:paraId="73D83C9B"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2.5452</w:t>
            </w:r>
          </w:p>
        </w:tc>
        <w:tc>
          <w:tcPr>
            <w:tcW w:w="1302" w:type="dxa"/>
            <w:tcBorders>
              <w:top w:val="nil"/>
              <w:left w:val="nil"/>
              <w:bottom w:val="nil"/>
              <w:right w:val="nil"/>
            </w:tcBorders>
            <w:shd w:val="clear" w:color="auto" w:fill="auto"/>
            <w:noWrap/>
            <w:vAlign w:val="bottom"/>
            <w:hideMark/>
          </w:tcPr>
          <w:p w14:paraId="4999EFE2"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0.11398</w:t>
            </w:r>
          </w:p>
        </w:tc>
      </w:tr>
      <w:tr w:rsidR="00303FAC" w:rsidRPr="00303FAC" w14:paraId="290F1C30"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2A41559F"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Sampling region</w:t>
            </w:r>
          </w:p>
        </w:tc>
        <w:tc>
          <w:tcPr>
            <w:tcW w:w="1302" w:type="dxa"/>
            <w:gridSpan w:val="2"/>
            <w:tcBorders>
              <w:top w:val="nil"/>
              <w:left w:val="nil"/>
              <w:bottom w:val="nil"/>
              <w:right w:val="nil"/>
            </w:tcBorders>
            <w:shd w:val="clear" w:color="auto" w:fill="auto"/>
            <w:noWrap/>
            <w:vAlign w:val="bottom"/>
            <w:hideMark/>
          </w:tcPr>
          <w:p w14:paraId="277E80D1"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0.0108</w:t>
            </w:r>
          </w:p>
        </w:tc>
        <w:tc>
          <w:tcPr>
            <w:tcW w:w="1302" w:type="dxa"/>
            <w:gridSpan w:val="2"/>
            <w:tcBorders>
              <w:top w:val="nil"/>
              <w:left w:val="nil"/>
              <w:bottom w:val="nil"/>
              <w:right w:val="nil"/>
            </w:tcBorders>
            <w:shd w:val="clear" w:color="auto" w:fill="auto"/>
            <w:noWrap/>
            <w:vAlign w:val="bottom"/>
            <w:hideMark/>
          </w:tcPr>
          <w:p w14:paraId="3B20936A"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0.002366</w:t>
            </w:r>
          </w:p>
        </w:tc>
        <w:tc>
          <w:tcPr>
            <w:tcW w:w="1302" w:type="dxa"/>
            <w:gridSpan w:val="2"/>
            <w:tcBorders>
              <w:top w:val="nil"/>
              <w:left w:val="nil"/>
              <w:bottom w:val="nil"/>
              <w:right w:val="nil"/>
            </w:tcBorders>
            <w:shd w:val="clear" w:color="auto" w:fill="auto"/>
            <w:noWrap/>
            <w:vAlign w:val="bottom"/>
            <w:hideMark/>
          </w:tcPr>
          <w:p w14:paraId="6BC419E7"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0.001183</w:t>
            </w:r>
          </w:p>
        </w:tc>
        <w:tc>
          <w:tcPr>
            <w:tcW w:w="1302" w:type="dxa"/>
            <w:gridSpan w:val="2"/>
            <w:tcBorders>
              <w:top w:val="nil"/>
              <w:left w:val="nil"/>
              <w:bottom w:val="nil"/>
              <w:right w:val="nil"/>
            </w:tcBorders>
            <w:shd w:val="clear" w:color="auto" w:fill="auto"/>
            <w:noWrap/>
            <w:vAlign w:val="bottom"/>
            <w:hideMark/>
          </w:tcPr>
          <w:p w14:paraId="5D22AF4C"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w:t>
            </w:r>
          </w:p>
        </w:tc>
        <w:tc>
          <w:tcPr>
            <w:tcW w:w="1302" w:type="dxa"/>
            <w:gridSpan w:val="2"/>
            <w:tcBorders>
              <w:top w:val="nil"/>
              <w:left w:val="nil"/>
              <w:bottom w:val="nil"/>
              <w:right w:val="nil"/>
            </w:tcBorders>
            <w:shd w:val="clear" w:color="auto" w:fill="auto"/>
            <w:noWrap/>
            <w:vAlign w:val="bottom"/>
            <w:hideMark/>
          </w:tcPr>
          <w:p w14:paraId="16ABE488"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29.493</w:t>
            </w:r>
          </w:p>
        </w:tc>
        <w:tc>
          <w:tcPr>
            <w:tcW w:w="1302" w:type="dxa"/>
            <w:tcBorders>
              <w:top w:val="nil"/>
              <w:left w:val="nil"/>
              <w:bottom w:val="nil"/>
              <w:right w:val="nil"/>
            </w:tcBorders>
            <w:shd w:val="clear" w:color="auto" w:fill="auto"/>
            <w:noWrap/>
            <w:vAlign w:val="bottom"/>
            <w:hideMark/>
          </w:tcPr>
          <w:p w14:paraId="5B6AFACA"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0.3298</w:t>
            </w:r>
          </w:p>
        </w:tc>
        <w:tc>
          <w:tcPr>
            <w:tcW w:w="1302" w:type="dxa"/>
            <w:tcBorders>
              <w:top w:val="nil"/>
              <w:left w:val="nil"/>
              <w:bottom w:val="nil"/>
              <w:right w:val="nil"/>
            </w:tcBorders>
            <w:shd w:val="clear" w:color="auto" w:fill="auto"/>
            <w:noWrap/>
            <w:vAlign w:val="bottom"/>
            <w:hideMark/>
          </w:tcPr>
          <w:p w14:paraId="3223F8DE"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0.72169</w:t>
            </w:r>
          </w:p>
        </w:tc>
      </w:tr>
      <w:tr w:rsidR="00303FAC" w:rsidRPr="00303FAC" w14:paraId="25F41D0C"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43B9387A"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Blood meal richness</w:t>
            </w:r>
          </w:p>
        </w:tc>
        <w:tc>
          <w:tcPr>
            <w:tcW w:w="1302" w:type="dxa"/>
            <w:gridSpan w:val="2"/>
            <w:tcBorders>
              <w:top w:val="nil"/>
              <w:left w:val="nil"/>
              <w:bottom w:val="nil"/>
              <w:right w:val="nil"/>
            </w:tcBorders>
            <w:shd w:val="clear" w:color="auto" w:fill="auto"/>
            <w:noWrap/>
            <w:vAlign w:val="bottom"/>
            <w:hideMark/>
          </w:tcPr>
          <w:p w14:paraId="33B86E66"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0.0468</w:t>
            </w:r>
          </w:p>
        </w:tc>
        <w:tc>
          <w:tcPr>
            <w:tcW w:w="1302" w:type="dxa"/>
            <w:gridSpan w:val="2"/>
            <w:tcBorders>
              <w:top w:val="nil"/>
              <w:left w:val="nil"/>
              <w:bottom w:val="nil"/>
              <w:right w:val="nil"/>
            </w:tcBorders>
            <w:shd w:val="clear" w:color="auto" w:fill="auto"/>
            <w:noWrap/>
            <w:vAlign w:val="bottom"/>
            <w:hideMark/>
          </w:tcPr>
          <w:p w14:paraId="456FFCDF"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0.040871</w:t>
            </w:r>
          </w:p>
        </w:tc>
        <w:tc>
          <w:tcPr>
            <w:tcW w:w="1302" w:type="dxa"/>
            <w:gridSpan w:val="2"/>
            <w:tcBorders>
              <w:top w:val="nil"/>
              <w:left w:val="nil"/>
              <w:bottom w:val="nil"/>
              <w:right w:val="nil"/>
            </w:tcBorders>
            <w:shd w:val="clear" w:color="auto" w:fill="auto"/>
            <w:noWrap/>
            <w:vAlign w:val="bottom"/>
            <w:hideMark/>
          </w:tcPr>
          <w:p w14:paraId="7444CB3A"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0.013624</w:t>
            </w:r>
          </w:p>
        </w:tc>
        <w:tc>
          <w:tcPr>
            <w:tcW w:w="1302" w:type="dxa"/>
            <w:gridSpan w:val="2"/>
            <w:tcBorders>
              <w:top w:val="nil"/>
              <w:left w:val="nil"/>
              <w:bottom w:val="nil"/>
              <w:right w:val="nil"/>
            </w:tcBorders>
            <w:shd w:val="clear" w:color="auto" w:fill="auto"/>
            <w:noWrap/>
            <w:vAlign w:val="bottom"/>
            <w:hideMark/>
          </w:tcPr>
          <w:p w14:paraId="0E357692"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3</w:t>
            </w:r>
          </w:p>
        </w:tc>
        <w:tc>
          <w:tcPr>
            <w:tcW w:w="1302" w:type="dxa"/>
            <w:gridSpan w:val="2"/>
            <w:tcBorders>
              <w:top w:val="nil"/>
              <w:left w:val="nil"/>
              <w:bottom w:val="nil"/>
              <w:right w:val="nil"/>
            </w:tcBorders>
            <w:shd w:val="clear" w:color="auto" w:fill="auto"/>
            <w:noWrap/>
            <w:vAlign w:val="bottom"/>
            <w:hideMark/>
          </w:tcPr>
          <w:p w14:paraId="34127450"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96.609</w:t>
            </w:r>
          </w:p>
        </w:tc>
        <w:tc>
          <w:tcPr>
            <w:tcW w:w="1302" w:type="dxa"/>
            <w:tcBorders>
              <w:top w:val="nil"/>
              <w:left w:val="nil"/>
              <w:bottom w:val="nil"/>
              <w:right w:val="nil"/>
            </w:tcBorders>
            <w:shd w:val="clear" w:color="auto" w:fill="auto"/>
            <w:noWrap/>
            <w:vAlign w:val="bottom"/>
            <w:hideMark/>
          </w:tcPr>
          <w:p w14:paraId="43050085"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3.7987</w:t>
            </w:r>
          </w:p>
        </w:tc>
        <w:tc>
          <w:tcPr>
            <w:tcW w:w="1302" w:type="dxa"/>
            <w:tcBorders>
              <w:top w:val="nil"/>
              <w:left w:val="nil"/>
              <w:bottom w:val="nil"/>
              <w:right w:val="nil"/>
            </w:tcBorders>
            <w:shd w:val="clear" w:color="auto" w:fill="auto"/>
            <w:noWrap/>
            <w:vAlign w:val="bottom"/>
            <w:hideMark/>
          </w:tcPr>
          <w:p w14:paraId="31F1D7E4" w14:textId="77777777" w:rsidR="00303FAC" w:rsidRPr="00303FAC" w:rsidRDefault="00303FAC" w:rsidP="00303FAC">
            <w:pPr>
              <w:jc w:val="right"/>
              <w:rPr>
                <w:rFonts w:eastAsia="Times New Roman" w:cs="Times New Roman"/>
                <w:b/>
                <w:bCs/>
                <w:color w:val="000000"/>
              </w:rPr>
            </w:pPr>
            <w:r w:rsidRPr="00303FAC">
              <w:rPr>
                <w:rFonts w:eastAsia="Times New Roman" w:cs="Times New Roman"/>
                <w:b/>
                <w:bCs/>
                <w:color w:val="000000"/>
              </w:rPr>
              <w:t>0.0127</w:t>
            </w:r>
          </w:p>
        </w:tc>
      </w:tr>
      <w:tr w:rsidR="00303FAC" w:rsidRPr="00303FAC" w14:paraId="71AB5E88"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210B1952"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Dominant blood meal</w:t>
            </w:r>
          </w:p>
        </w:tc>
        <w:tc>
          <w:tcPr>
            <w:tcW w:w="1302" w:type="dxa"/>
            <w:gridSpan w:val="2"/>
            <w:tcBorders>
              <w:top w:val="nil"/>
              <w:left w:val="nil"/>
              <w:bottom w:val="nil"/>
              <w:right w:val="nil"/>
            </w:tcBorders>
            <w:shd w:val="clear" w:color="auto" w:fill="auto"/>
            <w:noWrap/>
            <w:vAlign w:val="bottom"/>
            <w:hideMark/>
          </w:tcPr>
          <w:p w14:paraId="41D72EF6"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0.15</w:t>
            </w:r>
          </w:p>
        </w:tc>
        <w:tc>
          <w:tcPr>
            <w:tcW w:w="1302" w:type="dxa"/>
            <w:gridSpan w:val="2"/>
            <w:tcBorders>
              <w:top w:val="nil"/>
              <w:left w:val="nil"/>
              <w:bottom w:val="nil"/>
              <w:right w:val="nil"/>
            </w:tcBorders>
            <w:shd w:val="clear" w:color="auto" w:fill="auto"/>
            <w:noWrap/>
            <w:vAlign w:val="bottom"/>
            <w:hideMark/>
          </w:tcPr>
          <w:p w14:paraId="77317AD7"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0.066235</w:t>
            </w:r>
          </w:p>
        </w:tc>
        <w:tc>
          <w:tcPr>
            <w:tcW w:w="1302" w:type="dxa"/>
            <w:gridSpan w:val="2"/>
            <w:tcBorders>
              <w:top w:val="nil"/>
              <w:left w:val="nil"/>
              <w:bottom w:val="nil"/>
              <w:right w:val="nil"/>
            </w:tcBorders>
            <w:shd w:val="clear" w:color="auto" w:fill="auto"/>
            <w:noWrap/>
            <w:vAlign w:val="bottom"/>
            <w:hideMark/>
          </w:tcPr>
          <w:p w14:paraId="40428464"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0.008279</w:t>
            </w:r>
          </w:p>
        </w:tc>
        <w:tc>
          <w:tcPr>
            <w:tcW w:w="1302" w:type="dxa"/>
            <w:gridSpan w:val="2"/>
            <w:tcBorders>
              <w:top w:val="nil"/>
              <w:left w:val="nil"/>
              <w:bottom w:val="nil"/>
              <w:right w:val="nil"/>
            </w:tcBorders>
            <w:shd w:val="clear" w:color="auto" w:fill="auto"/>
            <w:noWrap/>
            <w:vAlign w:val="bottom"/>
            <w:hideMark/>
          </w:tcPr>
          <w:p w14:paraId="52DDB496"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8</w:t>
            </w:r>
          </w:p>
        </w:tc>
        <w:tc>
          <w:tcPr>
            <w:tcW w:w="1302" w:type="dxa"/>
            <w:gridSpan w:val="2"/>
            <w:tcBorders>
              <w:top w:val="nil"/>
              <w:left w:val="nil"/>
              <w:bottom w:val="nil"/>
              <w:right w:val="nil"/>
            </w:tcBorders>
            <w:shd w:val="clear" w:color="auto" w:fill="auto"/>
            <w:noWrap/>
            <w:vAlign w:val="bottom"/>
            <w:hideMark/>
          </w:tcPr>
          <w:p w14:paraId="1E65CA8B"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79.171</w:t>
            </w:r>
          </w:p>
        </w:tc>
        <w:tc>
          <w:tcPr>
            <w:tcW w:w="1302" w:type="dxa"/>
            <w:tcBorders>
              <w:top w:val="nil"/>
              <w:left w:val="nil"/>
              <w:bottom w:val="nil"/>
              <w:right w:val="nil"/>
            </w:tcBorders>
            <w:shd w:val="clear" w:color="auto" w:fill="auto"/>
            <w:noWrap/>
            <w:vAlign w:val="bottom"/>
            <w:hideMark/>
          </w:tcPr>
          <w:p w14:paraId="4217E720"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2.3085</w:t>
            </w:r>
          </w:p>
        </w:tc>
        <w:tc>
          <w:tcPr>
            <w:tcW w:w="1302" w:type="dxa"/>
            <w:tcBorders>
              <w:top w:val="nil"/>
              <w:left w:val="nil"/>
              <w:bottom w:val="nil"/>
              <w:right w:val="nil"/>
            </w:tcBorders>
            <w:shd w:val="clear" w:color="auto" w:fill="auto"/>
            <w:noWrap/>
            <w:vAlign w:val="bottom"/>
            <w:hideMark/>
          </w:tcPr>
          <w:p w14:paraId="2A0A8C0B" w14:textId="77777777" w:rsidR="00303FAC" w:rsidRPr="00303FAC" w:rsidRDefault="00303FAC" w:rsidP="00303FAC">
            <w:pPr>
              <w:jc w:val="right"/>
              <w:rPr>
                <w:rFonts w:eastAsia="Times New Roman" w:cs="Times New Roman"/>
                <w:b/>
                <w:bCs/>
                <w:color w:val="000000"/>
              </w:rPr>
            </w:pPr>
            <w:r w:rsidRPr="00303FAC">
              <w:rPr>
                <w:rFonts w:eastAsia="Times New Roman" w:cs="Times New Roman"/>
                <w:b/>
                <w:bCs/>
                <w:color w:val="000000"/>
              </w:rPr>
              <w:t>0.02798</w:t>
            </w:r>
          </w:p>
        </w:tc>
      </w:tr>
      <w:tr w:rsidR="00303FAC" w:rsidRPr="00303FAC" w14:paraId="070B5722"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hideMark/>
          </w:tcPr>
          <w:p w14:paraId="56566DC2" w14:textId="77777777" w:rsidR="00303FAC" w:rsidRPr="00303FAC" w:rsidRDefault="00303FAC" w:rsidP="00303FAC">
            <w:pPr>
              <w:rPr>
                <w:rFonts w:eastAsia="Times New Roman" w:cs="Times New Roman"/>
                <w:color w:val="000000"/>
              </w:rPr>
            </w:pPr>
            <w:r w:rsidRPr="00303FAC">
              <w:rPr>
                <w:rFonts w:eastAsia="Times New Roman" w:cs="Times New Roman"/>
                <w:color w:val="000000"/>
              </w:rPr>
              <w:t>Full Model</w:t>
            </w:r>
          </w:p>
        </w:tc>
        <w:tc>
          <w:tcPr>
            <w:tcW w:w="1302" w:type="dxa"/>
            <w:gridSpan w:val="2"/>
            <w:tcBorders>
              <w:top w:val="nil"/>
              <w:left w:val="nil"/>
              <w:bottom w:val="nil"/>
              <w:right w:val="nil"/>
            </w:tcBorders>
            <w:shd w:val="clear" w:color="auto" w:fill="auto"/>
            <w:noWrap/>
            <w:vAlign w:val="bottom"/>
            <w:hideMark/>
          </w:tcPr>
          <w:p w14:paraId="4CBD8A1C" w14:textId="77777777" w:rsidR="00303FAC" w:rsidRPr="00303FAC" w:rsidRDefault="00303FAC" w:rsidP="00303FAC">
            <w:pPr>
              <w:jc w:val="right"/>
              <w:rPr>
                <w:rFonts w:eastAsia="Times New Roman" w:cs="Times New Roman"/>
                <w:color w:val="000000"/>
              </w:rPr>
            </w:pPr>
            <w:r w:rsidRPr="00303FAC">
              <w:rPr>
                <w:rFonts w:eastAsia="Times New Roman" w:cs="Times New Roman"/>
                <w:color w:val="000000"/>
              </w:rPr>
              <w:t>0.2775</w:t>
            </w:r>
          </w:p>
        </w:tc>
        <w:tc>
          <w:tcPr>
            <w:tcW w:w="1302" w:type="dxa"/>
            <w:gridSpan w:val="2"/>
            <w:tcBorders>
              <w:top w:val="nil"/>
              <w:left w:val="nil"/>
              <w:bottom w:val="nil"/>
              <w:right w:val="nil"/>
            </w:tcBorders>
            <w:shd w:val="clear" w:color="auto" w:fill="auto"/>
            <w:noWrap/>
            <w:vAlign w:val="bottom"/>
            <w:hideMark/>
          </w:tcPr>
          <w:p w14:paraId="1E683DD3" w14:textId="77777777" w:rsidR="00303FAC" w:rsidRPr="00303FAC" w:rsidRDefault="00303FAC" w:rsidP="00303FAC">
            <w:pPr>
              <w:jc w:val="right"/>
              <w:rPr>
                <w:rFonts w:eastAsia="Times New Roman" w:cs="Times New Roman"/>
                <w:color w:val="000000"/>
              </w:rPr>
            </w:pPr>
          </w:p>
        </w:tc>
        <w:tc>
          <w:tcPr>
            <w:tcW w:w="1302" w:type="dxa"/>
            <w:gridSpan w:val="2"/>
            <w:tcBorders>
              <w:top w:val="nil"/>
              <w:left w:val="nil"/>
              <w:bottom w:val="nil"/>
              <w:right w:val="nil"/>
            </w:tcBorders>
            <w:shd w:val="clear" w:color="auto" w:fill="auto"/>
            <w:noWrap/>
            <w:vAlign w:val="bottom"/>
            <w:hideMark/>
          </w:tcPr>
          <w:p w14:paraId="20187F7A"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66DF2B28" w14:textId="77777777" w:rsidR="00303FAC" w:rsidRPr="00303FAC" w:rsidRDefault="00303FAC" w:rsidP="00303FAC">
            <w:pPr>
              <w:rPr>
                <w:rFonts w:eastAsia="Times New Roman" w:cs="Times New Roman"/>
              </w:rPr>
            </w:pPr>
          </w:p>
        </w:tc>
        <w:tc>
          <w:tcPr>
            <w:tcW w:w="1302" w:type="dxa"/>
            <w:gridSpan w:val="2"/>
            <w:tcBorders>
              <w:top w:val="nil"/>
              <w:left w:val="nil"/>
              <w:bottom w:val="nil"/>
              <w:right w:val="nil"/>
            </w:tcBorders>
            <w:shd w:val="clear" w:color="auto" w:fill="auto"/>
            <w:noWrap/>
            <w:vAlign w:val="bottom"/>
            <w:hideMark/>
          </w:tcPr>
          <w:p w14:paraId="1A879472"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5E569701" w14:textId="77777777" w:rsidR="00303FAC" w:rsidRPr="00303FAC" w:rsidRDefault="00303FAC" w:rsidP="00303FAC">
            <w:pPr>
              <w:rPr>
                <w:rFonts w:eastAsia="Times New Roman" w:cs="Times New Roman"/>
              </w:rPr>
            </w:pPr>
          </w:p>
        </w:tc>
        <w:tc>
          <w:tcPr>
            <w:tcW w:w="1302" w:type="dxa"/>
            <w:tcBorders>
              <w:top w:val="nil"/>
              <w:left w:val="nil"/>
              <w:bottom w:val="nil"/>
              <w:right w:val="nil"/>
            </w:tcBorders>
            <w:shd w:val="clear" w:color="auto" w:fill="auto"/>
            <w:noWrap/>
            <w:vAlign w:val="bottom"/>
            <w:hideMark/>
          </w:tcPr>
          <w:p w14:paraId="3AEBE70B" w14:textId="77777777" w:rsidR="00303FAC" w:rsidRPr="00303FAC" w:rsidRDefault="00303FAC" w:rsidP="00303FAC">
            <w:pPr>
              <w:rPr>
                <w:rFonts w:eastAsia="Times New Roman" w:cs="Times New Roman"/>
              </w:rPr>
            </w:pPr>
          </w:p>
        </w:tc>
      </w:tr>
      <w:tr w:rsidR="0038730F" w:rsidRPr="00303FAC" w14:paraId="5A02A340" w14:textId="77777777" w:rsidTr="00954AB9">
        <w:trPr>
          <w:gridAfter w:val="1"/>
          <w:wAfter w:w="720" w:type="dxa"/>
          <w:trHeight w:val="380"/>
        </w:trPr>
        <w:tc>
          <w:tcPr>
            <w:tcW w:w="3126" w:type="dxa"/>
            <w:tcBorders>
              <w:top w:val="nil"/>
              <w:left w:val="nil"/>
              <w:bottom w:val="nil"/>
              <w:right w:val="nil"/>
            </w:tcBorders>
            <w:shd w:val="clear" w:color="auto" w:fill="auto"/>
            <w:noWrap/>
            <w:vAlign w:val="bottom"/>
          </w:tcPr>
          <w:p w14:paraId="0229EEBF" w14:textId="77777777" w:rsidR="0038730F" w:rsidRDefault="0038730F" w:rsidP="00303FAC">
            <w:pPr>
              <w:rPr>
                <w:rFonts w:ascii="Calibri" w:eastAsia="Times New Roman" w:hAnsi="Calibri" w:cs="Calibri"/>
                <w:color w:val="000000"/>
                <w:sz w:val="28"/>
                <w:szCs w:val="28"/>
              </w:rPr>
            </w:pPr>
          </w:p>
          <w:p w14:paraId="5665E7CB" w14:textId="77777777" w:rsidR="0038730F" w:rsidRDefault="0038730F" w:rsidP="00303FAC">
            <w:pPr>
              <w:rPr>
                <w:rFonts w:ascii="Calibri" w:eastAsia="Times New Roman" w:hAnsi="Calibri" w:cs="Calibri"/>
                <w:color w:val="000000"/>
                <w:sz w:val="28"/>
                <w:szCs w:val="28"/>
              </w:rPr>
            </w:pPr>
          </w:p>
          <w:p w14:paraId="5192718F" w14:textId="77777777" w:rsidR="0038730F" w:rsidRDefault="0038730F" w:rsidP="00303FAC">
            <w:pPr>
              <w:rPr>
                <w:rFonts w:ascii="Calibri" w:eastAsia="Times New Roman" w:hAnsi="Calibri" w:cs="Calibri"/>
                <w:color w:val="000000"/>
                <w:sz w:val="28"/>
                <w:szCs w:val="28"/>
              </w:rPr>
            </w:pPr>
          </w:p>
          <w:p w14:paraId="06990F29" w14:textId="77777777" w:rsidR="0038730F" w:rsidRDefault="0038730F" w:rsidP="00303FAC">
            <w:pPr>
              <w:rPr>
                <w:rFonts w:ascii="Calibri" w:eastAsia="Times New Roman" w:hAnsi="Calibri" w:cs="Calibri"/>
                <w:color w:val="000000"/>
                <w:sz w:val="28"/>
                <w:szCs w:val="28"/>
              </w:rPr>
            </w:pPr>
          </w:p>
          <w:p w14:paraId="1CE445F2" w14:textId="77777777" w:rsidR="0038730F" w:rsidRDefault="0038730F" w:rsidP="00303FAC">
            <w:pPr>
              <w:rPr>
                <w:rFonts w:ascii="Calibri" w:eastAsia="Times New Roman" w:hAnsi="Calibri" w:cs="Calibri"/>
                <w:color w:val="000000"/>
                <w:sz w:val="28"/>
                <w:szCs w:val="28"/>
              </w:rPr>
            </w:pPr>
          </w:p>
          <w:p w14:paraId="719277CF" w14:textId="77777777" w:rsidR="0038730F" w:rsidRDefault="0038730F" w:rsidP="00303FAC">
            <w:pPr>
              <w:rPr>
                <w:rFonts w:ascii="Calibri" w:eastAsia="Times New Roman" w:hAnsi="Calibri" w:cs="Calibri"/>
                <w:color w:val="000000"/>
                <w:sz w:val="28"/>
                <w:szCs w:val="28"/>
              </w:rPr>
            </w:pPr>
          </w:p>
          <w:p w14:paraId="16C722CB" w14:textId="77777777" w:rsidR="0038730F" w:rsidRDefault="0038730F" w:rsidP="00303FAC">
            <w:pPr>
              <w:rPr>
                <w:rFonts w:ascii="Calibri" w:eastAsia="Times New Roman" w:hAnsi="Calibri" w:cs="Calibri"/>
                <w:color w:val="000000"/>
                <w:sz w:val="28"/>
                <w:szCs w:val="28"/>
              </w:rPr>
            </w:pPr>
          </w:p>
          <w:p w14:paraId="255FEAC9" w14:textId="77777777" w:rsidR="0038730F" w:rsidRDefault="0038730F" w:rsidP="00303FAC">
            <w:pPr>
              <w:rPr>
                <w:rFonts w:ascii="Calibri" w:eastAsia="Times New Roman" w:hAnsi="Calibri" w:cs="Calibri"/>
                <w:color w:val="000000"/>
                <w:sz w:val="28"/>
                <w:szCs w:val="28"/>
              </w:rPr>
            </w:pPr>
          </w:p>
          <w:p w14:paraId="15DBFBEE" w14:textId="77777777" w:rsidR="0038730F" w:rsidRDefault="0038730F" w:rsidP="00303FAC">
            <w:pPr>
              <w:rPr>
                <w:rFonts w:ascii="Calibri" w:eastAsia="Times New Roman" w:hAnsi="Calibri" w:cs="Calibri"/>
                <w:color w:val="000000"/>
                <w:sz w:val="28"/>
                <w:szCs w:val="28"/>
              </w:rPr>
            </w:pPr>
          </w:p>
          <w:p w14:paraId="7FB1AF34" w14:textId="77777777" w:rsidR="0038730F" w:rsidRDefault="0038730F" w:rsidP="00303FAC">
            <w:pPr>
              <w:rPr>
                <w:rFonts w:ascii="Calibri" w:eastAsia="Times New Roman" w:hAnsi="Calibri" w:cs="Calibri"/>
                <w:color w:val="000000"/>
                <w:sz w:val="28"/>
                <w:szCs w:val="28"/>
              </w:rPr>
            </w:pPr>
          </w:p>
          <w:p w14:paraId="070E6C25" w14:textId="77777777" w:rsidR="0038730F" w:rsidRDefault="0038730F" w:rsidP="00303FAC">
            <w:pPr>
              <w:rPr>
                <w:rFonts w:ascii="Calibri" w:eastAsia="Times New Roman" w:hAnsi="Calibri" w:cs="Calibri"/>
                <w:color w:val="000000"/>
                <w:sz w:val="28"/>
                <w:szCs w:val="28"/>
              </w:rPr>
            </w:pPr>
          </w:p>
          <w:p w14:paraId="75408379" w14:textId="0219A788" w:rsidR="00584C79" w:rsidRPr="00303FAC" w:rsidRDefault="00584C79" w:rsidP="00303FAC">
            <w:pPr>
              <w:rPr>
                <w:rFonts w:ascii="Calibri" w:eastAsia="Times New Roman" w:hAnsi="Calibri" w:cs="Calibri"/>
                <w:color w:val="000000"/>
                <w:sz w:val="28"/>
                <w:szCs w:val="28"/>
              </w:rPr>
            </w:pPr>
          </w:p>
        </w:tc>
        <w:tc>
          <w:tcPr>
            <w:tcW w:w="1302" w:type="dxa"/>
            <w:gridSpan w:val="2"/>
            <w:tcBorders>
              <w:top w:val="nil"/>
              <w:left w:val="nil"/>
              <w:bottom w:val="nil"/>
              <w:right w:val="nil"/>
            </w:tcBorders>
            <w:shd w:val="clear" w:color="auto" w:fill="auto"/>
            <w:noWrap/>
            <w:vAlign w:val="bottom"/>
          </w:tcPr>
          <w:p w14:paraId="4700BF01" w14:textId="77777777" w:rsidR="0038730F" w:rsidRPr="00303FAC" w:rsidRDefault="0038730F" w:rsidP="00303FAC">
            <w:pPr>
              <w:jc w:val="right"/>
              <w:rPr>
                <w:rFonts w:ascii="Calibri" w:eastAsia="Times New Roman" w:hAnsi="Calibri" w:cs="Calibri"/>
                <w:color w:val="000000"/>
                <w:sz w:val="28"/>
                <w:szCs w:val="28"/>
              </w:rPr>
            </w:pPr>
          </w:p>
        </w:tc>
        <w:tc>
          <w:tcPr>
            <w:tcW w:w="1302" w:type="dxa"/>
            <w:gridSpan w:val="2"/>
            <w:tcBorders>
              <w:top w:val="nil"/>
              <w:left w:val="nil"/>
              <w:bottom w:val="nil"/>
              <w:right w:val="nil"/>
            </w:tcBorders>
            <w:shd w:val="clear" w:color="auto" w:fill="auto"/>
            <w:noWrap/>
            <w:vAlign w:val="bottom"/>
          </w:tcPr>
          <w:p w14:paraId="02AC618F" w14:textId="77777777" w:rsidR="0038730F" w:rsidRPr="00303FAC" w:rsidRDefault="0038730F" w:rsidP="00303FAC">
            <w:pPr>
              <w:jc w:val="right"/>
              <w:rPr>
                <w:rFonts w:ascii="Calibri" w:eastAsia="Times New Roman" w:hAnsi="Calibri" w:cs="Calibri"/>
                <w:color w:val="000000"/>
                <w:sz w:val="28"/>
                <w:szCs w:val="28"/>
              </w:rPr>
            </w:pPr>
          </w:p>
        </w:tc>
        <w:tc>
          <w:tcPr>
            <w:tcW w:w="1302" w:type="dxa"/>
            <w:gridSpan w:val="2"/>
            <w:tcBorders>
              <w:top w:val="nil"/>
              <w:left w:val="nil"/>
              <w:bottom w:val="nil"/>
              <w:right w:val="nil"/>
            </w:tcBorders>
            <w:shd w:val="clear" w:color="auto" w:fill="auto"/>
            <w:noWrap/>
            <w:vAlign w:val="bottom"/>
          </w:tcPr>
          <w:p w14:paraId="2A275669" w14:textId="77777777" w:rsidR="0038730F" w:rsidRPr="00303FAC" w:rsidRDefault="0038730F" w:rsidP="00303FAC">
            <w:pPr>
              <w:rPr>
                <w:rFonts w:eastAsia="Times New Roman" w:cs="Times New Roman"/>
                <w:sz w:val="20"/>
                <w:szCs w:val="20"/>
              </w:rPr>
            </w:pPr>
          </w:p>
        </w:tc>
        <w:tc>
          <w:tcPr>
            <w:tcW w:w="1302" w:type="dxa"/>
            <w:gridSpan w:val="2"/>
            <w:tcBorders>
              <w:top w:val="nil"/>
              <w:left w:val="nil"/>
              <w:bottom w:val="nil"/>
              <w:right w:val="nil"/>
            </w:tcBorders>
            <w:shd w:val="clear" w:color="auto" w:fill="auto"/>
            <w:noWrap/>
            <w:vAlign w:val="bottom"/>
          </w:tcPr>
          <w:p w14:paraId="422ABB1C" w14:textId="77777777" w:rsidR="0038730F" w:rsidRPr="00303FAC" w:rsidRDefault="0038730F" w:rsidP="00303FAC">
            <w:pPr>
              <w:rPr>
                <w:rFonts w:eastAsia="Times New Roman" w:cs="Times New Roman"/>
                <w:sz w:val="20"/>
                <w:szCs w:val="20"/>
              </w:rPr>
            </w:pPr>
          </w:p>
        </w:tc>
        <w:tc>
          <w:tcPr>
            <w:tcW w:w="1302" w:type="dxa"/>
            <w:gridSpan w:val="2"/>
            <w:tcBorders>
              <w:top w:val="nil"/>
              <w:left w:val="nil"/>
              <w:bottom w:val="nil"/>
              <w:right w:val="nil"/>
            </w:tcBorders>
            <w:shd w:val="clear" w:color="auto" w:fill="auto"/>
            <w:noWrap/>
            <w:vAlign w:val="bottom"/>
          </w:tcPr>
          <w:p w14:paraId="7C58FE28" w14:textId="77777777" w:rsidR="0038730F" w:rsidRPr="00303FAC" w:rsidRDefault="0038730F" w:rsidP="00303FAC">
            <w:pPr>
              <w:rPr>
                <w:rFonts w:eastAsia="Times New Roman" w:cs="Times New Roman"/>
                <w:sz w:val="20"/>
                <w:szCs w:val="20"/>
              </w:rPr>
            </w:pPr>
          </w:p>
        </w:tc>
        <w:tc>
          <w:tcPr>
            <w:tcW w:w="1302" w:type="dxa"/>
            <w:tcBorders>
              <w:top w:val="nil"/>
              <w:left w:val="nil"/>
              <w:bottom w:val="nil"/>
              <w:right w:val="nil"/>
            </w:tcBorders>
            <w:shd w:val="clear" w:color="auto" w:fill="auto"/>
            <w:noWrap/>
            <w:vAlign w:val="bottom"/>
          </w:tcPr>
          <w:p w14:paraId="7D1B2E54" w14:textId="77777777" w:rsidR="0038730F" w:rsidRPr="00303FAC" w:rsidRDefault="0038730F" w:rsidP="00303FAC">
            <w:pPr>
              <w:rPr>
                <w:rFonts w:eastAsia="Times New Roman" w:cs="Times New Roman"/>
                <w:sz w:val="20"/>
                <w:szCs w:val="20"/>
              </w:rPr>
            </w:pPr>
          </w:p>
        </w:tc>
        <w:tc>
          <w:tcPr>
            <w:tcW w:w="1302" w:type="dxa"/>
            <w:tcBorders>
              <w:top w:val="nil"/>
              <w:left w:val="nil"/>
              <w:bottom w:val="nil"/>
              <w:right w:val="nil"/>
            </w:tcBorders>
            <w:shd w:val="clear" w:color="auto" w:fill="auto"/>
            <w:noWrap/>
            <w:vAlign w:val="bottom"/>
          </w:tcPr>
          <w:p w14:paraId="16CD38A4" w14:textId="77777777" w:rsidR="0038730F" w:rsidRPr="00303FAC" w:rsidRDefault="0038730F" w:rsidP="00303FAC">
            <w:pPr>
              <w:rPr>
                <w:rFonts w:eastAsia="Times New Roman" w:cs="Times New Roman"/>
                <w:sz w:val="20"/>
                <w:szCs w:val="20"/>
              </w:rPr>
            </w:pPr>
          </w:p>
        </w:tc>
      </w:tr>
      <w:tr w:rsidR="00954AB9" w:rsidRPr="00A53C1D" w14:paraId="0815372C" w14:textId="77777777" w:rsidTr="00954AB9">
        <w:trPr>
          <w:trHeight w:val="380"/>
        </w:trPr>
        <w:tc>
          <w:tcPr>
            <w:tcW w:w="12960" w:type="dxa"/>
            <w:gridSpan w:val="14"/>
            <w:tcBorders>
              <w:top w:val="nil"/>
              <w:left w:val="nil"/>
              <w:bottom w:val="nil"/>
              <w:right w:val="nil"/>
            </w:tcBorders>
            <w:shd w:val="clear" w:color="auto" w:fill="auto"/>
            <w:noWrap/>
            <w:vAlign w:val="bottom"/>
            <w:hideMark/>
          </w:tcPr>
          <w:p w14:paraId="4E9D6AC0" w14:textId="1B195590" w:rsidR="00954AB9" w:rsidRPr="00A53C1D" w:rsidRDefault="00954AB9">
            <w:pPr>
              <w:rPr>
                <w:rFonts w:cs="Times New Roman"/>
                <w:b/>
                <w:bCs/>
                <w:color w:val="000000"/>
              </w:rPr>
            </w:pPr>
            <w:r w:rsidRPr="00A53C1D">
              <w:rPr>
                <w:rFonts w:cs="Times New Roman"/>
                <w:b/>
                <w:bCs/>
                <w:color w:val="000000"/>
              </w:rPr>
              <w:lastRenderedPageBreak/>
              <w:t xml:space="preserve">Table </w:t>
            </w:r>
            <w:r w:rsidR="00D76F98">
              <w:rPr>
                <w:rFonts w:cs="Times New Roman"/>
                <w:b/>
                <w:bCs/>
                <w:color w:val="000000"/>
              </w:rPr>
              <w:t>3.</w:t>
            </w:r>
            <w:r w:rsidRPr="00A53C1D">
              <w:rPr>
                <w:rFonts w:cs="Times New Roman"/>
                <w:b/>
                <w:bCs/>
                <w:color w:val="000000"/>
              </w:rPr>
              <w:t>2 Linear mixed models testing the effects of sampling region, dominant blood meal, and blood meal richness on alpha diversity across peridomestic palms after accounting for triatomine age groups.</w:t>
            </w:r>
          </w:p>
        </w:tc>
      </w:tr>
      <w:tr w:rsidR="00954AB9" w:rsidRPr="00A53C1D" w14:paraId="5A1887F1" w14:textId="77777777" w:rsidTr="00954AB9">
        <w:trPr>
          <w:trHeight w:val="380"/>
        </w:trPr>
        <w:tc>
          <w:tcPr>
            <w:tcW w:w="12960" w:type="dxa"/>
            <w:gridSpan w:val="14"/>
            <w:tcBorders>
              <w:top w:val="nil"/>
              <w:left w:val="nil"/>
              <w:bottom w:val="nil"/>
              <w:right w:val="nil"/>
            </w:tcBorders>
            <w:shd w:val="clear" w:color="auto" w:fill="auto"/>
            <w:noWrap/>
            <w:vAlign w:val="bottom"/>
            <w:hideMark/>
          </w:tcPr>
          <w:p w14:paraId="30F24A48" w14:textId="77777777" w:rsidR="00954AB9" w:rsidRPr="00A53C1D" w:rsidRDefault="00954AB9">
            <w:pPr>
              <w:rPr>
                <w:rFonts w:cs="Times New Roman"/>
                <w:color w:val="000000"/>
              </w:rPr>
            </w:pPr>
            <w:r w:rsidRPr="00A53C1D">
              <w:rPr>
                <w:rFonts w:cs="Times New Roman"/>
                <w:color w:val="000000"/>
              </w:rPr>
              <w:t xml:space="preserve">Alpha diversity values were log-transformed prior to fitting and palm identity was included as a random effect. </w:t>
            </w:r>
          </w:p>
        </w:tc>
      </w:tr>
      <w:tr w:rsidR="00954AB9" w:rsidRPr="00A53C1D" w14:paraId="556AC63F" w14:textId="77777777" w:rsidTr="00954AB9">
        <w:trPr>
          <w:trHeight w:val="380"/>
        </w:trPr>
        <w:tc>
          <w:tcPr>
            <w:tcW w:w="12960" w:type="dxa"/>
            <w:gridSpan w:val="14"/>
            <w:tcBorders>
              <w:top w:val="nil"/>
              <w:left w:val="nil"/>
              <w:bottom w:val="nil"/>
              <w:right w:val="nil"/>
            </w:tcBorders>
            <w:shd w:val="clear" w:color="auto" w:fill="auto"/>
            <w:noWrap/>
            <w:vAlign w:val="bottom"/>
            <w:hideMark/>
          </w:tcPr>
          <w:p w14:paraId="17FC12B8" w14:textId="77777777" w:rsidR="00210063" w:rsidRDefault="00954AB9">
            <w:pPr>
              <w:rPr>
                <w:rFonts w:cs="Times New Roman"/>
                <w:color w:val="000000"/>
              </w:rPr>
            </w:pPr>
            <w:r w:rsidRPr="00A53C1D">
              <w:rPr>
                <w:rFonts w:cs="Times New Roman"/>
                <w:color w:val="000000"/>
              </w:rPr>
              <w:t>Marginal R</w:t>
            </w:r>
            <w:r w:rsidRPr="00534DEE">
              <w:rPr>
                <w:rFonts w:cs="Times New Roman"/>
                <w:color w:val="000000"/>
                <w:vertAlign w:val="superscript"/>
              </w:rPr>
              <w:t>2</w:t>
            </w:r>
            <w:r w:rsidRPr="00A53C1D">
              <w:rPr>
                <w:rFonts w:cs="Times New Roman"/>
                <w:color w:val="000000"/>
              </w:rPr>
              <w:t xml:space="preserve"> values were reported for full models and partial R2 values were reported for each covariate. Significant relationships are shown in bold</w:t>
            </w:r>
            <w:r w:rsidR="00A53C1D" w:rsidRPr="00A53C1D">
              <w:rPr>
                <w:rFonts w:cs="Times New Roman"/>
                <w:color w:val="000000"/>
              </w:rPr>
              <w:t>.</w:t>
            </w:r>
          </w:p>
          <w:p w14:paraId="4ECE7169" w14:textId="77777777" w:rsidR="00D76F98" w:rsidRDefault="00D76F98">
            <w:pPr>
              <w:rPr>
                <w:rFonts w:cs="Times New Roman"/>
                <w:color w:val="000000"/>
              </w:rPr>
            </w:pPr>
          </w:p>
          <w:p w14:paraId="4ACEF3E0" w14:textId="77777777" w:rsidR="00D76F98" w:rsidRDefault="00D76F98">
            <w:pPr>
              <w:rPr>
                <w:rFonts w:cs="Times New Roman"/>
                <w:color w:val="000000"/>
              </w:rPr>
            </w:pPr>
          </w:p>
          <w:p w14:paraId="7A2415F1" w14:textId="60E1A049" w:rsidR="00D76F98" w:rsidRPr="00A53C1D" w:rsidRDefault="00D76F98">
            <w:pPr>
              <w:rPr>
                <w:rFonts w:cs="Times New Roman"/>
                <w:color w:val="000000"/>
              </w:rPr>
            </w:pPr>
          </w:p>
        </w:tc>
      </w:tr>
      <w:tr w:rsidR="00584C79" w:rsidRPr="00584C79" w14:paraId="2D22B66A"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20C2CC7D"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6C2B9154" w14:textId="77777777" w:rsidR="00584C79" w:rsidRPr="00584C79" w:rsidRDefault="00584C79" w:rsidP="00584C79">
            <w:pPr>
              <w:rPr>
                <w:rFonts w:eastAsia="Times New Roman" w:cs="Times New Roman"/>
                <w:b/>
                <w:bCs/>
                <w:color w:val="000000"/>
              </w:rPr>
            </w:pPr>
            <w:r w:rsidRPr="00584C79">
              <w:rPr>
                <w:rFonts w:eastAsia="Times New Roman" w:cs="Times New Roman"/>
                <w:b/>
                <w:bCs/>
                <w:color w:val="000000"/>
              </w:rPr>
              <w:t>R^2</w:t>
            </w:r>
          </w:p>
        </w:tc>
        <w:tc>
          <w:tcPr>
            <w:tcW w:w="1300" w:type="dxa"/>
            <w:gridSpan w:val="2"/>
            <w:tcBorders>
              <w:top w:val="nil"/>
              <w:left w:val="nil"/>
              <w:bottom w:val="nil"/>
              <w:right w:val="nil"/>
            </w:tcBorders>
            <w:shd w:val="clear" w:color="auto" w:fill="auto"/>
            <w:noWrap/>
            <w:vAlign w:val="bottom"/>
            <w:hideMark/>
          </w:tcPr>
          <w:p w14:paraId="5E732D03" w14:textId="77777777" w:rsidR="00584C79" w:rsidRPr="00584C79" w:rsidRDefault="00584C79" w:rsidP="00584C79">
            <w:pPr>
              <w:rPr>
                <w:rFonts w:eastAsia="Times New Roman" w:cs="Times New Roman"/>
                <w:b/>
                <w:bCs/>
                <w:color w:val="000000"/>
              </w:rPr>
            </w:pPr>
            <w:r w:rsidRPr="00584C79">
              <w:rPr>
                <w:rFonts w:eastAsia="Times New Roman" w:cs="Times New Roman"/>
                <w:b/>
                <w:bCs/>
                <w:color w:val="000000"/>
              </w:rPr>
              <w:t>Sum SQ</w:t>
            </w:r>
          </w:p>
        </w:tc>
        <w:tc>
          <w:tcPr>
            <w:tcW w:w="1300" w:type="dxa"/>
            <w:gridSpan w:val="2"/>
            <w:tcBorders>
              <w:top w:val="nil"/>
              <w:left w:val="nil"/>
              <w:bottom w:val="nil"/>
              <w:right w:val="nil"/>
            </w:tcBorders>
            <w:shd w:val="clear" w:color="auto" w:fill="auto"/>
            <w:noWrap/>
            <w:vAlign w:val="bottom"/>
            <w:hideMark/>
          </w:tcPr>
          <w:p w14:paraId="0392C2B5" w14:textId="77777777" w:rsidR="00584C79" w:rsidRPr="00584C79" w:rsidRDefault="00584C79" w:rsidP="00584C79">
            <w:pPr>
              <w:rPr>
                <w:rFonts w:eastAsia="Times New Roman" w:cs="Times New Roman"/>
                <w:b/>
                <w:bCs/>
                <w:color w:val="000000"/>
              </w:rPr>
            </w:pPr>
            <w:r w:rsidRPr="00584C79">
              <w:rPr>
                <w:rFonts w:eastAsia="Times New Roman" w:cs="Times New Roman"/>
                <w:b/>
                <w:bCs/>
                <w:color w:val="000000"/>
              </w:rPr>
              <w:t>Mean SQ</w:t>
            </w:r>
          </w:p>
        </w:tc>
        <w:tc>
          <w:tcPr>
            <w:tcW w:w="1300" w:type="dxa"/>
            <w:gridSpan w:val="2"/>
            <w:tcBorders>
              <w:top w:val="nil"/>
              <w:left w:val="nil"/>
              <w:bottom w:val="nil"/>
              <w:right w:val="nil"/>
            </w:tcBorders>
            <w:shd w:val="clear" w:color="auto" w:fill="auto"/>
            <w:noWrap/>
            <w:vAlign w:val="bottom"/>
            <w:hideMark/>
          </w:tcPr>
          <w:p w14:paraId="30443B79" w14:textId="77777777" w:rsidR="00584C79" w:rsidRPr="00584C79" w:rsidRDefault="00584C79" w:rsidP="00584C79">
            <w:pPr>
              <w:rPr>
                <w:rFonts w:eastAsia="Times New Roman" w:cs="Times New Roman"/>
                <w:b/>
                <w:bCs/>
                <w:color w:val="000000"/>
              </w:rPr>
            </w:pPr>
            <w:r w:rsidRPr="00584C79">
              <w:rPr>
                <w:rFonts w:eastAsia="Times New Roman" w:cs="Times New Roman"/>
                <w:b/>
                <w:bCs/>
                <w:color w:val="000000"/>
              </w:rPr>
              <w:t>NumDF</w:t>
            </w:r>
          </w:p>
        </w:tc>
        <w:tc>
          <w:tcPr>
            <w:tcW w:w="1300" w:type="dxa"/>
            <w:tcBorders>
              <w:top w:val="nil"/>
              <w:left w:val="nil"/>
              <w:bottom w:val="nil"/>
              <w:right w:val="nil"/>
            </w:tcBorders>
            <w:shd w:val="clear" w:color="auto" w:fill="auto"/>
            <w:noWrap/>
            <w:vAlign w:val="bottom"/>
            <w:hideMark/>
          </w:tcPr>
          <w:p w14:paraId="44AA60C1" w14:textId="77777777" w:rsidR="00584C79" w:rsidRPr="00584C79" w:rsidRDefault="00584C79" w:rsidP="00584C79">
            <w:pPr>
              <w:rPr>
                <w:rFonts w:eastAsia="Times New Roman" w:cs="Times New Roman"/>
                <w:b/>
                <w:bCs/>
                <w:color w:val="000000"/>
              </w:rPr>
            </w:pPr>
            <w:r w:rsidRPr="00584C79">
              <w:rPr>
                <w:rFonts w:eastAsia="Times New Roman" w:cs="Times New Roman"/>
                <w:b/>
                <w:bCs/>
                <w:color w:val="000000"/>
              </w:rPr>
              <w:t>DenDF</w:t>
            </w:r>
          </w:p>
        </w:tc>
        <w:tc>
          <w:tcPr>
            <w:tcW w:w="1300" w:type="dxa"/>
            <w:tcBorders>
              <w:top w:val="nil"/>
              <w:left w:val="nil"/>
              <w:bottom w:val="nil"/>
              <w:right w:val="nil"/>
            </w:tcBorders>
            <w:shd w:val="clear" w:color="auto" w:fill="auto"/>
            <w:noWrap/>
            <w:vAlign w:val="bottom"/>
            <w:hideMark/>
          </w:tcPr>
          <w:p w14:paraId="574EB71C" w14:textId="77777777" w:rsidR="00584C79" w:rsidRPr="00584C79" w:rsidRDefault="00584C79" w:rsidP="00584C79">
            <w:pPr>
              <w:rPr>
                <w:rFonts w:eastAsia="Times New Roman" w:cs="Times New Roman"/>
                <w:b/>
                <w:bCs/>
                <w:color w:val="000000"/>
              </w:rPr>
            </w:pPr>
            <w:r w:rsidRPr="00584C79">
              <w:rPr>
                <w:rFonts w:eastAsia="Times New Roman" w:cs="Times New Roman"/>
                <w:b/>
                <w:bCs/>
                <w:color w:val="000000"/>
              </w:rPr>
              <w:t>F Statistic</w:t>
            </w:r>
          </w:p>
        </w:tc>
        <w:tc>
          <w:tcPr>
            <w:tcW w:w="1300" w:type="dxa"/>
            <w:tcBorders>
              <w:top w:val="nil"/>
              <w:left w:val="nil"/>
              <w:bottom w:val="nil"/>
              <w:right w:val="nil"/>
            </w:tcBorders>
            <w:shd w:val="clear" w:color="auto" w:fill="auto"/>
            <w:noWrap/>
            <w:vAlign w:val="bottom"/>
            <w:hideMark/>
          </w:tcPr>
          <w:p w14:paraId="01D395B3" w14:textId="77777777" w:rsidR="00584C79" w:rsidRPr="00584C79" w:rsidRDefault="00584C79" w:rsidP="00584C79">
            <w:pPr>
              <w:rPr>
                <w:rFonts w:eastAsia="Times New Roman" w:cs="Times New Roman"/>
                <w:b/>
                <w:bCs/>
                <w:color w:val="000000"/>
              </w:rPr>
            </w:pPr>
            <w:r w:rsidRPr="00584C79">
              <w:rPr>
                <w:rFonts w:eastAsia="Times New Roman" w:cs="Times New Roman"/>
                <w:b/>
                <w:bCs/>
                <w:color w:val="000000"/>
              </w:rPr>
              <w:t>p value</w:t>
            </w:r>
          </w:p>
        </w:tc>
      </w:tr>
      <w:tr w:rsidR="00584C79" w:rsidRPr="00584C79" w14:paraId="4212E008"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27BCD7CE" w14:textId="77777777" w:rsidR="00584C79" w:rsidRPr="00584C79" w:rsidRDefault="00584C79" w:rsidP="00584C79">
            <w:pPr>
              <w:rPr>
                <w:rFonts w:eastAsia="Times New Roman" w:cs="Times New Roman"/>
                <w:b/>
                <w:bCs/>
                <w:color w:val="000000"/>
              </w:rPr>
            </w:pPr>
            <w:r w:rsidRPr="00584C79">
              <w:rPr>
                <w:rFonts w:eastAsia="Times New Roman" w:cs="Times New Roman"/>
                <w:b/>
                <w:bCs/>
                <w:color w:val="000000"/>
              </w:rPr>
              <w:t>ASV Richness</w:t>
            </w:r>
          </w:p>
        </w:tc>
        <w:tc>
          <w:tcPr>
            <w:tcW w:w="1300" w:type="dxa"/>
            <w:gridSpan w:val="2"/>
            <w:tcBorders>
              <w:top w:val="nil"/>
              <w:left w:val="nil"/>
              <w:bottom w:val="nil"/>
              <w:right w:val="nil"/>
            </w:tcBorders>
            <w:shd w:val="clear" w:color="auto" w:fill="auto"/>
            <w:noWrap/>
            <w:vAlign w:val="bottom"/>
            <w:hideMark/>
          </w:tcPr>
          <w:p w14:paraId="12AFB568" w14:textId="77777777" w:rsidR="00584C79" w:rsidRPr="00584C79" w:rsidRDefault="00584C79" w:rsidP="00584C79">
            <w:pPr>
              <w:rPr>
                <w:rFonts w:eastAsia="Times New Roman" w:cs="Times New Roman"/>
                <w:b/>
                <w:bCs/>
                <w:color w:val="000000"/>
              </w:rPr>
            </w:pPr>
          </w:p>
        </w:tc>
        <w:tc>
          <w:tcPr>
            <w:tcW w:w="1300" w:type="dxa"/>
            <w:gridSpan w:val="2"/>
            <w:tcBorders>
              <w:top w:val="nil"/>
              <w:left w:val="nil"/>
              <w:bottom w:val="nil"/>
              <w:right w:val="nil"/>
            </w:tcBorders>
            <w:shd w:val="clear" w:color="auto" w:fill="auto"/>
            <w:noWrap/>
            <w:vAlign w:val="bottom"/>
            <w:hideMark/>
          </w:tcPr>
          <w:p w14:paraId="79CF19C4"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191C5CE1"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7023F422"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E59B8BC"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310CBDB"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66955F0" w14:textId="77777777" w:rsidR="00584C79" w:rsidRPr="00584C79" w:rsidRDefault="00584C79" w:rsidP="00584C79">
            <w:pPr>
              <w:rPr>
                <w:rFonts w:eastAsia="Times New Roman" w:cs="Times New Roman"/>
              </w:rPr>
            </w:pPr>
          </w:p>
        </w:tc>
      </w:tr>
      <w:tr w:rsidR="00584C79" w:rsidRPr="00584C79" w14:paraId="2E089F1B"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692978E2"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Age group</w:t>
            </w:r>
          </w:p>
        </w:tc>
        <w:tc>
          <w:tcPr>
            <w:tcW w:w="1300" w:type="dxa"/>
            <w:gridSpan w:val="2"/>
            <w:tcBorders>
              <w:top w:val="nil"/>
              <w:left w:val="nil"/>
              <w:bottom w:val="nil"/>
              <w:right w:val="nil"/>
            </w:tcBorders>
            <w:shd w:val="clear" w:color="auto" w:fill="auto"/>
            <w:noWrap/>
            <w:vAlign w:val="bottom"/>
            <w:hideMark/>
          </w:tcPr>
          <w:p w14:paraId="770F581B"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0.0035</w:t>
            </w:r>
          </w:p>
        </w:tc>
        <w:tc>
          <w:tcPr>
            <w:tcW w:w="1300" w:type="dxa"/>
            <w:gridSpan w:val="2"/>
            <w:tcBorders>
              <w:top w:val="nil"/>
              <w:left w:val="nil"/>
              <w:bottom w:val="nil"/>
              <w:right w:val="nil"/>
            </w:tcBorders>
            <w:shd w:val="clear" w:color="auto" w:fill="auto"/>
            <w:noWrap/>
            <w:vAlign w:val="bottom"/>
            <w:hideMark/>
          </w:tcPr>
          <w:p w14:paraId="22B3F421"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0.02167</w:t>
            </w:r>
          </w:p>
        </w:tc>
        <w:tc>
          <w:tcPr>
            <w:tcW w:w="1300" w:type="dxa"/>
            <w:gridSpan w:val="2"/>
            <w:tcBorders>
              <w:top w:val="nil"/>
              <w:left w:val="nil"/>
              <w:bottom w:val="nil"/>
              <w:right w:val="nil"/>
            </w:tcBorders>
            <w:shd w:val="clear" w:color="auto" w:fill="auto"/>
            <w:noWrap/>
            <w:vAlign w:val="bottom"/>
            <w:hideMark/>
          </w:tcPr>
          <w:p w14:paraId="6CA95440"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0.021671</w:t>
            </w:r>
          </w:p>
        </w:tc>
        <w:tc>
          <w:tcPr>
            <w:tcW w:w="1300" w:type="dxa"/>
            <w:gridSpan w:val="2"/>
            <w:tcBorders>
              <w:top w:val="nil"/>
              <w:left w:val="nil"/>
              <w:bottom w:val="nil"/>
              <w:right w:val="nil"/>
            </w:tcBorders>
            <w:shd w:val="clear" w:color="auto" w:fill="auto"/>
            <w:noWrap/>
            <w:vAlign w:val="bottom"/>
            <w:hideMark/>
          </w:tcPr>
          <w:p w14:paraId="37121948"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4C60A6B6"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60</w:t>
            </w:r>
          </w:p>
        </w:tc>
        <w:tc>
          <w:tcPr>
            <w:tcW w:w="1300" w:type="dxa"/>
            <w:tcBorders>
              <w:top w:val="nil"/>
              <w:left w:val="nil"/>
              <w:bottom w:val="nil"/>
              <w:right w:val="nil"/>
            </w:tcBorders>
            <w:shd w:val="clear" w:color="auto" w:fill="auto"/>
            <w:noWrap/>
            <w:vAlign w:val="bottom"/>
            <w:hideMark/>
          </w:tcPr>
          <w:p w14:paraId="32E87FDD"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0.365</w:t>
            </w:r>
          </w:p>
        </w:tc>
        <w:tc>
          <w:tcPr>
            <w:tcW w:w="1300" w:type="dxa"/>
            <w:tcBorders>
              <w:top w:val="nil"/>
              <w:left w:val="nil"/>
              <w:bottom w:val="nil"/>
              <w:right w:val="nil"/>
            </w:tcBorders>
            <w:shd w:val="clear" w:color="auto" w:fill="auto"/>
            <w:noWrap/>
            <w:vAlign w:val="bottom"/>
            <w:hideMark/>
          </w:tcPr>
          <w:p w14:paraId="1C7E22C5"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0.54801</w:t>
            </w:r>
          </w:p>
        </w:tc>
      </w:tr>
      <w:tr w:rsidR="00584C79" w:rsidRPr="00584C79" w14:paraId="59914196"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1BCCA9D9"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Sampling region</w:t>
            </w:r>
          </w:p>
        </w:tc>
        <w:tc>
          <w:tcPr>
            <w:tcW w:w="1300" w:type="dxa"/>
            <w:gridSpan w:val="2"/>
            <w:tcBorders>
              <w:top w:val="nil"/>
              <w:left w:val="nil"/>
              <w:bottom w:val="nil"/>
              <w:right w:val="nil"/>
            </w:tcBorders>
            <w:shd w:val="clear" w:color="auto" w:fill="auto"/>
            <w:noWrap/>
            <w:vAlign w:val="bottom"/>
            <w:hideMark/>
          </w:tcPr>
          <w:p w14:paraId="159CB7E9"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0.0063</w:t>
            </w:r>
          </w:p>
        </w:tc>
        <w:tc>
          <w:tcPr>
            <w:tcW w:w="1300" w:type="dxa"/>
            <w:gridSpan w:val="2"/>
            <w:tcBorders>
              <w:top w:val="nil"/>
              <w:left w:val="nil"/>
              <w:bottom w:val="nil"/>
              <w:right w:val="nil"/>
            </w:tcBorders>
            <w:shd w:val="clear" w:color="auto" w:fill="auto"/>
            <w:noWrap/>
            <w:vAlign w:val="bottom"/>
            <w:hideMark/>
          </w:tcPr>
          <w:p w14:paraId="38482376"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0.03949</w:t>
            </w:r>
          </w:p>
        </w:tc>
        <w:tc>
          <w:tcPr>
            <w:tcW w:w="1300" w:type="dxa"/>
            <w:gridSpan w:val="2"/>
            <w:tcBorders>
              <w:top w:val="nil"/>
              <w:left w:val="nil"/>
              <w:bottom w:val="nil"/>
              <w:right w:val="nil"/>
            </w:tcBorders>
            <w:shd w:val="clear" w:color="auto" w:fill="auto"/>
            <w:noWrap/>
            <w:vAlign w:val="bottom"/>
            <w:hideMark/>
          </w:tcPr>
          <w:p w14:paraId="42853A16"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0.019747</w:t>
            </w:r>
          </w:p>
        </w:tc>
        <w:tc>
          <w:tcPr>
            <w:tcW w:w="1300" w:type="dxa"/>
            <w:gridSpan w:val="2"/>
            <w:tcBorders>
              <w:top w:val="nil"/>
              <w:left w:val="nil"/>
              <w:bottom w:val="nil"/>
              <w:right w:val="nil"/>
            </w:tcBorders>
            <w:shd w:val="clear" w:color="auto" w:fill="auto"/>
            <w:noWrap/>
            <w:vAlign w:val="bottom"/>
            <w:hideMark/>
          </w:tcPr>
          <w:p w14:paraId="0C123E21"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32E62D30"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60</w:t>
            </w:r>
          </w:p>
        </w:tc>
        <w:tc>
          <w:tcPr>
            <w:tcW w:w="1300" w:type="dxa"/>
            <w:tcBorders>
              <w:top w:val="nil"/>
              <w:left w:val="nil"/>
              <w:bottom w:val="nil"/>
              <w:right w:val="nil"/>
            </w:tcBorders>
            <w:shd w:val="clear" w:color="auto" w:fill="auto"/>
            <w:noWrap/>
            <w:vAlign w:val="bottom"/>
            <w:hideMark/>
          </w:tcPr>
          <w:p w14:paraId="436062EE"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0.3326</w:t>
            </w:r>
          </w:p>
        </w:tc>
        <w:tc>
          <w:tcPr>
            <w:tcW w:w="1300" w:type="dxa"/>
            <w:tcBorders>
              <w:top w:val="nil"/>
              <w:left w:val="nil"/>
              <w:bottom w:val="nil"/>
              <w:right w:val="nil"/>
            </w:tcBorders>
            <w:shd w:val="clear" w:color="auto" w:fill="auto"/>
            <w:noWrap/>
            <w:vAlign w:val="bottom"/>
            <w:hideMark/>
          </w:tcPr>
          <w:p w14:paraId="63C00BCA"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0.71837</w:t>
            </w:r>
          </w:p>
        </w:tc>
      </w:tr>
      <w:tr w:rsidR="00584C79" w:rsidRPr="00584C79" w14:paraId="595FEEE6"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348E0557"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Blood meal richness</w:t>
            </w:r>
          </w:p>
        </w:tc>
        <w:tc>
          <w:tcPr>
            <w:tcW w:w="1300" w:type="dxa"/>
            <w:gridSpan w:val="2"/>
            <w:tcBorders>
              <w:top w:val="nil"/>
              <w:left w:val="nil"/>
              <w:bottom w:val="nil"/>
              <w:right w:val="nil"/>
            </w:tcBorders>
            <w:shd w:val="clear" w:color="auto" w:fill="auto"/>
            <w:noWrap/>
            <w:vAlign w:val="bottom"/>
            <w:hideMark/>
          </w:tcPr>
          <w:p w14:paraId="476F9905"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0.0162</w:t>
            </w:r>
          </w:p>
        </w:tc>
        <w:tc>
          <w:tcPr>
            <w:tcW w:w="1300" w:type="dxa"/>
            <w:gridSpan w:val="2"/>
            <w:tcBorders>
              <w:top w:val="nil"/>
              <w:left w:val="nil"/>
              <w:bottom w:val="nil"/>
              <w:right w:val="nil"/>
            </w:tcBorders>
            <w:shd w:val="clear" w:color="auto" w:fill="auto"/>
            <w:noWrap/>
            <w:vAlign w:val="bottom"/>
            <w:hideMark/>
          </w:tcPr>
          <w:p w14:paraId="1F4E3A6C"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0.10126</w:t>
            </w:r>
          </w:p>
        </w:tc>
        <w:tc>
          <w:tcPr>
            <w:tcW w:w="1300" w:type="dxa"/>
            <w:gridSpan w:val="2"/>
            <w:tcBorders>
              <w:top w:val="nil"/>
              <w:left w:val="nil"/>
              <w:bottom w:val="nil"/>
              <w:right w:val="nil"/>
            </w:tcBorders>
            <w:shd w:val="clear" w:color="auto" w:fill="auto"/>
            <w:noWrap/>
            <w:vAlign w:val="bottom"/>
            <w:hideMark/>
          </w:tcPr>
          <w:p w14:paraId="1724006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0.033754</w:t>
            </w:r>
          </w:p>
        </w:tc>
        <w:tc>
          <w:tcPr>
            <w:tcW w:w="1300" w:type="dxa"/>
            <w:gridSpan w:val="2"/>
            <w:tcBorders>
              <w:top w:val="nil"/>
              <w:left w:val="nil"/>
              <w:bottom w:val="nil"/>
              <w:right w:val="nil"/>
            </w:tcBorders>
            <w:shd w:val="clear" w:color="auto" w:fill="auto"/>
            <w:noWrap/>
            <w:vAlign w:val="bottom"/>
            <w:hideMark/>
          </w:tcPr>
          <w:p w14:paraId="5B30279D"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616C94B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60</w:t>
            </w:r>
          </w:p>
        </w:tc>
        <w:tc>
          <w:tcPr>
            <w:tcW w:w="1300" w:type="dxa"/>
            <w:tcBorders>
              <w:top w:val="nil"/>
              <w:left w:val="nil"/>
              <w:bottom w:val="nil"/>
              <w:right w:val="nil"/>
            </w:tcBorders>
            <w:shd w:val="clear" w:color="auto" w:fill="auto"/>
            <w:noWrap/>
            <w:vAlign w:val="bottom"/>
            <w:hideMark/>
          </w:tcPr>
          <w:p w14:paraId="1D9212CA"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0.5685</w:t>
            </w:r>
          </w:p>
        </w:tc>
        <w:tc>
          <w:tcPr>
            <w:tcW w:w="1300" w:type="dxa"/>
            <w:tcBorders>
              <w:top w:val="nil"/>
              <w:left w:val="nil"/>
              <w:bottom w:val="nil"/>
              <w:right w:val="nil"/>
            </w:tcBorders>
            <w:shd w:val="clear" w:color="auto" w:fill="auto"/>
            <w:noWrap/>
            <w:vAlign w:val="bottom"/>
            <w:hideMark/>
          </w:tcPr>
          <w:p w14:paraId="07E78EDA"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0.6379</w:t>
            </w:r>
          </w:p>
        </w:tc>
      </w:tr>
      <w:tr w:rsidR="00584C79" w:rsidRPr="00584C79" w14:paraId="52866C0E"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505CE61D"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Dominant blood meal</w:t>
            </w:r>
          </w:p>
        </w:tc>
        <w:tc>
          <w:tcPr>
            <w:tcW w:w="1300" w:type="dxa"/>
            <w:gridSpan w:val="2"/>
            <w:tcBorders>
              <w:top w:val="nil"/>
              <w:left w:val="nil"/>
              <w:bottom w:val="nil"/>
              <w:right w:val="nil"/>
            </w:tcBorders>
            <w:shd w:val="clear" w:color="auto" w:fill="auto"/>
            <w:noWrap/>
            <w:vAlign w:val="bottom"/>
            <w:hideMark/>
          </w:tcPr>
          <w:p w14:paraId="16F4CA58"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0.1377</w:t>
            </w:r>
          </w:p>
        </w:tc>
        <w:tc>
          <w:tcPr>
            <w:tcW w:w="1300" w:type="dxa"/>
            <w:gridSpan w:val="2"/>
            <w:tcBorders>
              <w:top w:val="nil"/>
              <w:left w:val="nil"/>
              <w:bottom w:val="nil"/>
              <w:right w:val="nil"/>
            </w:tcBorders>
            <w:shd w:val="clear" w:color="auto" w:fill="auto"/>
            <w:noWrap/>
            <w:vAlign w:val="bottom"/>
            <w:hideMark/>
          </w:tcPr>
          <w:p w14:paraId="48034359"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0.811</w:t>
            </w:r>
          </w:p>
        </w:tc>
        <w:tc>
          <w:tcPr>
            <w:tcW w:w="1300" w:type="dxa"/>
            <w:gridSpan w:val="2"/>
            <w:tcBorders>
              <w:top w:val="nil"/>
              <w:left w:val="nil"/>
              <w:bottom w:val="nil"/>
              <w:right w:val="nil"/>
            </w:tcBorders>
            <w:shd w:val="clear" w:color="auto" w:fill="auto"/>
            <w:noWrap/>
            <w:vAlign w:val="bottom"/>
            <w:hideMark/>
          </w:tcPr>
          <w:p w14:paraId="403B7BB5"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0.115858</w:t>
            </w:r>
          </w:p>
        </w:tc>
        <w:tc>
          <w:tcPr>
            <w:tcW w:w="1300" w:type="dxa"/>
            <w:gridSpan w:val="2"/>
            <w:tcBorders>
              <w:top w:val="nil"/>
              <w:left w:val="nil"/>
              <w:bottom w:val="nil"/>
              <w:right w:val="nil"/>
            </w:tcBorders>
            <w:shd w:val="clear" w:color="auto" w:fill="auto"/>
            <w:noWrap/>
            <w:vAlign w:val="bottom"/>
            <w:hideMark/>
          </w:tcPr>
          <w:p w14:paraId="4505A871"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7</w:t>
            </w:r>
          </w:p>
        </w:tc>
        <w:tc>
          <w:tcPr>
            <w:tcW w:w="1300" w:type="dxa"/>
            <w:tcBorders>
              <w:top w:val="nil"/>
              <w:left w:val="nil"/>
              <w:bottom w:val="nil"/>
              <w:right w:val="nil"/>
            </w:tcBorders>
            <w:shd w:val="clear" w:color="auto" w:fill="auto"/>
            <w:noWrap/>
            <w:vAlign w:val="bottom"/>
            <w:hideMark/>
          </w:tcPr>
          <w:p w14:paraId="051BE12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60</w:t>
            </w:r>
          </w:p>
        </w:tc>
        <w:tc>
          <w:tcPr>
            <w:tcW w:w="1300" w:type="dxa"/>
            <w:tcBorders>
              <w:top w:val="nil"/>
              <w:left w:val="nil"/>
              <w:bottom w:val="nil"/>
              <w:right w:val="nil"/>
            </w:tcBorders>
            <w:shd w:val="clear" w:color="auto" w:fill="auto"/>
            <w:noWrap/>
            <w:vAlign w:val="bottom"/>
            <w:hideMark/>
          </w:tcPr>
          <w:p w14:paraId="19995070"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1.9514</w:t>
            </w:r>
          </w:p>
        </w:tc>
        <w:tc>
          <w:tcPr>
            <w:tcW w:w="1300" w:type="dxa"/>
            <w:tcBorders>
              <w:top w:val="nil"/>
              <w:left w:val="nil"/>
              <w:bottom w:val="nil"/>
              <w:right w:val="nil"/>
            </w:tcBorders>
            <w:shd w:val="clear" w:color="auto" w:fill="auto"/>
            <w:noWrap/>
            <w:vAlign w:val="bottom"/>
            <w:hideMark/>
          </w:tcPr>
          <w:p w14:paraId="29AFA62A"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0.07701</w:t>
            </w:r>
          </w:p>
        </w:tc>
      </w:tr>
      <w:tr w:rsidR="00584C79" w:rsidRPr="00584C79" w14:paraId="678294F4"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09EC23EA"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Full Model</w:t>
            </w:r>
          </w:p>
        </w:tc>
        <w:tc>
          <w:tcPr>
            <w:tcW w:w="1300" w:type="dxa"/>
            <w:gridSpan w:val="2"/>
            <w:tcBorders>
              <w:top w:val="nil"/>
              <w:left w:val="nil"/>
              <w:bottom w:val="nil"/>
              <w:right w:val="nil"/>
            </w:tcBorders>
            <w:shd w:val="clear" w:color="auto" w:fill="auto"/>
            <w:noWrap/>
            <w:vAlign w:val="bottom"/>
            <w:hideMark/>
          </w:tcPr>
          <w:p w14:paraId="432A7EC8"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0.3054</w:t>
            </w:r>
          </w:p>
        </w:tc>
        <w:tc>
          <w:tcPr>
            <w:tcW w:w="1300" w:type="dxa"/>
            <w:gridSpan w:val="2"/>
            <w:tcBorders>
              <w:top w:val="nil"/>
              <w:left w:val="nil"/>
              <w:bottom w:val="nil"/>
              <w:right w:val="nil"/>
            </w:tcBorders>
            <w:shd w:val="clear" w:color="auto" w:fill="auto"/>
            <w:noWrap/>
            <w:vAlign w:val="bottom"/>
            <w:hideMark/>
          </w:tcPr>
          <w:p w14:paraId="504E9007" w14:textId="77777777" w:rsidR="00584C79" w:rsidRPr="00584C79" w:rsidRDefault="00584C79" w:rsidP="00584C79">
            <w:pPr>
              <w:jc w:val="right"/>
              <w:rPr>
                <w:rFonts w:eastAsia="Times New Roman" w:cs="Times New Roman"/>
                <w:color w:val="000000"/>
              </w:rPr>
            </w:pPr>
          </w:p>
        </w:tc>
        <w:tc>
          <w:tcPr>
            <w:tcW w:w="1300" w:type="dxa"/>
            <w:gridSpan w:val="2"/>
            <w:tcBorders>
              <w:top w:val="nil"/>
              <w:left w:val="nil"/>
              <w:bottom w:val="nil"/>
              <w:right w:val="nil"/>
            </w:tcBorders>
            <w:shd w:val="clear" w:color="auto" w:fill="auto"/>
            <w:noWrap/>
            <w:vAlign w:val="bottom"/>
            <w:hideMark/>
          </w:tcPr>
          <w:p w14:paraId="70F8406B"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7ECC4DF1"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ED7072A"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A3AD6C3"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E4DBE18" w14:textId="77777777" w:rsidR="00584C79" w:rsidRPr="00584C79" w:rsidRDefault="00584C79" w:rsidP="00584C79">
            <w:pPr>
              <w:rPr>
                <w:rFonts w:eastAsia="Times New Roman" w:cs="Times New Roman"/>
              </w:rPr>
            </w:pPr>
          </w:p>
        </w:tc>
      </w:tr>
      <w:tr w:rsidR="00584C79" w:rsidRPr="00584C79" w14:paraId="6DE17F7A"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1799469C"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6E368CB6"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3DC10B3E"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31D91D5F"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714882CD"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5CEE2A5"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CD98445"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FB42AF9" w14:textId="77777777" w:rsidR="00584C79" w:rsidRPr="00584C79" w:rsidRDefault="00584C79" w:rsidP="00584C79">
            <w:pPr>
              <w:rPr>
                <w:rFonts w:eastAsia="Times New Roman" w:cs="Times New Roman"/>
              </w:rPr>
            </w:pPr>
          </w:p>
        </w:tc>
      </w:tr>
      <w:tr w:rsidR="00584C79" w:rsidRPr="00584C79" w14:paraId="340F225E"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7EE4503F" w14:textId="77777777" w:rsidR="00584C79" w:rsidRPr="00584C79" w:rsidRDefault="00584C79" w:rsidP="00584C79">
            <w:pPr>
              <w:rPr>
                <w:rFonts w:eastAsia="Times New Roman" w:cs="Times New Roman"/>
                <w:b/>
                <w:bCs/>
                <w:color w:val="000000"/>
              </w:rPr>
            </w:pPr>
            <w:r w:rsidRPr="00584C79">
              <w:rPr>
                <w:rFonts w:eastAsia="Times New Roman" w:cs="Times New Roman"/>
                <w:b/>
                <w:bCs/>
                <w:color w:val="000000"/>
              </w:rPr>
              <w:t>Shannon</w:t>
            </w:r>
          </w:p>
        </w:tc>
        <w:tc>
          <w:tcPr>
            <w:tcW w:w="1300" w:type="dxa"/>
            <w:gridSpan w:val="2"/>
            <w:tcBorders>
              <w:top w:val="nil"/>
              <w:left w:val="nil"/>
              <w:bottom w:val="nil"/>
              <w:right w:val="nil"/>
            </w:tcBorders>
            <w:shd w:val="clear" w:color="auto" w:fill="auto"/>
            <w:noWrap/>
            <w:vAlign w:val="bottom"/>
            <w:hideMark/>
          </w:tcPr>
          <w:p w14:paraId="17E77481" w14:textId="77777777" w:rsidR="00584C79" w:rsidRPr="00584C79" w:rsidRDefault="00584C79" w:rsidP="00584C79">
            <w:pPr>
              <w:rPr>
                <w:rFonts w:eastAsia="Times New Roman" w:cs="Times New Roman"/>
                <w:b/>
                <w:bCs/>
                <w:color w:val="000000"/>
              </w:rPr>
            </w:pPr>
          </w:p>
        </w:tc>
        <w:tc>
          <w:tcPr>
            <w:tcW w:w="1300" w:type="dxa"/>
            <w:gridSpan w:val="2"/>
            <w:tcBorders>
              <w:top w:val="nil"/>
              <w:left w:val="nil"/>
              <w:bottom w:val="nil"/>
              <w:right w:val="nil"/>
            </w:tcBorders>
            <w:shd w:val="clear" w:color="auto" w:fill="auto"/>
            <w:noWrap/>
            <w:vAlign w:val="bottom"/>
            <w:hideMark/>
          </w:tcPr>
          <w:p w14:paraId="256D36D5"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69DD452B"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68B380E0"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963EDB0"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9A24A63"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20C7C74" w14:textId="77777777" w:rsidR="00584C79" w:rsidRPr="00584C79" w:rsidRDefault="00584C79" w:rsidP="00584C79">
            <w:pPr>
              <w:rPr>
                <w:rFonts w:eastAsia="Times New Roman" w:cs="Times New Roman"/>
              </w:rPr>
            </w:pPr>
          </w:p>
        </w:tc>
      </w:tr>
      <w:tr w:rsidR="00584C79" w:rsidRPr="00584C79" w14:paraId="32B0BEC1"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43A63AC8"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Age group</w:t>
            </w:r>
          </w:p>
        </w:tc>
        <w:tc>
          <w:tcPr>
            <w:tcW w:w="1300" w:type="dxa"/>
            <w:gridSpan w:val="2"/>
            <w:tcBorders>
              <w:top w:val="nil"/>
              <w:left w:val="nil"/>
              <w:bottom w:val="nil"/>
              <w:right w:val="nil"/>
            </w:tcBorders>
            <w:shd w:val="clear" w:color="auto" w:fill="auto"/>
            <w:noWrap/>
            <w:vAlign w:val="bottom"/>
            <w:hideMark/>
          </w:tcPr>
          <w:p w14:paraId="5B29D1D6"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0.0421</w:t>
            </w:r>
          </w:p>
        </w:tc>
        <w:tc>
          <w:tcPr>
            <w:tcW w:w="1300" w:type="dxa"/>
            <w:gridSpan w:val="2"/>
            <w:tcBorders>
              <w:top w:val="nil"/>
              <w:left w:val="nil"/>
              <w:bottom w:val="nil"/>
              <w:right w:val="nil"/>
            </w:tcBorders>
            <w:shd w:val="clear" w:color="auto" w:fill="auto"/>
            <w:noWrap/>
            <w:vAlign w:val="bottom"/>
            <w:hideMark/>
          </w:tcPr>
          <w:p w14:paraId="6E63EE02"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0.164273</w:t>
            </w:r>
          </w:p>
        </w:tc>
        <w:tc>
          <w:tcPr>
            <w:tcW w:w="1300" w:type="dxa"/>
            <w:gridSpan w:val="2"/>
            <w:tcBorders>
              <w:top w:val="nil"/>
              <w:left w:val="nil"/>
              <w:bottom w:val="nil"/>
              <w:right w:val="nil"/>
            </w:tcBorders>
            <w:shd w:val="clear" w:color="auto" w:fill="auto"/>
            <w:noWrap/>
            <w:vAlign w:val="bottom"/>
            <w:hideMark/>
          </w:tcPr>
          <w:p w14:paraId="0AAEB8D1"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0.164273</w:t>
            </w:r>
          </w:p>
        </w:tc>
        <w:tc>
          <w:tcPr>
            <w:tcW w:w="1300" w:type="dxa"/>
            <w:gridSpan w:val="2"/>
            <w:tcBorders>
              <w:top w:val="nil"/>
              <w:left w:val="nil"/>
              <w:bottom w:val="nil"/>
              <w:right w:val="nil"/>
            </w:tcBorders>
            <w:shd w:val="clear" w:color="auto" w:fill="auto"/>
            <w:noWrap/>
            <w:vAlign w:val="bottom"/>
            <w:hideMark/>
          </w:tcPr>
          <w:p w14:paraId="6BF4E79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2D657881"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60</w:t>
            </w:r>
          </w:p>
        </w:tc>
        <w:tc>
          <w:tcPr>
            <w:tcW w:w="1300" w:type="dxa"/>
            <w:tcBorders>
              <w:top w:val="nil"/>
              <w:left w:val="nil"/>
              <w:bottom w:val="nil"/>
              <w:right w:val="nil"/>
            </w:tcBorders>
            <w:shd w:val="clear" w:color="auto" w:fill="auto"/>
            <w:noWrap/>
            <w:vAlign w:val="bottom"/>
            <w:hideMark/>
          </w:tcPr>
          <w:p w14:paraId="28CCAF0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4.7671</w:t>
            </w:r>
          </w:p>
        </w:tc>
        <w:tc>
          <w:tcPr>
            <w:tcW w:w="1300" w:type="dxa"/>
            <w:tcBorders>
              <w:top w:val="nil"/>
              <w:left w:val="nil"/>
              <w:bottom w:val="nil"/>
              <w:right w:val="nil"/>
            </w:tcBorders>
            <w:shd w:val="clear" w:color="auto" w:fill="auto"/>
            <w:noWrap/>
            <w:vAlign w:val="bottom"/>
            <w:hideMark/>
          </w:tcPr>
          <w:p w14:paraId="4F6361EE" w14:textId="77777777" w:rsidR="00584C79" w:rsidRPr="00584C79" w:rsidRDefault="00584C79" w:rsidP="00584C79">
            <w:pPr>
              <w:jc w:val="right"/>
              <w:rPr>
                <w:rFonts w:eastAsia="Times New Roman" w:cs="Times New Roman"/>
                <w:b/>
                <w:bCs/>
                <w:color w:val="000000"/>
              </w:rPr>
            </w:pPr>
            <w:r w:rsidRPr="00584C79">
              <w:rPr>
                <w:rFonts w:eastAsia="Times New Roman" w:cs="Times New Roman"/>
                <w:b/>
                <w:bCs/>
                <w:color w:val="000000"/>
              </w:rPr>
              <w:t>0.03293</w:t>
            </w:r>
          </w:p>
        </w:tc>
      </w:tr>
      <w:tr w:rsidR="00584C79" w:rsidRPr="00584C79" w14:paraId="0B10471D"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4192BD0B"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Sampling region</w:t>
            </w:r>
          </w:p>
        </w:tc>
        <w:tc>
          <w:tcPr>
            <w:tcW w:w="1300" w:type="dxa"/>
            <w:gridSpan w:val="2"/>
            <w:tcBorders>
              <w:top w:val="nil"/>
              <w:left w:val="nil"/>
              <w:bottom w:val="nil"/>
              <w:right w:val="nil"/>
            </w:tcBorders>
            <w:shd w:val="clear" w:color="auto" w:fill="auto"/>
            <w:noWrap/>
            <w:vAlign w:val="bottom"/>
            <w:hideMark/>
          </w:tcPr>
          <w:p w14:paraId="356B1B0D"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0.0108</w:t>
            </w:r>
          </w:p>
        </w:tc>
        <w:tc>
          <w:tcPr>
            <w:tcW w:w="1300" w:type="dxa"/>
            <w:gridSpan w:val="2"/>
            <w:tcBorders>
              <w:top w:val="nil"/>
              <w:left w:val="nil"/>
              <w:bottom w:val="nil"/>
              <w:right w:val="nil"/>
            </w:tcBorders>
            <w:shd w:val="clear" w:color="auto" w:fill="auto"/>
            <w:noWrap/>
            <w:vAlign w:val="bottom"/>
            <w:hideMark/>
          </w:tcPr>
          <w:p w14:paraId="68F98335"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0.042157</w:t>
            </w:r>
          </w:p>
        </w:tc>
        <w:tc>
          <w:tcPr>
            <w:tcW w:w="1300" w:type="dxa"/>
            <w:gridSpan w:val="2"/>
            <w:tcBorders>
              <w:top w:val="nil"/>
              <w:left w:val="nil"/>
              <w:bottom w:val="nil"/>
              <w:right w:val="nil"/>
            </w:tcBorders>
            <w:shd w:val="clear" w:color="auto" w:fill="auto"/>
            <w:noWrap/>
            <w:vAlign w:val="bottom"/>
            <w:hideMark/>
          </w:tcPr>
          <w:p w14:paraId="472B7F04"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0.021078</w:t>
            </w:r>
          </w:p>
        </w:tc>
        <w:tc>
          <w:tcPr>
            <w:tcW w:w="1300" w:type="dxa"/>
            <w:gridSpan w:val="2"/>
            <w:tcBorders>
              <w:top w:val="nil"/>
              <w:left w:val="nil"/>
              <w:bottom w:val="nil"/>
              <w:right w:val="nil"/>
            </w:tcBorders>
            <w:shd w:val="clear" w:color="auto" w:fill="auto"/>
            <w:noWrap/>
            <w:vAlign w:val="bottom"/>
            <w:hideMark/>
          </w:tcPr>
          <w:p w14:paraId="6AB49278"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2C63F384"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60</w:t>
            </w:r>
          </w:p>
        </w:tc>
        <w:tc>
          <w:tcPr>
            <w:tcW w:w="1300" w:type="dxa"/>
            <w:tcBorders>
              <w:top w:val="nil"/>
              <w:left w:val="nil"/>
              <w:bottom w:val="nil"/>
              <w:right w:val="nil"/>
            </w:tcBorders>
            <w:shd w:val="clear" w:color="auto" w:fill="auto"/>
            <w:noWrap/>
            <w:vAlign w:val="bottom"/>
            <w:hideMark/>
          </w:tcPr>
          <w:p w14:paraId="1181D45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0.6117</w:t>
            </w:r>
          </w:p>
        </w:tc>
        <w:tc>
          <w:tcPr>
            <w:tcW w:w="1300" w:type="dxa"/>
            <w:tcBorders>
              <w:top w:val="nil"/>
              <w:left w:val="nil"/>
              <w:bottom w:val="nil"/>
              <w:right w:val="nil"/>
            </w:tcBorders>
            <w:shd w:val="clear" w:color="auto" w:fill="auto"/>
            <w:noWrap/>
            <w:vAlign w:val="bottom"/>
            <w:hideMark/>
          </w:tcPr>
          <w:p w14:paraId="3CBBC8B9"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0.54579</w:t>
            </w:r>
          </w:p>
        </w:tc>
      </w:tr>
      <w:tr w:rsidR="00584C79" w:rsidRPr="00584C79" w14:paraId="43D9E214"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0A84D837"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Blood meal richness</w:t>
            </w:r>
          </w:p>
        </w:tc>
        <w:tc>
          <w:tcPr>
            <w:tcW w:w="1300" w:type="dxa"/>
            <w:gridSpan w:val="2"/>
            <w:tcBorders>
              <w:top w:val="nil"/>
              <w:left w:val="nil"/>
              <w:bottom w:val="nil"/>
              <w:right w:val="nil"/>
            </w:tcBorders>
            <w:shd w:val="clear" w:color="auto" w:fill="auto"/>
            <w:noWrap/>
            <w:vAlign w:val="bottom"/>
            <w:hideMark/>
          </w:tcPr>
          <w:p w14:paraId="25675DB2"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0.0299</w:t>
            </w:r>
          </w:p>
        </w:tc>
        <w:tc>
          <w:tcPr>
            <w:tcW w:w="1300" w:type="dxa"/>
            <w:gridSpan w:val="2"/>
            <w:tcBorders>
              <w:top w:val="nil"/>
              <w:left w:val="nil"/>
              <w:bottom w:val="nil"/>
              <w:right w:val="nil"/>
            </w:tcBorders>
            <w:shd w:val="clear" w:color="auto" w:fill="auto"/>
            <w:noWrap/>
            <w:vAlign w:val="bottom"/>
            <w:hideMark/>
          </w:tcPr>
          <w:p w14:paraId="0982337C"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0.116717</w:t>
            </w:r>
          </w:p>
        </w:tc>
        <w:tc>
          <w:tcPr>
            <w:tcW w:w="1300" w:type="dxa"/>
            <w:gridSpan w:val="2"/>
            <w:tcBorders>
              <w:top w:val="nil"/>
              <w:left w:val="nil"/>
              <w:bottom w:val="nil"/>
              <w:right w:val="nil"/>
            </w:tcBorders>
            <w:shd w:val="clear" w:color="auto" w:fill="auto"/>
            <w:noWrap/>
            <w:vAlign w:val="bottom"/>
            <w:hideMark/>
          </w:tcPr>
          <w:p w14:paraId="62FDC9E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0.038906</w:t>
            </w:r>
          </w:p>
        </w:tc>
        <w:tc>
          <w:tcPr>
            <w:tcW w:w="1300" w:type="dxa"/>
            <w:gridSpan w:val="2"/>
            <w:tcBorders>
              <w:top w:val="nil"/>
              <w:left w:val="nil"/>
              <w:bottom w:val="nil"/>
              <w:right w:val="nil"/>
            </w:tcBorders>
            <w:shd w:val="clear" w:color="auto" w:fill="auto"/>
            <w:noWrap/>
            <w:vAlign w:val="bottom"/>
            <w:hideMark/>
          </w:tcPr>
          <w:p w14:paraId="3D37830D"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15AB654A"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60</w:t>
            </w:r>
          </w:p>
        </w:tc>
        <w:tc>
          <w:tcPr>
            <w:tcW w:w="1300" w:type="dxa"/>
            <w:tcBorders>
              <w:top w:val="nil"/>
              <w:left w:val="nil"/>
              <w:bottom w:val="nil"/>
              <w:right w:val="nil"/>
            </w:tcBorders>
            <w:shd w:val="clear" w:color="auto" w:fill="auto"/>
            <w:noWrap/>
            <w:vAlign w:val="bottom"/>
            <w:hideMark/>
          </w:tcPr>
          <w:p w14:paraId="6B597A02"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1.129</w:t>
            </w:r>
          </w:p>
        </w:tc>
        <w:tc>
          <w:tcPr>
            <w:tcW w:w="1300" w:type="dxa"/>
            <w:tcBorders>
              <w:top w:val="nil"/>
              <w:left w:val="nil"/>
              <w:bottom w:val="nil"/>
              <w:right w:val="nil"/>
            </w:tcBorders>
            <w:shd w:val="clear" w:color="auto" w:fill="auto"/>
            <w:noWrap/>
            <w:vAlign w:val="bottom"/>
            <w:hideMark/>
          </w:tcPr>
          <w:p w14:paraId="62AA8C6B"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0.34459</w:t>
            </w:r>
          </w:p>
        </w:tc>
      </w:tr>
      <w:tr w:rsidR="00584C79" w:rsidRPr="00584C79" w14:paraId="763F83F0"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18C2E0C0"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Dominant blood meal</w:t>
            </w:r>
          </w:p>
        </w:tc>
        <w:tc>
          <w:tcPr>
            <w:tcW w:w="1300" w:type="dxa"/>
            <w:gridSpan w:val="2"/>
            <w:tcBorders>
              <w:top w:val="nil"/>
              <w:left w:val="nil"/>
              <w:bottom w:val="nil"/>
              <w:right w:val="nil"/>
            </w:tcBorders>
            <w:shd w:val="clear" w:color="auto" w:fill="auto"/>
            <w:noWrap/>
            <w:vAlign w:val="bottom"/>
            <w:hideMark/>
          </w:tcPr>
          <w:p w14:paraId="0734E42B"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0.0534</w:t>
            </w:r>
          </w:p>
        </w:tc>
        <w:tc>
          <w:tcPr>
            <w:tcW w:w="1300" w:type="dxa"/>
            <w:gridSpan w:val="2"/>
            <w:tcBorders>
              <w:top w:val="nil"/>
              <w:left w:val="nil"/>
              <w:bottom w:val="nil"/>
              <w:right w:val="nil"/>
            </w:tcBorders>
            <w:shd w:val="clear" w:color="auto" w:fill="auto"/>
            <w:noWrap/>
            <w:vAlign w:val="bottom"/>
            <w:hideMark/>
          </w:tcPr>
          <w:p w14:paraId="132204DD"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0.20817</w:t>
            </w:r>
          </w:p>
        </w:tc>
        <w:tc>
          <w:tcPr>
            <w:tcW w:w="1300" w:type="dxa"/>
            <w:gridSpan w:val="2"/>
            <w:tcBorders>
              <w:top w:val="nil"/>
              <w:left w:val="nil"/>
              <w:bottom w:val="nil"/>
              <w:right w:val="nil"/>
            </w:tcBorders>
            <w:shd w:val="clear" w:color="auto" w:fill="auto"/>
            <w:noWrap/>
            <w:vAlign w:val="bottom"/>
            <w:hideMark/>
          </w:tcPr>
          <w:p w14:paraId="1B215174"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0.029739</w:t>
            </w:r>
          </w:p>
        </w:tc>
        <w:tc>
          <w:tcPr>
            <w:tcW w:w="1300" w:type="dxa"/>
            <w:gridSpan w:val="2"/>
            <w:tcBorders>
              <w:top w:val="nil"/>
              <w:left w:val="nil"/>
              <w:bottom w:val="nil"/>
              <w:right w:val="nil"/>
            </w:tcBorders>
            <w:shd w:val="clear" w:color="auto" w:fill="auto"/>
            <w:noWrap/>
            <w:vAlign w:val="bottom"/>
            <w:hideMark/>
          </w:tcPr>
          <w:p w14:paraId="683E8756"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7</w:t>
            </w:r>
          </w:p>
        </w:tc>
        <w:tc>
          <w:tcPr>
            <w:tcW w:w="1300" w:type="dxa"/>
            <w:tcBorders>
              <w:top w:val="nil"/>
              <w:left w:val="nil"/>
              <w:bottom w:val="nil"/>
              <w:right w:val="nil"/>
            </w:tcBorders>
            <w:shd w:val="clear" w:color="auto" w:fill="auto"/>
            <w:noWrap/>
            <w:vAlign w:val="bottom"/>
            <w:hideMark/>
          </w:tcPr>
          <w:p w14:paraId="41DAD0EC"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60</w:t>
            </w:r>
          </w:p>
        </w:tc>
        <w:tc>
          <w:tcPr>
            <w:tcW w:w="1300" w:type="dxa"/>
            <w:tcBorders>
              <w:top w:val="nil"/>
              <w:left w:val="nil"/>
              <w:bottom w:val="nil"/>
              <w:right w:val="nil"/>
            </w:tcBorders>
            <w:shd w:val="clear" w:color="auto" w:fill="auto"/>
            <w:noWrap/>
            <w:vAlign w:val="bottom"/>
            <w:hideMark/>
          </w:tcPr>
          <w:p w14:paraId="028DD00B"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0.863</w:t>
            </w:r>
          </w:p>
        </w:tc>
        <w:tc>
          <w:tcPr>
            <w:tcW w:w="1300" w:type="dxa"/>
            <w:tcBorders>
              <w:top w:val="nil"/>
              <w:left w:val="nil"/>
              <w:bottom w:val="nil"/>
              <w:right w:val="nil"/>
            </w:tcBorders>
            <w:shd w:val="clear" w:color="auto" w:fill="auto"/>
            <w:noWrap/>
            <w:vAlign w:val="bottom"/>
            <w:hideMark/>
          </w:tcPr>
          <w:p w14:paraId="1572F57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0.54082</w:t>
            </w:r>
          </w:p>
        </w:tc>
      </w:tr>
      <w:tr w:rsidR="00584C79" w:rsidRPr="00584C79" w14:paraId="0DD1BD69"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7DB57762"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Full Model</w:t>
            </w:r>
          </w:p>
        </w:tc>
        <w:tc>
          <w:tcPr>
            <w:tcW w:w="1300" w:type="dxa"/>
            <w:gridSpan w:val="2"/>
            <w:tcBorders>
              <w:top w:val="nil"/>
              <w:left w:val="nil"/>
              <w:bottom w:val="nil"/>
              <w:right w:val="nil"/>
            </w:tcBorders>
            <w:shd w:val="clear" w:color="auto" w:fill="auto"/>
            <w:noWrap/>
            <w:vAlign w:val="bottom"/>
            <w:hideMark/>
          </w:tcPr>
          <w:p w14:paraId="35B1EBB4"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0.3548</w:t>
            </w:r>
          </w:p>
        </w:tc>
        <w:tc>
          <w:tcPr>
            <w:tcW w:w="1300" w:type="dxa"/>
            <w:gridSpan w:val="2"/>
            <w:tcBorders>
              <w:top w:val="nil"/>
              <w:left w:val="nil"/>
              <w:bottom w:val="nil"/>
              <w:right w:val="nil"/>
            </w:tcBorders>
            <w:shd w:val="clear" w:color="auto" w:fill="auto"/>
            <w:noWrap/>
            <w:vAlign w:val="bottom"/>
            <w:hideMark/>
          </w:tcPr>
          <w:p w14:paraId="05AC3109" w14:textId="77777777" w:rsidR="00584C79" w:rsidRPr="00584C79" w:rsidRDefault="00584C79" w:rsidP="00584C79">
            <w:pPr>
              <w:jc w:val="right"/>
              <w:rPr>
                <w:rFonts w:eastAsia="Times New Roman" w:cs="Times New Roman"/>
                <w:color w:val="000000"/>
              </w:rPr>
            </w:pPr>
          </w:p>
        </w:tc>
        <w:tc>
          <w:tcPr>
            <w:tcW w:w="1300" w:type="dxa"/>
            <w:gridSpan w:val="2"/>
            <w:tcBorders>
              <w:top w:val="nil"/>
              <w:left w:val="nil"/>
              <w:bottom w:val="nil"/>
              <w:right w:val="nil"/>
            </w:tcBorders>
            <w:shd w:val="clear" w:color="auto" w:fill="auto"/>
            <w:noWrap/>
            <w:vAlign w:val="bottom"/>
            <w:hideMark/>
          </w:tcPr>
          <w:p w14:paraId="39E1D52D"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27BBEDF3"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FA44B81"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CF197F7"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B5F9B33" w14:textId="77777777" w:rsidR="00584C79" w:rsidRPr="00584C79" w:rsidRDefault="00584C79" w:rsidP="00584C79">
            <w:pPr>
              <w:rPr>
                <w:rFonts w:eastAsia="Times New Roman" w:cs="Times New Roman"/>
              </w:rPr>
            </w:pPr>
          </w:p>
        </w:tc>
      </w:tr>
      <w:tr w:rsidR="00584C79" w:rsidRPr="00584C79" w14:paraId="6FFCB324"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425C1C5E"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62B916F7"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71B2F33E"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792A98D7"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7236721A"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DC45558"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00ADB39"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B88F3C6" w14:textId="77777777" w:rsidR="00584C79" w:rsidRPr="00584C79" w:rsidRDefault="00584C79" w:rsidP="00584C79">
            <w:pPr>
              <w:rPr>
                <w:rFonts w:eastAsia="Times New Roman" w:cs="Times New Roman"/>
              </w:rPr>
            </w:pPr>
          </w:p>
        </w:tc>
      </w:tr>
      <w:tr w:rsidR="00584C79" w:rsidRPr="00584C79" w14:paraId="4BBCDE05"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42F2798A" w14:textId="77777777" w:rsidR="0098521D" w:rsidRPr="00A53C1D" w:rsidRDefault="0098521D" w:rsidP="00584C79">
            <w:pPr>
              <w:rPr>
                <w:rFonts w:eastAsia="Times New Roman" w:cs="Times New Roman"/>
                <w:b/>
                <w:bCs/>
                <w:color w:val="000000"/>
              </w:rPr>
            </w:pPr>
          </w:p>
          <w:p w14:paraId="4DA6F108" w14:textId="77777777" w:rsidR="0098521D" w:rsidRPr="00A53C1D" w:rsidRDefault="0098521D" w:rsidP="00584C79">
            <w:pPr>
              <w:rPr>
                <w:rFonts w:eastAsia="Times New Roman" w:cs="Times New Roman"/>
                <w:b/>
                <w:bCs/>
                <w:color w:val="000000"/>
              </w:rPr>
            </w:pPr>
          </w:p>
          <w:p w14:paraId="25E2A663" w14:textId="77777777" w:rsidR="00534DEE" w:rsidRDefault="00534DEE" w:rsidP="00584C79">
            <w:pPr>
              <w:rPr>
                <w:rFonts w:eastAsia="Times New Roman" w:cs="Times New Roman"/>
                <w:b/>
                <w:bCs/>
                <w:color w:val="000000"/>
              </w:rPr>
            </w:pPr>
          </w:p>
          <w:p w14:paraId="37743537" w14:textId="77777777" w:rsidR="00534DEE" w:rsidRDefault="00534DEE" w:rsidP="00584C79">
            <w:pPr>
              <w:rPr>
                <w:rFonts w:eastAsia="Times New Roman" w:cs="Times New Roman"/>
                <w:b/>
                <w:bCs/>
                <w:color w:val="000000"/>
              </w:rPr>
            </w:pPr>
          </w:p>
          <w:p w14:paraId="4C715F78" w14:textId="1EAEEAD8" w:rsidR="00584C79" w:rsidRPr="00584C79" w:rsidRDefault="00584C79" w:rsidP="00584C79">
            <w:pPr>
              <w:rPr>
                <w:rFonts w:eastAsia="Times New Roman" w:cs="Times New Roman"/>
                <w:b/>
                <w:bCs/>
                <w:color w:val="000000"/>
              </w:rPr>
            </w:pPr>
            <w:r w:rsidRPr="00584C79">
              <w:rPr>
                <w:rFonts w:eastAsia="Times New Roman" w:cs="Times New Roman"/>
                <w:b/>
                <w:bCs/>
                <w:color w:val="000000"/>
              </w:rPr>
              <w:lastRenderedPageBreak/>
              <w:t>Faith's PD</w:t>
            </w:r>
          </w:p>
        </w:tc>
        <w:tc>
          <w:tcPr>
            <w:tcW w:w="1300" w:type="dxa"/>
            <w:gridSpan w:val="2"/>
            <w:tcBorders>
              <w:top w:val="nil"/>
              <w:left w:val="nil"/>
              <w:bottom w:val="nil"/>
              <w:right w:val="nil"/>
            </w:tcBorders>
            <w:shd w:val="clear" w:color="auto" w:fill="auto"/>
            <w:noWrap/>
            <w:vAlign w:val="bottom"/>
            <w:hideMark/>
          </w:tcPr>
          <w:p w14:paraId="34684DF2" w14:textId="77777777" w:rsidR="00584C79" w:rsidRPr="00584C79" w:rsidRDefault="00584C79" w:rsidP="00584C79">
            <w:pPr>
              <w:rPr>
                <w:rFonts w:eastAsia="Times New Roman" w:cs="Times New Roman"/>
                <w:b/>
                <w:bCs/>
                <w:color w:val="000000"/>
              </w:rPr>
            </w:pPr>
          </w:p>
        </w:tc>
        <w:tc>
          <w:tcPr>
            <w:tcW w:w="1300" w:type="dxa"/>
            <w:gridSpan w:val="2"/>
            <w:tcBorders>
              <w:top w:val="nil"/>
              <w:left w:val="nil"/>
              <w:bottom w:val="nil"/>
              <w:right w:val="nil"/>
            </w:tcBorders>
            <w:shd w:val="clear" w:color="auto" w:fill="auto"/>
            <w:noWrap/>
            <w:vAlign w:val="bottom"/>
            <w:hideMark/>
          </w:tcPr>
          <w:p w14:paraId="2082FE1B"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5C5B0655"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2B0ED162"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28362A8"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56CC0DE"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82FC59D" w14:textId="77777777" w:rsidR="00584C79" w:rsidRPr="00584C79" w:rsidRDefault="00584C79" w:rsidP="00584C79">
            <w:pPr>
              <w:rPr>
                <w:rFonts w:eastAsia="Times New Roman" w:cs="Times New Roman"/>
              </w:rPr>
            </w:pPr>
          </w:p>
        </w:tc>
      </w:tr>
      <w:tr w:rsidR="00584C79" w:rsidRPr="00584C79" w14:paraId="2F7D080D"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279E3252"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Age group</w:t>
            </w:r>
          </w:p>
        </w:tc>
        <w:tc>
          <w:tcPr>
            <w:tcW w:w="1300" w:type="dxa"/>
            <w:gridSpan w:val="2"/>
            <w:tcBorders>
              <w:top w:val="nil"/>
              <w:left w:val="nil"/>
              <w:bottom w:val="nil"/>
              <w:right w:val="nil"/>
            </w:tcBorders>
            <w:shd w:val="clear" w:color="auto" w:fill="auto"/>
            <w:noWrap/>
            <w:vAlign w:val="bottom"/>
            <w:hideMark/>
          </w:tcPr>
          <w:p w14:paraId="7AFD38B8"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0.004</w:t>
            </w:r>
          </w:p>
        </w:tc>
        <w:tc>
          <w:tcPr>
            <w:tcW w:w="1300" w:type="dxa"/>
            <w:gridSpan w:val="2"/>
            <w:tcBorders>
              <w:top w:val="nil"/>
              <w:left w:val="nil"/>
              <w:bottom w:val="nil"/>
              <w:right w:val="nil"/>
            </w:tcBorders>
            <w:shd w:val="clear" w:color="auto" w:fill="auto"/>
            <w:noWrap/>
            <w:vAlign w:val="bottom"/>
            <w:hideMark/>
          </w:tcPr>
          <w:p w14:paraId="5F75EF3E"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0.03</w:t>
            </w:r>
          </w:p>
        </w:tc>
        <w:tc>
          <w:tcPr>
            <w:tcW w:w="1300" w:type="dxa"/>
            <w:gridSpan w:val="2"/>
            <w:tcBorders>
              <w:top w:val="nil"/>
              <w:left w:val="nil"/>
              <w:bottom w:val="nil"/>
              <w:right w:val="nil"/>
            </w:tcBorders>
            <w:shd w:val="clear" w:color="auto" w:fill="auto"/>
            <w:noWrap/>
            <w:vAlign w:val="bottom"/>
            <w:hideMark/>
          </w:tcPr>
          <w:p w14:paraId="4A67F5DD"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0.03</w:t>
            </w:r>
          </w:p>
        </w:tc>
        <w:tc>
          <w:tcPr>
            <w:tcW w:w="1300" w:type="dxa"/>
            <w:gridSpan w:val="2"/>
            <w:tcBorders>
              <w:top w:val="nil"/>
              <w:left w:val="nil"/>
              <w:bottom w:val="nil"/>
              <w:right w:val="nil"/>
            </w:tcBorders>
            <w:shd w:val="clear" w:color="auto" w:fill="auto"/>
            <w:noWrap/>
            <w:vAlign w:val="bottom"/>
            <w:hideMark/>
          </w:tcPr>
          <w:p w14:paraId="114FFF0C"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44F82815"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61</w:t>
            </w:r>
          </w:p>
        </w:tc>
        <w:tc>
          <w:tcPr>
            <w:tcW w:w="1300" w:type="dxa"/>
            <w:tcBorders>
              <w:top w:val="nil"/>
              <w:left w:val="nil"/>
              <w:bottom w:val="nil"/>
              <w:right w:val="nil"/>
            </w:tcBorders>
            <w:shd w:val="clear" w:color="auto" w:fill="auto"/>
            <w:noWrap/>
            <w:vAlign w:val="bottom"/>
            <w:hideMark/>
          </w:tcPr>
          <w:p w14:paraId="7F26745C"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0.6338</w:t>
            </w:r>
          </w:p>
        </w:tc>
        <w:tc>
          <w:tcPr>
            <w:tcW w:w="1300" w:type="dxa"/>
            <w:tcBorders>
              <w:top w:val="nil"/>
              <w:left w:val="nil"/>
              <w:bottom w:val="nil"/>
              <w:right w:val="nil"/>
            </w:tcBorders>
            <w:shd w:val="clear" w:color="auto" w:fill="auto"/>
            <w:noWrap/>
            <w:vAlign w:val="bottom"/>
            <w:hideMark/>
          </w:tcPr>
          <w:p w14:paraId="014AD93F"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0.429</w:t>
            </w:r>
          </w:p>
        </w:tc>
      </w:tr>
      <w:tr w:rsidR="00584C79" w:rsidRPr="00584C79" w14:paraId="7E49CC2F"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6AAA9D1C"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Sampling region</w:t>
            </w:r>
          </w:p>
        </w:tc>
        <w:tc>
          <w:tcPr>
            <w:tcW w:w="1300" w:type="dxa"/>
            <w:gridSpan w:val="2"/>
            <w:tcBorders>
              <w:top w:val="nil"/>
              <w:left w:val="nil"/>
              <w:bottom w:val="nil"/>
              <w:right w:val="nil"/>
            </w:tcBorders>
            <w:shd w:val="clear" w:color="auto" w:fill="auto"/>
            <w:noWrap/>
            <w:vAlign w:val="bottom"/>
            <w:hideMark/>
          </w:tcPr>
          <w:p w14:paraId="2E5A1DF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0.0112</w:t>
            </w:r>
          </w:p>
        </w:tc>
        <w:tc>
          <w:tcPr>
            <w:tcW w:w="1300" w:type="dxa"/>
            <w:gridSpan w:val="2"/>
            <w:tcBorders>
              <w:top w:val="nil"/>
              <w:left w:val="nil"/>
              <w:bottom w:val="nil"/>
              <w:right w:val="nil"/>
            </w:tcBorders>
            <w:shd w:val="clear" w:color="auto" w:fill="auto"/>
            <w:noWrap/>
            <w:vAlign w:val="bottom"/>
            <w:hideMark/>
          </w:tcPr>
          <w:p w14:paraId="523C6658"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0.08346</w:t>
            </w:r>
          </w:p>
        </w:tc>
        <w:tc>
          <w:tcPr>
            <w:tcW w:w="1300" w:type="dxa"/>
            <w:gridSpan w:val="2"/>
            <w:tcBorders>
              <w:top w:val="nil"/>
              <w:left w:val="nil"/>
              <w:bottom w:val="nil"/>
              <w:right w:val="nil"/>
            </w:tcBorders>
            <w:shd w:val="clear" w:color="auto" w:fill="auto"/>
            <w:noWrap/>
            <w:vAlign w:val="bottom"/>
            <w:hideMark/>
          </w:tcPr>
          <w:p w14:paraId="722F2119"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0.04173</w:t>
            </w:r>
          </w:p>
        </w:tc>
        <w:tc>
          <w:tcPr>
            <w:tcW w:w="1300" w:type="dxa"/>
            <w:gridSpan w:val="2"/>
            <w:tcBorders>
              <w:top w:val="nil"/>
              <w:left w:val="nil"/>
              <w:bottom w:val="nil"/>
              <w:right w:val="nil"/>
            </w:tcBorders>
            <w:shd w:val="clear" w:color="auto" w:fill="auto"/>
            <w:noWrap/>
            <w:vAlign w:val="bottom"/>
            <w:hideMark/>
          </w:tcPr>
          <w:p w14:paraId="1515A1D6"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79EE5BFD"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61</w:t>
            </w:r>
          </w:p>
        </w:tc>
        <w:tc>
          <w:tcPr>
            <w:tcW w:w="1300" w:type="dxa"/>
            <w:tcBorders>
              <w:top w:val="nil"/>
              <w:left w:val="nil"/>
              <w:bottom w:val="nil"/>
              <w:right w:val="nil"/>
            </w:tcBorders>
            <w:shd w:val="clear" w:color="auto" w:fill="auto"/>
            <w:noWrap/>
            <w:vAlign w:val="bottom"/>
            <w:hideMark/>
          </w:tcPr>
          <w:p w14:paraId="484C038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0.8817</w:t>
            </w:r>
          </w:p>
        </w:tc>
        <w:tc>
          <w:tcPr>
            <w:tcW w:w="1300" w:type="dxa"/>
            <w:tcBorders>
              <w:top w:val="nil"/>
              <w:left w:val="nil"/>
              <w:bottom w:val="nil"/>
              <w:right w:val="nil"/>
            </w:tcBorders>
            <w:shd w:val="clear" w:color="auto" w:fill="auto"/>
            <w:noWrap/>
            <w:vAlign w:val="bottom"/>
            <w:hideMark/>
          </w:tcPr>
          <w:p w14:paraId="27302D62"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0.4193</w:t>
            </w:r>
          </w:p>
        </w:tc>
      </w:tr>
      <w:tr w:rsidR="00584C79" w:rsidRPr="00584C79" w14:paraId="1B67119B"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702B2121"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Blood meal richness</w:t>
            </w:r>
          </w:p>
        </w:tc>
        <w:tc>
          <w:tcPr>
            <w:tcW w:w="1300" w:type="dxa"/>
            <w:gridSpan w:val="2"/>
            <w:tcBorders>
              <w:top w:val="nil"/>
              <w:left w:val="nil"/>
              <w:bottom w:val="nil"/>
              <w:right w:val="nil"/>
            </w:tcBorders>
            <w:shd w:val="clear" w:color="auto" w:fill="auto"/>
            <w:noWrap/>
            <w:vAlign w:val="bottom"/>
            <w:hideMark/>
          </w:tcPr>
          <w:p w14:paraId="41A2EB25"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0.0327</w:t>
            </w:r>
          </w:p>
        </w:tc>
        <w:tc>
          <w:tcPr>
            <w:tcW w:w="1300" w:type="dxa"/>
            <w:gridSpan w:val="2"/>
            <w:tcBorders>
              <w:top w:val="nil"/>
              <w:left w:val="nil"/>
              <w:bottom w:val="nil"/>
              <w:right w:val="nil"/>
            </w:tcBorders>
            <w:shd w:val="clear" w:color="auto" w:fill="auto"/>
            <w:noWrap/>
            <w:vAlign w:val="bottom"/>
            <w:hideMark/>
          </w:tcPr>
          <w:p w14:paraId="2223C389"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0.24454</w:t>
            </w:r>
          </w:p>
        </w:tc>
        <w:tc>
          <w:tcPr>
            <w:tcW w:w="1300" w:type="dxa"/>
            <w:gridSpan w:val="2"/>
            <w:tcBorders>
              <w:top w:val="nil"/>
              <w:left w:val="nil"/>
              <w:bottom w:val="nil"/>
              <w:right w:val="nil"/>
            </w:tcBorders>
            <w:shd w:val="clear" w:color="auto" w:fill="auto"/>
            <w:noWrap/>
            <w:vAlign w:val="bottom"/>
            <w:hideMark/>
          </w:tcPr>
          <w:p w14:paraId="5111111F"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0.081513</w:t>
            </w:r>
          </w:p>
        </w:tc>
        <w:tc>
          <w:tcPr>
            <w:tcW w:w="1300" w:type="dxa"/>
            <w:gridSpan w:val="2"/>
            <w:tcBorders>
              <w:top w:val="nil"/>
              <w:left w:val="nil"/>
              <w:bottom w:val="nil"/>
              <w:right w:val="nil"/>
            </w:tcBorders>
            <w:shd w:val="clear" w:color="auto" w:fill="auto"/>
            <w:noWrap/>
            <w:vAlign w:val="bottom"/>
            <w:hideMark/>
          </w:tcPr>
          <w:p w14:paraId="16CAAE80"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78952EFA"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61</w:t>
            </w:r>
          </w:p>
        </w:tc>
        <w:tc>
          <w:tcPr>
            <w:tcW w:w="1300" w:type="dxa"/>
            <w:tcBorders>
              <w:top w:val="nil"/>
              <w:left w:val="nil"/>
              <w:bottom w:val="nil"/>
              <w:right w:val="nil"/>
            </w:tcBorders>
            <w:shd w:val="clear" w:color="auto" w:fill="auto"/>
            <w:noWrap/>
            <w:vAlign w:val="bottom"/>
            <w:hideMark/>
          </w:tcPr>
          <w:p w14:paraId="0E381BCB"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1.7222</w:t>
            </w:r>
          </w:p>
        </w:tc>
        <w:tc>
          <w:tcPr>
            <w:tcW w:w="1300" w:type="dxa"/>
            <w:tcBorders>
              <w:top w:val="nil"/>
              <w:left w:val="nil"/>
              <w:bottom w:val="nil"/>
              <w:right w:val="nil"/>
            </w:tcBorders>
            <w:shd w:val="clear" w:color="auto" w:fill="auto"/>
            <w:noWrap/>
            <w:vAlign w:val="bottom"/>
            <w:hideMark/>
          </w:tcPr>
          <w:p w14:paraId="198EEEAD"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0.1718</w:t>
            </w:r>
          </w:p>
        </w:tc>
      </w:tr>
      <w:tr w:rsidR="00584C79" w:rsidRPr="00584C79" w14:paraId="206F3141"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5C1B27F8"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Dominant blood meal</w:t>
            </w:r>
          </w:p>
        </w:tc>
        <w:tc>
          <w:tcPr>
            <w:tcW w:w="1300" w:type="dxa"/>
            <w:gridSpan w:val="2"/>
            <w:tcBorders>
              <w:top w:val="nil"/>
              <w:left w:val="nil"/>
              <w:bottom w:val="nil"/>
              <w:right w:val="nil"/>
            </w:tcBorders>
            <w:shd w:val="clear" w:color="auto" w:fill="auto"/>
            <w:noWrap/>
            <w:vAlign w:val="bottom"/>
            <w:hideMark/>
          </w:tcPr>
          <w:p w14:paraId="18D94BEF" w14:textId="77777777" w:rsidR="00584C79" w:rsidRPr="00584C79" w:rsidRDefault="00584C79" w:rsidP="00584C79">
            <w:pPr>
              <w:jc w:val="right"/>
              <w:rPr>
                <w:rFonts w:eastAsia="Times New Roman" w:cs="Times New Roman"/>
              </w:rPr>
            </w:pPr>
            <w:r w:rsidRPr="00584C79">
              <w:rPr>
                <w:rFonts w:eastAsia="Times New Roman" w:cs="Times New Roman"/>
              </w:rPr>
              <w:t>0.3417</w:t>
            </w:r>
          </w:p>
        </w:tc>
        <w:tc>
          <w:tcPr>
            <w:tcW w:w="1300" w:type="dxa"/>
            <w:gridSpan w:val="2"/>
            <w:tcBorders>
              <w:top w:val="nil"/>
              <w:left w:val="nil"/>
              <w:bottom w:val="nil"/>
              <w:right w:val="nil"/>
            </w:tcBorders>
            <w:shd w:val="clear" w:color="auto" w:fill="auto"/>
            <w:noWrap/>
            <w:vAlign w:val="bottom"/>
            <w:hideMark/>
          </w:tcPr>
          <w:p w14:paraId="6342C672"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2.13313</w:t>
            </w:r>
          </w:p>
        </w:tc>
        <w:tc>
          <w:tcPr>
            <w:tcW w:w="1300" w:type="dxa"/>
            <w:gridSpan w:val="2"/>
            <w:tcBorders>
              <w:top w:val="nil"/>
              <w:left w:val="nil"/>
              <w:bottom w:val="nil"/>
              <w:right w:val="nil"/>
            </w:tcBorders>
            <w:shd w:val="clear" w:color="auto" w:fill="auto"/>
            <w:noWrap/>
            <w:vAlign w:val="bottom"/>
            <w:hideMark/>
          </w:tcPr>
          <w:p w14:paraId="13C3ED3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0.304733</w:t>
            </w:r>
          </w:p>
        </w:tc>
        <w:tc>
          <w:tcPr>
            <w:tcW w:w="1300" w:type="dxa"/>
            <w:gridSpan w:val="2"/>
            <w:tcBorders>
              <w:top w:val="nil"/>
              <w:left w:val="nil"/>
              <w:bottom w:val="nil"/>
              <w:right w:val="nil"/>
            </w:tcBorders>
            <w:shd w:val="clear" w:color="auto" w:fill="auto"/>
            <w:noWrap/>
            <w:vAlign w:val="bottom"/>
            <w:hideMark/>
          </w:tcPr>
          <w:p w14:paraId="5E701CBD"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7</w:t>
            </w:r>
          </w:p>
        </w:tc>
        <w:tc>
          <w:tcPr>
            <w:tcW w:w="1300" w:type="dxa"/>
            <w:tcBorders>
              <w:top w:val="nil"/>
              <w:left w:val="nil"/>
              <w:bottom w:val="nil"/>
              <w:right w:val="nil"/>
            </w:tcBorders>
            <w:shd w:val="clear" w:color="auto" w:fill="auto"/>
            <w:noWrap/>
            <w:vAlign w:val="bottom"/>
            <w:hideMark/>
          </w:tcPr>
          <w:p w14:paraId="0E0B5CA0"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61</w:t>
            </w:r>
          </w:p>
        </w:tc>
        <w:tc>
          <w:tcPr>
            <w:tcW w:w="1300" w:type="dxa"/>
            <w:tcBorders>
              <w:top w:val="nil"/>
              <w:left w:val="nil"/>
              <w:bottom w:val="nil"/>
              <w:right w:val="nil"/>
            </w:tcBorders>
            <w:shd w:val="clear" w:color="auto" w:fill="auto"/>
            <w:noWrap/>
            <w:vAlign w:val="bottom"/>
            <w:hideMark/>
          </w:tcPr>
          <w:p w14:paraId="64ED110F"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6.4383</w:t>
            </w:r>
          </w:p>
        </w:tc>
        <w:tc>
          <w:tcPr>
            <w:tcW w:w="1300" w:type="dxa"/>
            <w:tcBorders>
              <w:top w:val="nil"/>
              <w:left w:val="nil"/>
              <w:bottom w:val="nil"/>
              <w:right w:val="nil"/>
            </w:tcBorders>
            <w:shd w:val="clear" w:color="auto" w:fill="auto"/>
            <w:noWrap/>
            <w:vAlign w:val="bottom"/>
            <w:hideMark/>
          </w:tcPr>
          <w:p w14:paraId="75B4495B" w14:textId="77777777" w:rsidR="00584C79" w:rsidRPr="00584C79" w:rsidRDefault="00584C79" w:rsidP="00584C79">
            <w:pPr>
              <w:jc w:val="right"/>
              <w:rPr>
                <w:rFonts w:eastAsia="Times New Roman" w:cs="Times New Roman"/>
                <w:b/>
                <w:bCs/>
                <w:color w:val="000000"/>
              </w:rPr>
            </w:pPr>
            <w:r w:rsidRPr="00584C79">
              <w:rPr>
                <w:rFonts w:eastAsia="Times New Roman" w:cs="Times New Roman"/>
                <w:b/>
                <w:bCs/>
                <w:color w:val="000000"/>
              </w:rPr>
              <w:t>1.10E-05</w:t>
            </w:r>
          </w:p>
        </w:tc>
      </w:tr>
      <w:tr w:rsidR="00584C79" w:rsidRPr="00584C79" w14:paraId="43D5641C"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64C15491"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Full Model</w:t>
            </w:r>
          </w:p>
        </w:tc>
        <w:tc>
          <w:tcPr>
            <w:tcW w:w="1300" w:type="dxa"/>
            <w:gridSpan w:val="2"/>
            <w:tcBorders>
              <w:top w:val="nil"/>
              <w:left w:val="nil"/>
              <w:bottom w:val="nil"/>
              <w:right w:val="nil"/>
            </w:tcBorders>
            <w:shd w:val="clear" w:color="auto" w:fill="auto"/>
            <w:noWrap/>
            <w:vAlign w:val="bottom"/>
            <w:hideMark/>
          </w:tcPr>
          <w:p w14:paraId="67D6233A"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0.531</w:t>
            </w:r>
          </w:p>
        </w:tc>
        <w:tc>
          <w:tcPr>
            <w:tcW w:w="1300" w:type="dxa"/>
            <w:gridSpan w:val="2"/>
            <w:tcBorders>
              <w:top w:val="nil"/>
              <w:left w:val="nil"/>
              <w:bottom w:val="nil"/>
              <w:right w:val="nil"/>
            </w:tcBorders>
            <w:shd w:val="clear" w:color="auto" w:fill="auto"/>
            <w:noWrap/>
            <w:vAlign w:val="bottom"/>
            <w:hideMark/>
          </w:tcPr>
          <w:p w14:paraId="1D125F22" w14:textId="77777777" w:rsidR="00584C79" w:rsidRPr="00584C79" w:rsidRDefault="00584C79" w:rsidP="00584C79">
            <w:pPr>
              <w:jc w:val="right"/>
              <w:rPr>
                <w:rFonts w:eastAsia="Times New Roman" w:cs="Times New Roman"/>
                <w:color w:val="000000"/>
              </w:rPr>
            </w:pPr>
          </w:p>
        </w:tc>
        <w:tc>
          <w:tcPr>
            <w:tcW w:w="1300" w:type="dxa"/>
            <w:gridSpan w:val="2"/>
            <w:tcBorders>
              <w:top w:val="nil"/>
              <w:left w:val="nil"/>
              <w:bottom w:val="nil"/>
              <w:right w:val="nil"/>
            </w:tcBorders>
            <w:shd w:val="clear" w:color="auto" w:fill="auto"/>
            <w:noWrap/>
            <w:vAlign w:val="bottom"/>
            <w:hideMark/>
          </w:tcPr>
          <w:p w14:paraId="64D866E1"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5CEFA32C"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053BC3A"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768F6D4"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0D2034C" w14:textId="77777777" w:rsidR="00584C79" w:rsidRPr="00584C79" w:rsidRDefault="00584C79" w:rsidP="00584C79">
            <w:pPr>
              <w:rPr>
                <w:rFonts w:eastAsia="Times New Roman" w:cs="Times New Roman"/>
              </w:rPr>
            </w:pPr>
          </w:p>
        </w:tc>
      </w:tr>
      <w:tr w:rsidR="00584C79" w:rsidRPr="00584C79" w14:paraId="4639487F"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6C6E566B"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5FF63550"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03683461"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4FAE1972"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65130AB2"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68E382A"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90D7382"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4150A4F" w14:textId="77777777" w:rsidR="00584C79" w:rsidRPr="00584C79" w:rsidRDefault="00584C79" w:rsidP="00584C79">
            <w:pPr>
              <w:rPr>
                <w:rFonts w:eastAsia="Times New Roman" w:cs="Times New Roman"/>
              </w:rPr>
            </w:pPr>
          </w:p>
        </w:tc>
      </w:tr>
      <w:tr w:rsidR="00584C79" w:rsidRPr="00584C79" w14:paraId="697E8A5A"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1E9F1B23" w14:textId="77777777" w:rsidR="00584C79" w:rsidRPr="00584C79" w:rsidRDefault="00584C79" w:rsidP="00584C79">
            <w:pPr>
              <w:rPr>
                <w:rFonts w:eastAsia="Times New Roman" w:cs="Times New Roman"/>
                <w:b/>
                <w:bCs/>
                <w:color w:val="000000"/>
              </w:rPr>
            </w:pPr>
            <w:r w:rsidRPr="00584C79">
              <w:rPr>
                <w:rFonts w:eastAsia="Times New Roman" w:cs="Times New Roman"/>
                <w:b/>
                <w:bCs/>
                <w:color w:val="000000"/>
              </w:rPr>
              <w:t>Evenness</w:t>
            </w:r>
          </w:p>
        </w:tc>
        <w:tc>
          <w:tcPr>
            <w:tcW w:w="1300" w:type="dxa"/>
            <w:gridSpan w:val="2"/>
            <w:tcBorders>
              <w:top w:val="nil"/>
              <w:left w:val="nil"/>
              <w:bottom w:val="nil"/>
              <w:right w:val="nil"/>
            </w:tcBorders>
            <w:shd w:val="clear" w:color="auto" w:fill="auto"/>
            <w:noWrap/>
            <w:vAlign w:val="bottom"/>
            <w:hideMark/>
          </w:tcPr>
          <w:p w14:paraId="58E0CFE0" w14:textId="77777777" w:rsidR="00584C79" w:rsidRPr="00584C79" w:rsidRDefault="00584C79" w:rsidP="00584C79">
            <w:pPr>
              <w:rPr>
                <w:rFonts w:eastAsia="Times New Roman" w:cs="Times New Roman"/>
                <w:b/>
                <w:bCs/>
                <w:color w:val="000000"/>
              </w:rPr>
            </w:pPr>
          </w:p>
        </w:tc>
        <w:tc>
          <w:tcPr>
            <w:tcW w:w="1300" w:type="dxa"/>
            <w:gridSpan w:val="2"/>
            <w:tcBorders>
              <w:top w:val="nil"/>
              <w:left w:val="nil"/>
              <w:bottom w:val="nil"/>
              <w:right w:val="nil"/>
            </w:tcBorders>
            <w:shd w:val="clear" w:color="auto" w:fill="auto"/>
            <w:noWrap/>
            <w:vAlign w:val="bottom"/>
            <w:hideMark/>
          </w:tcPr>
          <w:p w14:paraId="4393AD20"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13657BEB"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374FB14D"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751A307"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1E80507"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D15D44F" w14:textId="77777777" w:rsidR="00584C79" w:rsidRPr="00584C79" w:rsidRDefault="00584C79" w:rsidP="00584C79">
            <w:pPr>
              <w:rPr>
                <w:rFonts w:eastAsia="Times New Roman" w:cs="Times New Roman"/>
              </w:rPr>
            </w:pPr>
          </w:p>
        </w:tc>
      </w:tr>
      <w:tr w:rsidR="00584C79" w:rsidRPr="00584C79" w14:paraId="76861811"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368E8C9E"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Age group</w:t>
            </w:r>
          </w:p>
        </w:tc>
        <w:tc>
          <w:tcPr>
            <w:tcW w:w="1300" w:type="dxa"/>
            <w:gridSpan w:val="2"/>
            <w:tcBorders>
              <w:top w:val="nil"/>
              <w:left w:val="nil"/>
              <w:bottom w:val="nil"/>
              <w:right w:val="nil"/>
            </w:tcBorders>
            <w:shd w:val="clear" w:color="auto" w:fill="auto"/>
            <w:noWrap/>
            <w:vAlign w:val="bottom"/>
            <w:hideMark/>
          </w:tcPr>
          <w:p w14:paraId="15B54EC9"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0.0264</w:t>
            </w:r>
          </w:p>
        </w:tc>
        <w:tc>
          <w:tcPr>
            <w:tcW w:w="1300" w:type="dxa"/>
            <w:gridSpan w:val="2"/>
            <w:tcBorders>
              <w:top w:val="nil"/>
              <w:left w:val="nil"/>
              <w:bottom w:val="nil"/>
              <w:right w:val="nil"/>
            </w:tcBorders>
            <w:shd w:val="clear" w:color="auto" w:fill="auto"/>
            <w:noWrap/>
            <w:vAlign w:val="bottom"/>
            <w:hideMark/>
          </w:tcPr>
          <w:p w14:paraId="679C3023"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0.010821</w:t>
            </w:r>
          </w:p>
        </w:tc>
        <w:tc>
          <w:tcPr>
            <w:tcW w:w="1300" w:type="dxa"/>
            <w:gridSpan w:val="2"/>
            <w:tcBorders>
              <w:top w:val="nil"/>
              <w:left w:val="nil"/>
              <w:bottom w:val="nil"/>
              <w:right w:val="nil"/>
            </w:tcBorders>
            <w:shd w:val="clear" w:color="auto" w:fill="auto"/>
            <w:noWrap/>
            <w:vAlign w:val="bottom"/>
            <w:hideMark/>
          </w:tcPr>
          <w:p w14:paraId="6DEF949D"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0.010821</w:t>
            </w:r>
          </w:p>
        </w:tc>
        <w:tc>
          <w:tcPr>
            <w:tcW w:w="1300" w:type="dxa"/>
            <w:gridSpan w:val="2"/>
            <w:tcBorders>
              <w:top w:val="nil"/>
              <w:left w:val="nil"/>
              <w:bottom w:val="nil"/>
              <w:right w:val="nil"/>
            </w:tcBorders>
            <w:shd w:val="clear" w:color="auto" w:fill="auto"/>
            <w:noWrap/>
            <w:vAlign w:val="bottom"/>
            <w:hideMark/>
          </w:tcPr>
          <w:p w14:paraId="1B254C70"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00F232D8"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61</w:t>
            </w:r>
          </w:p>
        </w:tc>
        <w:tc>
          <w:tcPr>
            <w:tcW w:w="1300" w:type="dxa"/>
            <w:tcBorders>
              <w:top w:val="nil"/>
              <w:left w:val="nil"/>
              <w:bottom w:val="nil"/>
              <w:right w:val="nil"/>
            </w:tcBorders>
            <w:shd w:val="clear" w:color="auto" w:fill="auto"/>
            <w:noWrap/>
            <w:vAlign w:val="bottom"/>
            <w:hideMark/>
          </w:tcPr>
          <w:p w14:paraId="669526E3"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2.4959</w:t>
            </w:r>
          </w:p>
        </w:tc>
        <w:tc>
          <w:tcPr>
            <w:tcW w:w="1300" w:type="dxa"/>
            <w:tcBorders>
              <w:top w:val="nil"/>
              <w:left w:val="nil"/>
              <w:bottom w:val="nil"/>
              <w:right w:val="nil"/>
            </w:tcBorders>
            <w:shd w:val="clear" w:color="auto" w:fill="auto"/>
            <w:noWrap/>
            <w:vAlign w:val="bottom"/>
            <w:hideMark/>
          </w:tcPr>
          <w:p w14:paraId="0301C8EF"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0.1193</w:t>
            </w:r>
          </w:p>
        </w:tc>
      </w:tr>
      <w:tr w:rsidR="00584C79" w:rsidRPr="00584C79" w14:paraId="7B09123A"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11563A91"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Sampling region</w:t>
            </w:r>
          </w:p>
        </w:tc>
        <w:tc>
          <w:tcPr>
            <w:tcW w:w="1300" w:type="dxa"/>
            <w:gridSpan w:val="2"/>
            <w:tcBorders>
              <w:top w:val="nil"/>
              <w:left w:val="nil"/>
              <w:bottom w:val="nil"/>
              <w:right w:val="nil"/>
            </w:tcBorders>
            <w:shd w:val="clear" w:color="auto" w:fill="auto"/>
            <w:noWrap/>
            <w:vAlign w:val="bottom"/>
            <w:hideMark/>
          </w:tcPr>
          <w:p w14:paraId="341196EE"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0.0034</w:t>
            </w:r>
          </w:p>
        </w:tc>
        <w:tc>
          <w:tcPr>
            <w:tcW w:w="1300" w:type="dxa"/>
            <w:gridSpan w:val="2"/>
            <w:tcBorders>
              <w:top w:val="nil"/>
              <w:left w:val="nil"/>
              <w:bottom w:val="nil"/>
              <w:right w:val="nil"/>
            </w:tcBorders>
            <w:shd w:val="clear" w:color="auto" w:fill="auto"/>
            <w:noWrap/>
            <w:vAlign w:val="bottom"/>
            <w:hideMark/>
          </w:tcPr>
          <w:p w14:paraId="21D8028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0.001399</w:t>
            </w:r>
          </w:p>
        </w:tc>
        <w:tc>
          <w:tcPr>
            <w:tcW w:w="1300" w:type="dxa"/>
            <w:gridSpan w:val="2"/>
            <w:tcBorders>
              <w:top w:val="nil"/>
              <w:left w:val="nil"/>
              <w:bottom w:val="nil"/>
              <w:right w:val="nil"/>
            </w:tcBorders>
            <w:shd w:val="clear" w:color="auto" w:fill="auto"/>
            <w:noWrap/>
            <w:vAlign w:val="bottom"/>
            <w:hideMark/>
          </w:tcPr>
          <w:p w14:paraId="76E5B541"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0.000699</w:t>
            </w:r>
          </w:p>
        </w:tc>
        <w:tc>
          <w:tcPr>
            <w:tcW w:w="1300" w:type="dxa"/>
            <w:gridSpan w:val="2"/>
            <w:tcBorders>
              <w:top w:val="nil"/>
              <w:left w:val="nil"/>
              <w:bottom w:val="nil"/>
              <w:right w:val="nil"/>
            </w:tcBorders>
            <w:shd w:val="clear" w:color="auto" w:fill="auto"/>
            <w:noWrap/>
            <w:vAlign w:val="bottom"/>
            <w:hideMark/>
          </w:tcPr>
          <w:p w14:paraId="65677200"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4C8D5FB6"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61</w:t>
            </w:r>
          </w:p>
        </w:tc>
        <w:tc>
          <w:tcPr>
            <w:tcW w:w="1300" w:type="dxa"/>
            <w:tcBorders>
              <w:top w:val="nil"/>
              <w:left w:val="nil"/>
              <w:bottom w:val="nil"/>
              <w:right w:val="nil"/>
            </w:tcBorders>
            <w:shd w:val="clear" w:color="auto" w:fill="auto"/>
            <w:noWrap/>
            <w:vAlign w:val="bottom"/>
            <w:hideMark/>
          </w:tcPr>
          <w:p w14:paraId="669DB0AB"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0.1613</w:t>
            </w:r>
          </w:p>
        </w:tc>
        <w:tc>
          <w:tcPr>
            <w:tcW w:w="1300" w:type="dxa"/>
            <w:tcBorders>
              <w:top w:val="nil"/>
              <w:left w:val="nil"/>
              <w:bottom w:val="nil"/>
              <w:right w:val="nil"/>
            </w:tcBorders>
            <w:shd w:val="clear" w:color="auto" w:fill="auto"/>
            <w:noWrap/>
            <w:vAlign w:val="bottom"/>
            <w:hideMark/>
          </w:tcPr>
          <w:p w14:paraId="4A8F6B02"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0.8514</w:t>
            </w:r>
          </w:p>
        </w:tc>
      </w:tr>
      <w:tr w:rsidR="00584C79" w:rsidRPr="00584C79" w14:paraId="46F8CDBE"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260D277E"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Blood meal richness</w:t>
            </w:r>
          </w:p>
        </w:tc>
        <w:tc>
          <w:tcPr>
            <w:tcW w:w="1300" w:type="dxa"/>
            <w:gridSpan w:val="2"/>
            <w:tcBorders>
              <w:top w:val="nil"/>
              <w:left w:val="nil"/>
              <w:bottom w:val="nil"/>
              <w:right w:val="nil"/>
            </w:tcBorders>
            <w:shd w:val="clear" w:color="auto" w:fill="auto"/>
            <w:noWrap/>
            <w:vAlign w:val="bottom"/>
            <w:hideMark/>
          </w:tcPr>
          <w:p w14:paraId="61B0E051"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0.0253</w:t>
            </w:r>
          </w:p>
        </w:tc>
        <w:tc>
          <w:tcPr>
            <w:tcW w:w="1300" w:type="dxa"/>
            <w:gridSpan w:val="2"/>
            <w:tcBorders>
              <w:top w:val="nil"/>
              <w:left w:val="nil"/>
              <w:bottom w:val="nil"/>
              <w:right w:val="nil"/>
            </w:tcBorders>
            <w:shd w:val="clear" w:color="auto" w:fill="auto"/>
            <w:noWrap/>
            <w:vAlign w:val="bottom"/>
            <w:hideMark/>
          </w:tcPr>
          <w:p w14:paraId="599A7192"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0.010387</w:t>
            </w:r>
          </w:p>
        </w:tc>
        <w:tc>
          <w:tcPr>
            <w:tcW w:w="1300" w:type="dxa"/>
            <w:gridSpan w:val="2"/>
            <w:tcBorders>
              <w:top w:val="nil"/>
              <w:left w:val="nil"/>
              <w:bottom w:val="nil"/>
              <w:right w:val="nil"/>
            </w:tcBorders>
            <w:shd w:val="clear" w:color="auto" w:fill="auto"/>
            <w:noWrap/>
            <w:vAlign w:val="bottom"/>
            <w:hideMark/>
          </w:tcPr>
          <w:p w14:paraId="1503C855"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0.003462</w:t>
            </w:r>
          </w:p>
        </w:tc>
        <w:tc>
          <w:tcPr>
            <w:tcW w:w="1300" w:type="dxa"/>
            <w:gridSpan w:val="2"/>
            <w:tcBorders>
              <w:top w:val="nil"/>
              <w:left w:val="nil"/>
              <w:bottom w:val="nil"/>
              <w:right w:val="nil"/>
            </w:tcBorders>
            <w:shd w:val="clear" w:color="auto" w:fill="auto"/>
            <w:noWrap/>
            <w:vAlign w:val="bottom"/>
            <w:hideMark/>
          </w:tcPr>
          <w:p w14:paraId="4D2913A2"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3BE314E1"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61</w:t>
            </w:r>
          </w:p>
        </w:tc>
        <w:tc>
          <w:tcPr>
            <w:tcW w:w="1300" w:type="dxa"/>
            <w:tcBorders>
              <w:top w:val="nil"/>
              <w:left w:val="nil"/>
              <w:bottom w:val="nil"/>
              <w:right w:val="nil"/>
            </w:tcBorders>
            <w:shd w:val="clear" w:color="auto" w:fill="auto"/>
            <w:noWrap/>
            <w:vAlign w:val="bottom"/>
            <w:hideMark/>
          </w:tcPr>
          <w:p w14:paraId="11A4CC3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0.7986</w:t>
            </w:r>
          </w:p>
        </w:tc>
        <w:tc>
          <w:tcPr>
            <w:tcW w:w="1300" w:type="dxa"/>
            <w:tcBorders>
              <w:top w:val="nil"/>
              <w:left w:val="nil"/>
              <w:bottom w:val="nil"/>
              <w:right w:val="nil"/>
            </w:tcBorders>
            <w:shd w:val="clear" w:color="auto" w:fill="auto"/>
            <w:noWrap/>
            <w:vAlign w:val="bottom"/>
            <w:hideMark/>
          </w:tcPr>
          <w:p w14:paraId="7A3B109A"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0.4994</w:t>
            </w:r>
          </w:p>
        </w:tc>
      </w:tr>
      <w:tr w:rsidR="00584C79" w:rsidRPr="00584C79" w14:paraId="675F3449"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51F9DE25"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Dominant blood meal</w:t>
            </w:r>
          </w:p>
        </w:tc>
        <w:tc>
          <w:tcPr>
            <w:tcW w:w="1300" w:type="dxa"/>
            <w:gridSpan w:val="2"/>
            <w:tcBorders>
              <w:top w:val="nil"/>
              <w:left w:val="nil"/>
              <w:bottom w:val="nil"/>
              <w:right w:val="nil"/>
            </w:tcBorders>
            <w:shd w:val="clear" w:color="auto" w:fill="auto"/>
            <w:noWrap/>
            <w:vAlign w:val="bottom"/>
            <w:hideMark/>
          </w:tcPr>
          <w:p w14:paraId="79CC0F66"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0.1038</w:t>
            </w:r>
          </w:p>
        </w:tc>
        <w:tc>
          <w:tcPr>
            <w:tcW w:w="1300" w:type="dxa"/>
            <w:gridSpan w:val="2"/>
            <w:tcBorders>
              <w:top w:val="nil"/>
              <w:left w:val="nil"/>
              <w:bottom w:val="nil"/>
              <w:right w:val="nil"/>
            </w:tcBorders>
            <w:shd w:val="clear" w:color="auto" w:fill="auto"/>
            <w:noWrap/>
            <w:vAlign w:val="bottom"/>
            <w:hideMark/>
          </w:tcPr>
          <w:p w14:paraId="2477B3B8"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0.042598</w:t>
            </w:r>
          </w:p>
        </w:tc>
        <w:tc>
          <w:tcPr>
            <w:tcW w:w="1300" w:type="dxa"/>
            <w:gridSpan w:val="2"/>
            <w:tcBorders>
              <w:top w:val="nil"/>
              <w:left w:val="nil"/>
              <w:bottom w:val="nil"/>
              <w:right w:val="nil"/>
            </w:tcBorders>
            <w:shd w:val="clear" w:color="auto" w:fill="auto"/>
            <w:noWrap/>
            <w:vAlign w:val="bottom"/>
            <w:hideMark/>
          </w:tcPr>
          <w:p w14:paraId="1F365078"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0.006085</w:t>
            </w:r>
          </w:p>
        </w:tc>
        <w:tc>
          <w:tcPr>
            <w:tcW w:w="1300" w:type="dxa"/>
            <w:gridSpan w:val="2"/>
            <w:tcBorders>
              <w:top w:val="nil"/>
              <w:left w:val="nil"/>
              <w:bottom w:val="nil"/>
              <w:right w:val="nil"/>
            </w:tcBorders>
            <w:shd w:val="clear" w:color="auto" w:fill="auto"/>
            <w:noWrap/>
            <w:vAlign w:val="bottom"/>
            <w:hideMark/>
          </w:tcPr>
          <w:p w14:paraId="01B9CF09"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7</w:t>
            </w:r>
          </w:p>
        </w:tc>
        <w:tc>
          <w:tcPr>
            <w:tcW w:w="1300" w:type="dxa"/>
            <w:tcBorders>
              <w:top w:val="nil"/>
              <w:left w:val="nil"/>
              <w:bottom w:val="nil"/>
              <w:right w:val="nil"/>
            </w:tcBorders>
            <w:shd w:val="clear" w:color="auto" w:fill="auto"/>
            <w:noWrap/>
            <w:vAlign w:val="bottom"/>
            <w:hideMark/>
          </w:tcPr>
          <w:p w14:paraId="50482BAA"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61</w:t>
            </w:r>
          </w:p>
        </w:tc>
        <w:tc>
          <w:tcPr>
            <w:tcW w:w="1300" w:type="dxa"/>
            <w:tcBorders>
              <w:top w:val="nil"/>
              <w:left w:val="nil"/>
              <w:bottom w:val="nil"/>
              <w:right w:val="nil"/>
            </w:tcBorders>
            <w:shd w:val="clear" w:color="auto" w:fill="auto"/>
            <w:noWrap/>
            <w:vAlign w:val="bottom"/>
            <w:hideMark/>
          </w:tcPr>
          <w:p w14:paraId="7BBFF6B8"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1.4037</w:t>
            </w:r>
          </w:p>
        </w:tc>
        <w:tc>
          <w:tcPr>
            <w:tcW w:w="1300" w:type="dxa"/>
            <w:tcBorders>
              <w:top w:val="nil"/>
              <w:left w:val="nil"/>
              <w:bottom w:val="nil"/>
              <w:right w:val="nil"/>
            </w:tcBorders>
            <w:shd w:val="clear" w:color="auto" w:fill="auto"/>
            <w:noWrap/>
            <w:vAlign w:val="bottom"/>
            <w:hideMark/>
          </w:tcPr>
          <w:p w14:paraId="0E68D926"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0.2203</w:t>
            </w:r>
          </w:p>
        </w:tc>
      </w:tr>
      <w:tr w:rsidR="00584C79" w:rsidRPr="00584C79" w14:paraId="43394448" w14:textId="77777777" w:rsidTr="00954AB9">
        <w:trPr>
          <w:gridAfter w:val="1"/>
          <w:wAfter w:w="720" w:type="dxa"/>
          <w:trHeight w:val="380"/>
        </w:trPr>
        <w:tc>
          <w:tcPr>
            <w:tcW w:w="3140" w:type="dxa"/>
            <w:gridSpan w:val="2"/>
            <w:tcBorders>
              <w:top w:val="nil"/>
              <w:left w:val="nil"/>
              <w:bottom w:val="nil"/>
              <w:right w:val="nil"/>
            </w:tcBorders>
            <w:shd w:val="clear" w:color="auto" w:fill="auto"/>
            <w:noWrap/>
            <w:vAlign w:val="bottom"/>
            <w:hideMark/>
          </w:tcPr>
          <w:p w14:paraId="4A65B82D" w14:textId="77777777" w:rsidR="00584C79" w:rsidRPr="00584C79" w:rsidRDefault="00584C79" w:rsidP="00584C79">
            <w:pPr>
              <w:rPr>
                <w:rFonts w:eastAsia="Times New Roman" w:cs="Times New Roman"/>
                <w:color w:val="000000"/>
              </w:rPr>
            </w:pPr>
            <w:r w:rsidRPr="00584C79">
              <w:rPr>
                <w:rFonts w:eastAsia="Times New Roman" w:cs="Times New Roman"/>
                <w:color w:val="000000"/>
              </w:rPr>
              <w:t>Full Model</w:t>
            </w:r>
          </w:p>
        </w:tc>
        <w:tc>
          <w:tcPr>
            <w:tcW w:w="1300" w:type="dxa"/>
            <w:gridSpan w:val="2"/>
            <w:tcBorders>
              <w:top w:val="nil"/>
              <w:left w:val="nil"/>
              <w:bottom w:val="nil"/>
              <w:right w:val="nil"/>
            </w:tcBorders>
            <w:shd w:val="clear" w:color="auto" w:fill="auto"/>
            <w:noWrap/>
            <w:vAlign w:val="bottom"/>
            <w:hideMark/>
          </w:tcPr>
          <w:p w14:paraId="3B576027" w14:textId="77777777" w:rsidR="00584C79" w:rsidRPr="00584C79" w:rsidRDefault="00584C79" w:rsidP="00584C79">
            <w:pPr>
              <w:jc w:val="right"/>
              <w:rPr>
                <w:rFonts w:eastAsia="Times New Roman" w:cs="Times New Roman"/>
                <w:color w:val="000000"/>
              </w:rPr>
            </w:pPr>
            <w:r w:rsidRPr="00584C79">
              <w:rPr>
                <w:rFonts w:eastAsia="Times New Roman" w:cs="Times New Roman"/>
                <w:color w:val="000000"/>
              </w:rPr>
              <w:t>0.218</w:t>
            </w:r>
          </w:p>
        </w:tc>
        <w:tc>
          <w:tcPr>
            <w:tcW w:w="1300" w:type="dxa"/>
            <w:gridSpan w:val="2"/>
            <w:tcBorders>
              <w:top w:val="nil"/>
              <w:left w:val="nil"/>
              <w:bottom w:val="nil"/>
              <w:right w:val="nil"/>
            </w:tcBorders>
            <w:shd w:val="clear" w:color="auto" w:fill="auto"/>
            <w:noWrap/>
            <w:vAlign w:val="bottom"/>
            <w:hideMark/>
          </w:tcPr>
          <w:p w14:paraId="22108ECA" w14:textId="77777777" w:rsidR="00584C79" w:rsidRPr="00584C79" w:rsidRDefault="00584C79" w:rsidP="00584C79">
            <w:pPr>
              <w:jc w:val="right"/>
              <w:rPr>
                <w:rFonts w:eastAsia="Times New Roman" w:cs="Times New Roman"/>
                <w:color w:val="000000"/>
              </w:rPr>
            </w:pPr>
          </w:p>
        </w:tc>
        <w:tc>
          <w:tcPr>
            <w:tcW w:w="1300" w:type="dxa"/>
            <w:gridSpan w:val="2"/>
            <w:tcBorders>
              <w:top w:val="nil"/>
              <w:left w:val="nil"/>
              <w:bottom w:val="nil"/>
              <w:right w:val="nil"/>
            </w:tcBorders>
            <w:shd w:val="clear" w:color="auto" w:fill="auto"/>
            <w:noWrap/>
            <w:vAlign w:val="bottom"/>
            <w:hideMark/>
          </w:tcPr>
          <w:p w14:paraId="70428DF5" w14:textId="77777777" w:rsidR="00584C79" w:rsidRPr="00584C79" w:rsidRDefault="00584C79" w:rsidP="00584C79">
            <w:pPr>
              <w:rPr>
                <w:rFonts w:eastAsia="Times New Roman" w:cs="Times New Roman"/>
              </w:rPr>
            </w:pPr>
          </w:p>
        </w:tc>
        <w:tc>
          <w:tcPr>
            <w:tcW w:w="1300" w:type="dxa"/>
            <w:gridSpan w:val="2"/>
            <w:tcBorders>
              <w:top w:val="nil"/>
              <w:left w:val="nil"/>
              <w:bottom w:val="nil"/>
              <w:right w:val="nil"/>
            </w:tcBorders>
            <w:shd w:val="clear" w:color="auto" w:fill="auto"/>
            <w:noWrap/>
            <w:vAlign w:val="bottom"/>
            <w:hideMark/>
          </w:tcPr>
          <w:p w14:paraId="444CE125"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4662D12"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EDBE334" w14:textId="77777777" w:rsidR="00584C79" w:rsidRPr="00584C79" w:rsidRDefault="00584C79" w:rsidP="00584C79">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4A82FAA" w14:textId="77777777" w:rsidR="00584C79" w:rsidRPr="00584C79" w:rsidRDefault="00584C79" w:rsidP="00584C79">
            <w:pPr>
              <w:rPr>
                <w:rFonts w:eastAsia="Times New Roman" w:cs="Times New Roman"/>
              </w:rPr>
            </w:pPr>
          </w:p>
        </w:tc>
      </w:tr>
    </w:tbl>
    <w:p w14:paraId="05D220D1" w14:textId="77777777" w:rsidR="006D7554" w:rsidRPr="00A53C1D" w:rsidRDefault="006D7554">
      <w:pPr>
        <w:rPr>
          <w:rFonts w:cs="Times New Roman"/>
          <w:b/>
          <w:bCs/>
        </w:rPr>
      </w:pPr>
    </w:p>
    <w:p w14:paraId="150062C7" w14:textId="77777777" w:rsidR="00210063" w:rsidRPr="00A53C1D" w:rsidRDefault="00210063">
      <w:pPr>
        <w:rPr>
          <w:rFonts w:cs="Times New Roman"/>
          <w:b/>
          <w:bCs/>
        </w:rPr>
      </w:pPr>
    </w:p>
    <w:p w14:paraId="2C1E8475" w14:textId="77777777" w:rsidR="00210063" w:rsidRPr="00A53C1D" w:rsidRDefault="00210063">
      <w:pPr>
        <w:rPr>
          <w:rFonts w:cs="Times New Roman"/>
          <w:b/>
          <w:bCs/>
        </w:rPr>
      </w:pPr>
    </w:p>
    <w:p w14:paraId="7502126D" w14:textId="1C14026F" w:rsidR="00210063" w:rsidRPr="00A53C1D" w:rsidRDefault="00210063">
      <w:pPr>
        <w:rPr>
          <w:rFonts w:cs="Times New Roman"/>
          <w:b/>
          <w:bCs/>
        </w:rPr>
      </w:pPr>
      <w:r w:rsidRPr="00A53C1D">
        <w:rPr>
          <w:rFonts w:cs="Times New Roman"/>
          <w:b/>
          <w:bCs/>
        </w:rPr>
        <w:br w:type="page"/>
      </w:r>
    </w:p>
    <w:p w14:paraId="25587BEA" w14:textId="1EDE1DE8" w:rsidR="006C32C9" w:rsidRPr="006C32C9" w:rsidRDefault="006C32C9" w:rsidP="006C32C9">
      <w:pPr>
        <w:rPr>
          <w:rFonts w:cs="Times New Roman"/>
          <w:b/>
          <w:bCs/>
        </w:rPr>
      </w:pPr>
      <w:r w:rsidRPr="006C32C9">
        <w:rPr>
          <w:rFonts w:cs="Times New Roman"/>
          <w:b/>
          <w:bCs/>
        </w:rPr>
        <w:lastRenderedPageBreak/>
        <w:t xml:space="preserve">Table </w:t>
      </w:r>
      <w:r w:rsidR="00D76F98">
        <w:rPr>
          <w:rFonts w:cs="Times New Roman"/>
          <w:b/>
          <w:bCs/>
        </w:rPr>
        <w:t>3.</w:t>
      </w:r>
      <w:r w:rsidRPr="006C32C9">
        <w:rPr>
          <w:rFonts w:cs="Times New Roman"/>
          <w:b/>
          <w:bCs/>
        </w:rPr>
        <w:t>3 Linear mixed models testing the effects of habitat type, dominant blood meal, and blood meal richness on alpha diversity across Veraguas samples after accounting for triatomine age groups.</w:t>
      </w:r>
    </w:p>
    <w:p w14:paraId="4E968BC2" w14:textId="77777777" w:rsidR="006C32C9" w:rsidRPr="006C32C9" w:rsidRDefault="006C32C9" w:rsidP="006C32C9">
      <w:pPr>
        <w:rPr>
          <w:rFonts w:cs="Times New Roman"/>
        </w:rPr>
      </w:pPr>
      <w:r w:rsidRPr="006C32C9">
        <w:rPr>
          <w:rFonts w:cs="Times New Roman"/>
        </w:rPr>
        <w:t xml:space="preserve">Alpha diversity values were log-transformed prior to fitting and palm identity was included as a random effect. </w:t>
      </w:r>
    </w:p>
    <w:p w14:paraId="34DDD3EC" w14:textId="38461B3F" w:rsidR="00C54B74" w:rsidRDefault="006C32C9">
      <w:pPr>
        <w:rPr>
          <w:rFonts w:cs="Times New Roman"/>
        </w:rPr>
      </w:pPr>
      <w:r w:rsidRPr="006C32C9">
        <w:rPr>
          <w:rFonts w:cs="Times New Roman"/>
        </w:rPr>
        <w:t>Marginal R</w:t>
      </w:r>
      <w:r w:rsidRPr="00534DEE">
        <w:rPr>
          <w:rFonts w:cs="Times New Roman"/>
          <w:vertAlign w:val="superscript"/>
        </w:rPr>
        <w:t>2</w:t>
      </w:r>
      <w:r w:rsidRPr="006C32C9">
        <w:rPr>
          <w:rFonts w:cs="Times New Roman"/>
        </w:rPr>
        <w:t xml:space="preserve"> values were reported for full models and partial R2 values were reported for each covariate. Significant relationships are shown in bold.</w:t>
      </w:r>
    </w:p>
    <w:p w14:paraId="58431A37" w14:textId="77777777" w:rsidR="00D76F98" w:rsidRDefault="00D76F98">
      <w:pPr>
        <w:rPr>
          <w:rFonts w:cs="Times New Roman"/>
        </w:rPr>
      </w:pPr>
    </w:p>
    <w:p w14:paraId="50210EF6" w14:textId="77777777" w:rsidR="00D76F98" w:rsidRDefault="00D76F98">
      <w:pPr>
        <w:rPr>
          <w:rFonts w:cs="Times New Roman"/>
        </w:rPr>
      </w:pPr>
    </w:p>
    <w:p w14:paraId="2086FCB4" w14:textId="77777777" w:rsidR="00D76F98" w:rsidRPr="00D76F98" w:rsidRDefault="00D76F98">
      <w:pPr>
        <w:rPr>
          <w:rFonts w:cs="Times New Roman"/>
        </w:rPr>
      </w:pPr>
    </w:p>
    <w:tbl>
      <w:tblPr>
        <w:tblW w:w="12560" w:type="dxa"/>
        <w:tblLook w:val="04A0" w:firstRow="1" w:lastRow="0" w:firstColumn="1" w:lastColumn="0" w:noHBand="0" w:noVBand="1"/>
      </w:tblPr>
      <w:tblGrid>
        <w:gridCol w:w="3460"/>
        <w:gridCol w:w="1300"/>
        <w:gridCol w:w="1300"/>
        <w:gridCol w:w="1300"/>
        <w:gridCol w:w="1300"/>
        <w:gridCol w:w="1300"/>
        <w:gridCol w:w="1300"/>
        <w:gridCol w:w="1300"/>
      </w:tblGrid>
      <w:tr w:rsidR="00C54B74" w:rsidRPr="00C54B74" w14:paraId="2A70968A" w14:textId="77777777" w:rsidTr="00C54B74">
        <w:trPr>
          <w:trHeight w:val="380"/>
        </w:trPr>
        <w:tc>
          <w:tcPr>
            <w:tcW w:w="3460" w:type="dxa"/>
            <w:tcBorders>
              <w:top w:val="nil"/>
              <w:left w:val="nil"/>
              <w:bottom w:val="nil"/>
              <w:right w:val="nil"/>
            </w:tcBorders>
            <w:shd w:val="clear" w:color="auto" w:fill="auto"/>
            <w:noWrap/>
            <w:vAlign w:val="bottom"/>
            <w:hideMark/>
          </w:tcPr>
          <w:p w14:paraId="3313A155"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320FD05"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R^2</w:t>
            </w:r>
          </w:p>
        </w:tc>
        <w:tc>
          <w:tcPr>
            <w:tcW w:w="1300" w:type="dxa"/>
            <w:tcBorders>
              <w:top w:val="nil"/>
              <w:left w:val="nil"/>
              <w:bottom w:val="nil"/>
              <w:right w:val="nil"/>
            </w:tcBorders>
            <w:shd w:val="clear" w:color="auto" w:fill="auto"/>
            <w:noWrap/>
            <w:vAlign w:val="bottom"/>
            <w:hideMark/>
          </w:tcPr>
          <w:p w14:paraId="739752B3"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Sum SQ</w:t>
            </w:r>
          </w:p>
        </w:tc>
        <w:tc>
          <w:tcPr>
            <w:tcW w:w="1300" w:type="dxa"/>
            <w:tcBorders>
              <w:top w:val="nil"/>
              <w:left w:val="nil"/>
              <w:bottom w:val="nil"/>
              <w:right w:val="nil"/>
            </w:tcBorders>
            <w:shd w:val="clear" w:color="auto" w:fill="auto"/>
            <w:noWrap/>
            <w:vAlign w:val="bottom"/>
            <w:hideMark/>
          </w:tcPr>
          <w:p w14:paraId="0F4C8B7A"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Mean SQ</w:t>
            </w:r>
          </w:p>
        </w:tc>
        <w:tc>
          <w:tcPr>
            <w:tcW w:w="1300" w:type="dxa"/>
            <w:tcBorders>
              <w:top w:val="nil"/>
              <w:left w:val="nil"/>
              <w:bottom w:val="nil"/>
              <w:right w:val="nil"/>
            </w:tcBorders>
            <w:shd w:val="clear" w:color="auto" w:fill="auto"/>
            <w:noWrap/>
            <w:vAlign w:val="bottom"/>
            <w:hideMark/>
          </w:tcPr>
          <w:p w14:paraId="068F70E9"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NumDF</w:t>
            </w:r>
          </w:p>
        </w:tc>
        <w:tc>
          <w:tcPr>
            <w:tcW w:w="1300" w:type="dxa"/>
            <w:tcBorders>
              <w:top w:val="nil"/>
              <w:left w:val="nil"/>
              <w:bottom w:val="nil"/>
              <w:right w:val="nil"/>
            </w:tcBorders>
            <w:shd w:val="clear" w:color="auto" w:fill="auto"/>
            <w:noWrap/>
            <w:vAlign w:val="bottom"/>
            <w:hideMark/>
          </w:tcPr>
          <w:p w14:paraId="47EB46DA"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DenDF</w:t>
            </w:r>
          </w:p>
        </w:tc>
        <w:tc>
          <w:tcPr>
            <w:tcW w:w="1300" w:type="dxa"/>
            <w:tcBorders>
              <w:top w:val="nil"/>
              <w:left w:val="nil"/>
              <w:bottom w:val="nil"/>
              <w:right w:val="nil"/>
            </w:tcBorders>
            <w:shd w:val="clear" w:color="auto" w:fill="auto"/>
            <w:noWrap/>
            <w:vAlign w:val="bottom"/>
            <w:hideMark/>
          </w:tcPr>
          <w:p w14:paraId="2809F97B"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F Statistic</w:t>
            </w:r>
          </w:p>
        </w:tc>
        <w:tc>
          <w:tcPr>
            <w:tcW w:w="1300" w:type="dxa"/>
            <w:tcBorders>
              <w:top w:val="nil"/>
              <w:left w:val="nil"/>
              <w:bottom w:val="nil"/>
              <w:right w:val="nil"/>
            </w:tcBorders>
            <w:shd w:val="clear" w:color="auto" w:fill="auto"/>
            <w:noWrap/>
            <w:vAlign w:val="bottom"/>
            <w:hideMark/>
          </w:tcPr>
          <w:p w14:paraId="21B4A6D2"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p value</w:t>
            </w:r>
          </w:p>
        </w:tc>
      </w:tr>
      <w:tr w:rsidR="00C54B74" w:rsidRPr="00C54B74" w14:paraId="320D8058" w14:textId="77777777" w:rsidTr="00C54B74">
        <w:trPr>
          <w:trHeight w:val="380"/>
        </w:trPr>
        <w:tc>
          <w:tcPr>
            <w:tcW w:w="3460" w:type="dxa"/>
            <w:tcBorders>
              <w:top w:val="nil"/>
              <w:left w:val="nil"/>
              <w:bottom w:val="nil"/>
              <w:right w:val="nil"/>
            </w:tcBorders>
            <w:shd w:val="clear" w:color="auto" w:fill="auto"/>
            <w:noWrap/>
            <w:vAlign w:val="bottom"/>
            <w:hideMark/>
          </w:tcPr>
          <w:p w14:paraId="3C4BF437" w14:textId="77777777" w:rsidR="00C54B74" w:rsidRPr="00C54B74" w:rsidRDefault="00C54B74" w:rsidP="00C54B74">
            <w:pPr>
              <w:rPr>
                <w:rFonts w:eastAsia="Times New Roman" w:cs="Times New Roman"/>
                <w:b/>
                <w:bCs/>
                <w:color w:val="000000"/>
              </w:rPr>
            </w:pPr>
            <w:r w:rsidRPr="00C54B74">
              <w:rPr>
                <w:rFonts w:eastAsia="Times New Roman" w:cs="Times New Roman"/>
                <w:b/>
                <w:bCs/>
                <w:color w:val="000000"/>
              </w:rPr>
              <w:t>ASV Richness</w:t>
            </w:r>
          </w:p>
        </w:tc>
        <w:tc>
          <w:tcPr>
            <w:tcW w:w="1300" w:type="dxa"/>
            <w:tcBorders>
              <w:top w:val="nil"/>
              <w:left w:val="nil"/>
              <w:bottom w:val="nil"/>
              <w:right w:val="nil"/>
            </w:tcBorders>
            <w:shd w:val="clear" w:color="auto" w:fill="auto"/>
            <w:noWrap/>
            <w:vAlign w:val="bottom"/>
            <w:hideMark/>
          </w:tcPr>
          <w:p w14:paraId="48E4B1C7" w14:textId="77777777" w:rsidR="00C54B74" w:rsidRPr="00C54B74" w:rsidRDefault="00C54B74" w:rsidP="00C54B74">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08850A4B"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2E8A168"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184FB87"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5B267D9"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846C8B2"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E8E3ED5" w14:textId="77777777" w:rsidR="00C54B74" w:rsidRPr="00C54B74" w:rsidRDefault="00C54B74" w:rsidP="00C54B74">
            <w:pPr>
              <w:rPr>
                <w:rFonts w:eastAsia="Times New Roman" w:cs="Times New Roman"/>
              </w:rPr>
            </w:pPr>
          </w:p>
        </w:tc>
      </w:tr>
      <w:tr w:rsidR="00C54B74" w:rsidRPr="00C54B74" w14:paraId="73BCAC07" w14:textId="77777777" w:rsidTr="00C54B74">
        <w:trPr>
          <w:trHeight w:val="380"/>
        </w:trPr>
        <w:tc>
          <w:tcPr>
            <w:tcW w:w="3460" w:type="dxa"/>
            <w:tcBorders>
              <w:top w:val="nil"/>
              <w:left w:val="nil"/>
              <w:bottom w:val="nil"/>
              <w:right w:val="nil"/>
            </w:tcBorders>
            <w:shd w:val="clear" w:color="auto" w:fill="auto"/>
            <w:noWrap/>
            <w:vAlign w:val="bottom"/>
            <w:hideMark/>
          </w:tcPr>
          <w:p w14:paraId="4B017953"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12983853"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0.0058</w:t>
            </w:r>
          </w:p>
        </w:tc>
        <w:tc>
          <w:tcPr>
            <w:tcW w:w="1300" w:type="dxa"/>
            <w:tcBorders>
              <w:top w:val="nil"/>
              <w:left w:val="nil"/>
              <w:bottom w:val="nil"/>
              <w:right w:val="nil"/>
            </w:tcBorders>
            <w:shd w:val="clear" w:color="auto" w:fill="auto"/>
            <w:noWrap/>
            <w:vAlign w:val="bottom"/>
            <w:hideMark/>
          </w:tcPr>
          <w:p w14:paraId="74B5937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0.052136</w:t>
            </w:r>
          </w:p>
        </w:tc>
        <w:tc>
          <w:tcPr>
            <w:tcW w:w="1300" w:type="dxa"/>
            <w:tcBorders>
              <w:top w:val="nil"/>
              <w:left w:val="nil"/>
              <w:bottom w:val="nil"/>
              <w:right w:val="nil"/>
            </w:tcBorders>
            <w:shd w:val="clear" w:color="auto" w:fill="auto"/>
            <w:noWrap/>
            <w:vAlign w:val="bottom"/>
            <w:hideMark/>
          </w:tcPr>
          <w:p w14:paraId="74E6B808"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0.052136</w:t>
            </w:r>
          </w:p>
        </w:tc>
        <w:tc>
          <w:tcPr>
            <w:tcW w:w="1300" w:type="dxa"/>
            <w:tcBorders>
              <w:top w:val="nil"/>
              <w:left w:val="nil"/>
              <w:bottom w:val="nil"/>
              <w:right w:val="nil"/>
            </w:tcBorders>
            <w:shd w:val="clear" w:color="auto" w:fill="auto"/>
            <w:noWrap/>
            <w:vAlign w:val="bottom"/>
            <w:hideMark/>
          </w:tcPr>
          <w:p w14:paraId="522F048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70CD0E4C"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84.829</w:t>
            </w:r>
          </w:p>
        </w:tc>
        <w:tc>
          <w:tcPr>
            <w:tcW w:w="1300" w:type="dxa"/>
            <w:tcBorders>
              <w:top w:val="nil"/>
              <w:left w:val="nil"/>
              <w:bottom w:val="nil"/>
              <w:right w:val="nil"/>
            </w:tcBorders>
            <w:shd w:val="clear" w:color="auto" w:fill="auto"/>
            <w:noWrap/>
            <w:vAlign w:val="bottom"/>
            <w:hideMark/>
          </w:tcPr>
          <w:p w14:paraId="05AA6B5B"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0.862</w:t>
            </w:r>
          </w:p>
        </w:tc>
        <w:tc>
          <w:tcPr>
            <w:tcW w:w="1300" w:type="dxa"/>
            <w:tcBorders>
              <w:top w:val="nil"/>
              <w:left w:val="nil"/>
              <w:bottom w:val="nil"/>
              <w:right w:val="nil"/>
            </w:tcBorders>
            <w:shd w:val="clear" w:color="auto" w:fill="auto"/>
            <w:noWrap/>
            <w:vAlign w:val="bottom"/>
            <w:hideMark/>
          </w:tcPr>
          <w:p w14:paraId="75E52B57"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0.3558</w:t>
            </w:r>
          </w:p>
        </w:tc>
      </w:tr>
      <w:tr w:rsidR="00C54B74" w:rsidRPr="00C54B74" w14:paraId="3FAAB059" w14:textId="77777777" w:rsidTr="00C54B74">
        <w:trPr>
          <w:trHeight w:val="380"/>
        </w:trPr>
        <w:tc>
          <w:tcPr>
            <w:tcW w:w="3460" w:type="dxa"/>
            <w:tcBorders>
              <w:top w:val="nil"/>
              <w:left w:val="nil"/>
              <w:bottom w:val="nil"/>
              <w:right w:val="nil"/>
            </w:tcBorders>
            <w:shd w:val="clear" w:color="auto" w:fill="auto"/>
            <w:noWrap/>
            <w:vAlign w:val="bottom"/>
            <w:hideMark/>
          </w:tcPr>
          <w:p w14:paraId="28207976"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00E07385"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w:t>
            </w:r>
          </w:p>
        </w:tc>
        <w:tc>
          <w:tcPr>
            <w:tcW w:w="1300" w:type="dxa"/>
            <w:tcBorders>
              <w:top w:val="nil"/>
              <w:left w:val="nil"/>
              <w:bottom w:val="nil"/>
              <w:right w:val="nil"/>
            </w:tcBorders>
            <w:shd w:val="clear" w:color="auto" w:fill="auto"/>
            <w:noWrap/>
            <w:vAlign w:val="bottom"/>
            <w:hideMark/>
          </w:tcPr>
          <w:p w14:paraId="3DBC6C0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0.011168</w:t>
            </w:r>
          </w:p>
        </w:tc>
        <w:tc>
          <w:tcPr>
            <w:tcW w:w="1300" w:type="dxa"/>
            <w:tcBorders>
              <w:top w:val="nil"/>
              <w:left w:val="nil"/>
              <w:bottom w:val="nil"/>
              <w:right w:val="nil"/>
            </w:tcBorders>
            <w:shd w:val="clear" w:color="auto" w:fill="auto"/>
            <w:noWrap/>
            <w:vAlign w:val="bottom"/>
            <w:hideMark/>
          </w:tcPr>
          <w:p w14:paraId="00889FD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0.005584</w:t>
            </w:r>
          </w:p>
        </w:tc>
        <w:tc>
          <w:tcPr>
            <w:tcW w:w="1300" w:type="dxa"/>
            <w:tcBorders>
              <w:top w:val="nil"/>
              <w:left w:val="nil"/>
              <w:bottom w:val="nil"/>
              <w:right w:val="nil"/>
            </w:tcBorders>
            <w:shd w:val="clear" w:color="auto" w:fill="auto"/>
            <w:noWrap/>
            <w:vAlign w:val="bottom"/>
            <w:hideMark/>
          </w:tcPr>
          <w:p w14:paraId="14698807"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2F942480"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9.695</w:t>
            </w:r>
          </w:p>
        </w:tc>
        <w:tc>
          <w:tcPr>
            <w:tcW w:w="1300" w:type="dxa"/>
            <w:tcBorders>
              <w:top w:val="nil"/>
              <w:left w:val="nil"/>
              <w:bottom w:val="nil"/>
              <w:right w:val="nil"/>
            </w:tcBorders>
            <w:shd w:val="clear" w:color="auto" w:fill="auto"/>
            <w:noWrap/>
            <w:vAlign w:val="bottom"/>
            <w:hideMark/>
          </w:tcPr>
          <w:p w14:paraId="61490B11"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0.0923</w:t>
            </w:r>
          </w:p>
        </w:tc>
        <w:tc>
          <w:tcPr>
            <w:tcW w:w="1300" w:type="dxa"/>
            <w:tcBorders>
              <w:top w:val="nil"/>
              <w:left w:val="nil"/>
              <w:bottom w:val="nil"/>
              <w:right w:val="nil"/>
            </w:tcBorders>
            <w:shd w:val="clear" w:color="auto" w:fill="auto"/>
            <w:noWrap/>
            <w:vAlign w:val="bottom"/>
            <w:hideMark/>
          </w:tcPr>
          <w:p w14:paraId="4A3A7516"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0.9126</w:t>
            </w:r>
          </w:p>
        </w:tc>
      </w:tr>
      <w:tr w:rsidR="00C54B74" w:rsidRPr="00C54B74" w14:paraId="1971CA0F" w14:textId="77777777" w:rsidTr="00C54B74">
        <w:trPr>
          <w:trHeight w:val="380"/>
        </w:trPr>
        <w:tc>
          <w:tcPr>
            <w:tcW w:w="3460" w:type="dxa"/>
            <w:tcBorders>
              <w:top w:val="nil"/>
              <w:left w:val="nil"/>
              <w:bottom w:val="nil"/>
              <w:right w:val="nil"/>
            </w:tcBorders>
            <w:shd w:val="clear" w:color="auto" w:fill="auto"/>
            <w:noWrap/>
            <w:vAlign w:val="bottom"/>
            <w:hideMark/>
          </w:tcPr>
          <w:p w14:paraId="123C1AA1"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26D6533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0.0279</w:t>
            </w:r>
          </w:p>
        </w:tc>
        <w:tc>
          <w:tcPr>
            <w:tcW w:w="1300" w:type="dxa"/>
            <w:tcBorders>
              <w:top w:val="nil"/>
              <w:left w:val="nil"/>
              <w:bottom w:val="nil"/>
              <w:right w:val="nil"/>
            </w:tcBorders>
            <w:shd w:val="clear" w:color="auto" w:fill="auto"/>
            <w:noWrap/>
            <w:vAlign w:val="bottom"/>
            <w:hideMark/>
          </w:tcPr>
          <w:p w14:paraId="0743AF8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0.227848</w:t>
            </w:r>
          </w:p>
        </w:tc>
        <w:tc>
          <w:tcPr>
            <w:tcW w:w="1300" w:type="dxa"/>
            <w:tcBorders>
              <w:top w:val="nil"/>
              <w:left w:val="nil"/>
              <w:bottom w:val="nil"/>
              <w:right w:val="nil"/>
            </w:tcBorders>
            <w:shd w:val="clear" w:color="auto" w:fill="auto"/>
            <w:noWrap/>
            <w:vAlign w:val="bottom"/>
            <w:hideMark/>
          </w:tcPr>
          <w:p w14:paraId="4AB10D7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0.075949</w:t>
            </w:r>
          </w:p>
        </w:tc>
        <w:tc>
          <w:tcPr>
            <w:tcW w:w="1300" w:type="dxa"/>
            <w:tcBorders>
              <w:top w:val="nil"/>
              <w:left w:val="nil"/>
              <w:bottom w:val="nil"/>
              <w:right w:val="nil"/>
            </w:tcBorders>
            <w:shd w:val="clear" w:color="auto" w:fill="auto"/>
            <w:noWrap/>
            <w:vAlign w:val="bottom"/>
            <w:hideMark/>
          </w:tcPr>
          <w:p w14:paraId="055E0551"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02FEB6AB"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84.858</w:t>
            </w:r>
          </w:p>
        </w:tc>
        <w:tc>
          <w:tcPr>
            <w:tcW w:w="1300" w:type="dxa"/>
            <w:tcBorders>
              <w:top w:val="nil"/>
              <w:left w:val="nil"/>
              <w:bottom w:val="nil"/>
              <w:right w:val="nil"/>
            </w:tcBorders>
            <w:shd w:val="clear" w:color="auto" w:fill="auto"/>
            <w:noWrap/>
            <w:vAlign w:val="bottom"/>
            <w:hideMark/>
          </w:tcPr>
          <w:p w14:paraId="00B2611E"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1.2557</w:t>
            </w:r>
          </w:p>
        </w:tc>
        <w:tc>
          <w:tcPr>
            <w:tcW w:w="1300" w:type="dxa"/>
            <w:tcBorders>
              <w:top w:val="nil"/>
              <w:left w:val="nil"/>
              <w:bottom w:val="nil"/>
              <w:right w:val="nil"/>
            </w:tcBorders>
            <w:shd w:val="clear" w:color="auto" w:fill="auto"/>
            <w:noWrap/>
            <w:vAlign w:val="bottom"/>
            <w:hideMark/>
          </w:tcPr>
          <w:p w14:paraId="564468B5"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0.2948</w:t>
            </w:r>
          </w:p>
        </w:tc>
      </w:tr>
      <w:tr w:rsidR="00C54B74" w:rsidRPr="00C54B74" w14:paraId="60C20654" w14:textId="77777777" w:rsidTr="00C54B74">
        <w:trPr>
          <w:trHeight w:val="380"/>
        </w:trPr>
        <w:tc>
          <w:tcPr>
            <w:tcW w:w="3460" w:type="dxa"/>
            <w:tcBorders>
              <w:top w:val="nil"/>
              <w:left w:val="nil"/>
              <w:bottom w:val="nil"/>
              <w:right w:val="nil"/>
            </w:tcBorders>
            <w:shd w:val="clear" w:color="auto" w:fill="auto"/>
            <w:noWrap/>
            <w:vAlign w:val="bottom"/>
            <w:hideMark/>
          </w:tcPr>
          <w:p w14:paraId="3D614DCF"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58F2C60E"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0.0178</w:t>
            </w:r>
          </w:p>
        </w:tc>
        <w:tc>
          <w:tcPr>
            <w:tcW w:w="1300" w:type="dxa"/>
            <w:tcBorders>
              <w:top w:val="nil"/>
              <w:left w:val="nil"/>
              <w:bottom w:val="nil"/>
              <w:right w:val="nil"/>
            </w:tcBorders>
            <w:shd w:val="clear" w:color="auto" w:fill="auto"/>
            <w:noWrap/>
            <w:vAlign w:val="bottom"/>
            <w:hideMark/>
          </w:tcPr>
          <w:p w14:paraId="74A4E857"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0.101257</w:t>
            </w:r>
          </w:p>
        </w:tc>
        <w:tc>
          <w:tcPr>
            <w:tcW w:w="1300" w:type="dxa"/>
            <w:tcBorders>
              <w:top w:val="nil"/>
              <w:left w:val="nil"/>
              <w:bottom w:val="nil"/>
              <w:right w:val="nil"/>
            </w:tcBorders>
            <w:shd w:val="clear" w:color="auto" w:fill="auto"/>
            <w:noWrap/>
            <w:vAlign w:val="bottom"/>
            <w:hideMark/>
          </w:tcPr>
          <w:p w14:paraId="757248F7"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0.033752</w:t>
            </w:r>
          </w:p>
        </w:tc>
        <w:tc>
          <w:tcPr>
            <w:tcW w:w="1300" w:type="dxa"/>
            <w:tcBorders>
              <w:top w:val="nil"/>
              <w:left w:val="nil"/>
              <w:bottom w:val="nil"/>
              <w:right w:val="nil"/>
            </w:tcBorders>
            <w:shd w:val="clear" w:color="auto" w:fill="auto"/>
            <w:noWrap/>
            <w:vAlign w:val="bottom"/>
            <w:hideMark/>
          </w:tcPr>
          <w:p w14:paraId="3C661335"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32FBAC40"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38.055</w:t>
            </w:r>
          </w:p>
        </w:tc>
        <w:tc>
          <w:tcPr>
            <w:tcW w:w="1300" w:type="dxa"/>
            <w:tcBorders>
              <w:top w:val="nil"/>
              <w:left w:val="nil"/>
              <w:bottom w:val="nil"/>
              <w:right w:val="nil"/>
            </w:tcBorders>
            <w:shd w:val="clear" w:color="auto" w:fill="auto"/>
            <w:noWrap/>
            <w:vAlign w:val="bottom"/>
            <w:hideMark/>
          </w:tcPr>
          <w:p w14:paraId="7C0BDE7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0.5581</w:t>
            </w:r>
          </w:p>
        </w:tc>
        <w:tc>
          <w:tcPr>
            <w:tcW w:w="1300" w:type="dxa"/>
            <w:tcBorders>
              <w:top w:val="nil"/>
              <w:left w:val="nil"/>
              <w:bottom w:val="nil"/>
              <w:right w:val="nil"/>
            </w:tcBorders>
            <w:shd w:val="clear" w:color="auto" w:fill="auto"/>
            <w:noWrap/>
            <w:vAlign w:val="bottom"/>
            <w:hideMark/>
          </w:tcPr>
          <w:p w14:paraId="6E62D63E"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0.6459</w:t>
            </w:r>
          </w:p>
        </w:tc>
      </w:tr>
      <w:tr w:rsidR="00C54B74" w:rsidRPr="00C54B74" w14:paraId="146F3DF4" w14:textId="77777777" w:rsidTr="00C54B74">
        <w:trPr>
          <w:trHeight w:val="380"/>
        </w:trPr>
        <w:tc>
          <w:tcPr>
            <w:tcW w:w="3460" w:type="dxa"/>
            <w:tcBorders>
              <w:top w:val="nil"/>
              <w:left w:val="nil"/>
              <w:bottom w:val="nil"/>
              <w:right w:val="nil"/>
            </w:tcBorders>
            <w:shd w:val="clear" w:color="auto" w:fill="auto"/>
            <w:noWrap/>
            <w:vAlign w:val="bottom"/>
            <w:hideMark/>
          </w:tcPr>
          <w:p w14:paraId="0E799D75"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6A9A5C48"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0.0602</w:t>
            </w:r>
          </w:p>
        </w:tc>
        <w:tc>
          <w:tcPr>
            <w:tcW w:w="1300" w:type="dxa"/>
            <w:tcBorders>
              <w:top w:val="nil"/>
              <w:left w:val="nil"/>
              <w:bottom w:val="nil"/>
              <w:right w:val="nil"/>
            </w:tcBorders>
            <w:shd w:val="clear" w:color="auto" w:fill="auto"/>
            <w:noWrap/>
            <w:vAlign w:val="bottom"/>
            <w:hideMark/>
          </w:tcPr>
          <w:p w14:paraId="3ED31AA3" w14:textId="77777777" w:rsidR="00C54B74" w:rsidRPr="00C54B74" w:rsidRDefault="00C54B74" w:rsidP="00C54B74">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43B1A8F2"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1AB1B91"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C4D405F"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AAB6D47"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D8C24DE" w14:textId="77777777" w:rsidR="00C54B74" w:rsidRPr="00C54B74" w:rsidRDefault="00C54B74" w:rsidP="00C54B74">
            <w:pPr>
              <w:rPr>
                <w:rFonts w:eastAsia="Times New Roman" w:cs="Times New Roman"/>
              </w:rPr>
            </w:pPr>
          </w:p>
        </w:tc>
      </w:tr>
      <w:tr w:rsidR="00C54B74" w:rsidRPr="00C54B74" w14:paraId="4346AB6E" w14:textId="77777777" w:rsidTr="00C54B74">
        <w:trPr>
          <w:trHeight w:val="380"/>
        </w:trPr>
        <w:tc>
          <w:tcPr>
            <w:tcW w:w="3460" w:type="dxa"/>
            <w:tcBorders>
              <w:top w:val="nil"/>
              <w:left w:val="nil"/>
              <w:bottom w:val="nil"/>
              <w:right w:val="nil"/>
            </w:tcBorders>
            <w:shd w:val="clear" w:color="auto" w:fill="auto"/>
            <w:noWrap/>
            <w:vAlign w:val="bottom"/>
            <w:hideMark/>
          </w:tcPr>
          <w:p w14:paraId="0AA8834C"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DC1C349"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D6DCF11"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8AD8948"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4785B49"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852C7F9"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ACE8E18"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12E2B79" w14:textId="77777777" w:rsidR="00C54B74" w:rsidRPr="00C54B74" w:rsidRDefault="00C54B74" w:rsidP="00C54B74">
            <w:pPr>
              <w:rPr>
                <w:rFonts w:eastAsia="Times New Roman" w:cs="Times New Roman"/>
              </w:rPr>
            </w:pPr>
          </w:p>
        </w:tc>
      </w:tr>
      <w:tr w:rsidR="00C54B74" w:rsidRPr="00C54B74" w14:paraId="37E05BD4" w14:textId="77777777" w:rsidTr="00C54B74">
        <w:trPr>
          <w:trHeight w:val="380"/>
        </w:trPr>
        <w:tc>
          <w:tcPr>
            <w:tcW w:w="3460" w:type="dxa"/>
            <w:tcBorders>
              <w:top w:val="nil"/>
              <w:left w:val="nil"/>
              <w:bottom w:val="nil"/>
              <w:right w:val="nil"/>
            </w:tcBorders>
            <w:shd w:val="clear" w:color="auto" w:fill="auto"/>
            <w:noWrap/>
            <w:vAlign w:val="bottom"/>
            <w:hideMark/>
          </w:tcPr>
          <w:p w14:paraId="092B7913" w14:textId="42F720F1" w:rsidR="00C54B74" w:rsidRPr="00C54B74" w:rsidRDefault="00C54B74" w:rsidP="00C54B74">
            <w:pPr>
              <w:rPr>
                <w:rFonts w:eastAsia="Times New Roman" w:cs="Times New Roman"/>
                <w:b/>
                <w:bCs/>
                <w:color w:val="000000"/>
              </w:rPr>
            </w:pPr>
            <w:r w:rsidRPr="00C54B74">
              <w:rPr>
                <w:rFonts w:eastAsia="Times New Roman" w:cs="Times New Roman"/>
                <w:b/>
                <w:bCs/>
                <w:color w:val="000000"/>
              </w:rPr>
              <w:t xml:space="preserve">Shannon </w:t>
            </w:r>
          </w:p>
        </w:tc>
        <w:tc>
          <w:tcPr>
            <w:tcW w:w="1300" w:type="dxa"/>
            <w:tcBorders>
              <w:top w:val="nil"/>
              <w:left w:val="nil"/>
              <w:bottom w:val="nil"/>
              <w:right w:val="nil"/>
            </w:tcBorders>
            <w:shd w:val="clear" w:color="auto" w:fill="auto"/>
            <w:noWrap/>
            <w:vAlign w:val="bottom"/>
            <w:hideMark/>
          </w:tcPr>
          <w:p w14:paraId="63D086C5" w14:textId="77777777" w:rsidR="00C54B74" w:rsidRPr="00C54B74" w:rsidRDefault="00C54B74" w:rsidP="00C54B74">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51CF2E99"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43B872A"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ABD1918"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3788875"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217C912"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58985D6" w14:textId="77777777" w:rsidR="00C54B74" w:rsidRPr="00C54B74" w:rsidRDefault="00C54B74" w:rsidP="00C54B74">
            <w:pPr>
              <w:rPr>
                <w:rFonts w:eastAsia="Times New Roman" w:cs="Times New Roman"/>
              </w:rPr>
            </w:pPr>
          </w:p>
        </w:tc>
      </w:tr>
      <w:tr w:rsidR="00C54B74" w:rsidRPr="00C54B74" w14:paraId="032F7654" w14:textId="77777777" w:rsidTr="00C54B74">
        <w:trPr>
          <w:trHeight w:val="380"/>
        </w:trPr>
        <w:tc>
          <w:tcPr>
            <w:tcW w:w="3460" w:type="dxa"/>
            <w:tcBorders>
              <w:top w:val="nil"/>
              <w:left w:val="nil"/>
              <w:bottom w:val="nil"/>
              <w:right w:val="nil"/>
            </w:tcBorders>
            <w:shd w:val="clear" w:color="auto" w:fill="auto"/>
            <w:noWrap/>
            <w:vAlign w:val="bottom"/>
            <w:hideMark/>
          </w:tcPr>
          <w:p w14:paraId="352F9BDF"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7E7B9B4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0.0279</w:t>
            </w:r>
          </w:p>
        </w:tc>
        <w:tc>
          <w:tcPr>
            <w:tcW w:w="1300" w:type="dxa"/>
            <w:tcBorders>
              <w:top w:val="nil"/>
              <w:left w:val="nil"/>
              <w:bottom w:val="nil"/>
              <w:right w:val="nil"/>
            </w:tcBorders>
            <w:shd w:val="clear" w:color="auto" w:fill="auto"/>
            <w:noWrap/>
            <w:vAlign w:val="bottom"/>
            <w:hideMark/>
          </w:tcPr>
          <w:p w14:paraId="67007710"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0.1637</w:t>
            </w:r>
          </w:p>
        </w:tc>
        <w:tc>
          <w:tcPr>
            <w:tcW w:w="1300" w:type="dxa"/>
            <w:tcBorders>
              <w:top w:val="nil"/>
              <w:left w:val="nil"/>
              <w:bottom w:val="nil"/>
              <w:right w:val="nil"/>
            </w:tcBorders>
            <w:shd w:val="clear" w:color="auto" w:fill="auto"/>
            <w:noWrap/>
            <w:vAlign w:val="bottom"/>
            <w:hideMark/>
          </w:tcPr>
          <w:p w14:paraId="17E4884B"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0.163696</w:t>
            </w:r>
          </w:p>
        </w:tc>
        <w:tc>
          <w:tcPr>
            <w:tcW w:w="1300" w:type="dxa"/>
            <w:tcBorders>
              <w:top w:val="nil"/>
              <w:left w:val="nil"/>
              <w:bottom w:val="nil"/>
              <w:right w:val="nil"/>
            </w:tcBorders>
            <w:shd w:val="clear" w:color="auto" w:fill="auto"/>
            <w:noWrap/>
            <w:vAlign w:val="bottom"/>
            <w:hideMark/>
          </w:tcPr>
          <w:p w14:paraId="354D52CE"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726E6D18"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85.021</w:t>
            </w:r>
          </w:p>
        </w:tc>
        <w:tc>
          <w:tcPr>
            <w:tcW w:w="1300" w:type="dxa"/>
            <w:tcBorders>
              <w:top w:val="nil"/>
              <w:left w:val="nil"/>
              <w:bottom w:val="nil"/>
              <w:right w:val="nil"/>
            </w:tcBorders>
            <w:shd w:val="clear" w:color="auto" w:fill="auto"/>
            <w:noWrap/>
            <w:vAlign w:val="bottom"/>
            <w:hideMark/>
          </w:tcPr>
          <w:p w14:paraId="115C1DC5"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5.1699</w:t>
            </w:r>
          </w:p>
        </w:tc>
        <w:tc>
          <w:tcPr>
            <w:tcW w:w="1300" w:type="dxa"/>
            <w:tcBorders>
              <w:top w:val="nil"/>
              <w:left w:val="nil"/>
              <w:bottom w:val="nil"/>
              <w:right w:val="nil"/>
            </w:tcBorders>
            <w:shd w:val="clear" w:color="auto" w:fill="auto"/>
            <w:noWrap/>
            <w:vAlign w:val="bottom"/>
            <w:hideMark/>
          </w:tcPr>
          <w:p w14:paraId="15EEBF59" w14:textId="77777777" w:rsidR="00C54B74" w:rsidRPr="00C54B74" w:rsidRDefault="00C54B74" w:rsidP="00C54B74">
            <w:pPr>
              <w:jc w:val="right"/>
              <w:rPr>
                <w:rFonts w:eastAsia="Times New Roman" w:cs="Times New Roman"/>
                <w:b/>
                <w:bCs/>
                <w:color w:val="000000"/>
              </w:rPr>
            </w:pPr>
            <w:r w:rsidRPr="00C54B74">
              <w:rPr>
                <w:rFonts w:eastAsia="Times New Roman" w:cs="Times New Roman"/>
                <w:b/>
                <w:bCs/>
                <w:color w:val="000000"/>
              </w:rPr>
              <w:t>0.0255</w:t>
            </w:r>
          </w:p>
        </w:tc>
      </w:tr>
      <w:tr w:rsidR="00C54B74" w:rsidRPr="00C54B74" w14:paraId="2E942BFE" w14:textId="77777777" w:rsidTr="00C54B74">
        <w:trPr>
          <w:trHeight w:val="380"/>
        </w:trPr>
        <w:tc>
          <w:tcPr>
            <w:tcW w:w="3460" w:type="dxa"/>
            <w:tcBorders>
              <w:top w:val="nil"/>
              <w:left w:val="nil"/>
              <w:bottom w:val="nil"/>
              <w:right w:val="nil"/>
            </w:tcBorders>
            <w:shd w:val="clear" w:color="auto" w:fill="auto"/>
            <w:noWrap/>
            <w:vAlign w:val="bottom"/>
            <w:hideMark/>
          </w:tcPr>
          <w:p w14:paraId="4EDB2272"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47C55685"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0.0294</w:t>
            </w:r>
          </w:p>
        </w:tc>
        <w:tc>
          <w:tcPr>
            <w:tcW w:w="1300" w:type="dxa"/>
            <w:tcBorders>
              <w:top w:val="nil"/>
              <w:left w:val="nil"/>
              <w:bottom w:val="nil"/>
              <w:right w:val="nil"/>
            </w:tcBorders>
            <w:shd w:val="clear" w:color="auto" w:fill="auto"/>
            <w:noWrap/>
            <w:vAlign w:val="bottom"/>
            <w:hideMark/>
          </w:tcPr>
          <w:p w14:paraId="7894F465"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0.0412</w:t>
            </w:r>
          </w:p>
        </w:tc>
        <w:tc>
          <w:tcPr>
            <w:tcW w:w="1300" w:type="dxa"/>
            <w:tcBorders>
              <w:top w:val="nil"/>
              <w:left w:val="nil"/>
              <w:bottom w:val="nil"/>
              <w:right w:val="nil"/>
            </w:tcBorders>
            <w:shd w:val="clear" w:color="auto" w:fill="auto"/>
            <w:noWrap/>
            <w:vAlign w:val="bottom"/>
            <w:hideMark/>
          </w:tcPr>
          <w:p w14:paraId="0570BCDB"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0.0206</w:t>
            </w:r>
          </w:p>
        </w:tc>
        <w:tc>
          <w:tcPr>
            <w:tcW w:w="1300" w:type="dxa"/>
            <w:tcBorders>
              <w:top w:val="nil"/>
              <w:left w:val="nil"/>
              <w:bottom w:val="nil"/>
              <w:right w:val="nil"/>
            </w:tcBorders>
            <w:shd w:val="clear" w:color="auto" w:fill="auto"/>
            <w:noWrap/>
            <w:vAlign w:val="bottom"/>
            <w:hideMark/>
          </w:tcPr>
          <w:p w14:paraId="5109E24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033A3A33"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7.941</w:t>
            </w:r>
          </w:p>
        </w:tc>
        <w:tc>
          <w:tcPr>
            <w:tcW w:w="1300" w:type="dxa"/>
            <w:tcBorders>
              <w:top w:val="nil"/>
              <w:left w:val="nil"/>
              <w:bottom w:val="nil"/>
              <w:right w:val="nil"/>
            </w:tcBorders>
            <w:shd w:val="clear" w:color="auto" w:fill="auto"/>
            <w:noWrap/>
            <w:vAlign w:val="bottom"/>
            <w:hideMark/>
          </w:tcPr>
          <w:p w14:paraId="6BD774C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0.6506</w:t>
            </w:r>
          </w:p>
        </w:tc>
        <w:tc>
          <w:tcPr>
            <w:tcW w:w="1300" w:type="dxa"/>
            <w:tcBorders>
              <w:top w:val="nil"/>
              <w:left w:val="nil"/>
              <w:bottom w:val="nil"/>
              <w:right w:val="nil"/>
            </w:tcBorders>
            <w:shd w:val="clear" w:color="auto" w:fill="auto"/>
            <w:noWrap/>
            <w:vAlign w:val="bottom"/>
            <w:hideMark/>
          </w:tcPr>
          <w:p w14:paraId="43A8676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0.54745</w:t>
            </w:r>
          </w:p>
        </w:tc>
      </w:tr>
      <w:tr w:rsidR="00C54B74" w:rsidRPr="00C54B74" w14:paraId="17A0E8B0" w14:textId="77777777" w:rsidTr="00C54B74">
        <w:trPr>
          <w:trHeight w:val="380"/>
        </w:trPr>
        <w:tc>
          <w:tcPr>
            <w:tcW w:w="3460" w:type="dxa"/>
            <w:tcBorders>
              <w:top w:val="nil"/>
              <w:left w:val="nil"/>
              <w:bottom w:val="nil"/>
              <w:right w:val="nil"/>
            </w:tcBorders>
            <w:shd w:val="clear" w:color="auto" w:fill="auto"/>
            <w:noWrap/>
            <w:vAlign w:val="bottom"/>
            <w:hideMark/>
          </w:tcPr>
          <w:p w14:paraId="05688AFD"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16A8CBF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0.0627</w:t>
            </w:r>
          </w:p>
        </w:tc>
        <w:tc>
          <w:tcPr>
            <w:tcW w:w="1300" w:type="dxa"/>
            <w:tcBorders>
              <w:top w:val="nil"/>
              <w:left w:val="nil"/>
              <w:bottom w:val="nil"/>
              <w:right w:val="nil"/>
            </w:tcBorders>
            <w:shd w:val="clear" w:color="auto" w:fill="auto"/>
            <w:noWrap/>
            <w:vAlign w:val="bottom"/>
            <w:hideMark/>
          </w:tcPr>
          <w:p w14:paraId="64A5F4E8"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0.19862</w:t>
            </w:r>
          </w:p>
        </w:tc>
        <w:tc>
          <w:tcPr>
            <w:tcW w:w="1300" w:type="dxa"/>
            <w:tcBorders>
              <w:top w:val="nil"/>
              <w:left w:val="nil"/>
              <w:bottom w:val="nil"/>
              <w:right w:val="nil"/>
            </w:tcBorders>
            <w:shd w:val="clear" w:color="auto" w:fill="auto"/>
            <w:noWrap/>
            <w:vAlign w:val="bottom"/>
            <w:hideMark/>
          </w:tcPr>
          <w:p w14:paraId="4DB1663C"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0.066205</w:t>
            </w:r>
          </w:p>
        </w:tc>
        <w:tc>
          <w:tcPr>
            <w:tcW w:w="1300" w:type="dxa"/>
            <w:tcBorders>
              <w:top w:val="nil"/>
              <w:left w:val="nil"/>
              <w:bottom w:val="nil"/>
              <w:right w:val="nil"/>
            </w:tcBorders>
            <w:shd w:val="clear" w:color="auto" w:fill="auto"/>
            <w:noWrap/>
            <w:vAlign w:val="bottom"/>
            <w:hideMark/>
          </w:tcPr>
          <w:p w14:paraId="29ABF29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4486B983"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85.078</w:t>
            </w:r>
          </w:p>
        </w:tc>
        <w:tc>
          <w:tcPr>
            <w:tcW w:w="1300" w:type="dxa"/>
            <w:tcBorders>
              <w:top w:val="nil"/>
              <w:left w:val="nil"/>
              <w:bottom w:val="nil"/>
              <w:right w:val="nil"/>
            </w:tcBorders>
            <w:shd w:val="clear" w:color="auto" w:fill="auto"/>
            <w:noWrap/>
            <w:vAlign w:val="bottom"/>
            <w:hideMark/>
          </w:tcPr>
          <w:p w14:paraId="7F87BFEF"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2.0909</w:t>
            </w:r>
          </w:p>
        </w:tc>
        <w:tc>
          <w:tcPr>
            <w:tcW w:w="1300" w:type="dxa"/>
            <w:tcBorders>
              <w:top w:val="nil"/>
              <w:left w:val="nil"/>
              <w:bottom w:val="nil"/>
              <w:right w:val="nil"/>
            </w:tcBorders>
            <w:shd w:val="clear" w:color="auto" w:fill="auto"/>
            <w:noWrap/>
            <w:vAlign w:val="bottom"/>
            <w:hideMark/>
          </w:tcPr>
          <w:p w14:paraId="15DB42D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0.10743</w:t>
            </w:r>
          </w:p>
        </w:tc>
      </w:tr>
      <w:tr w:rsidR="00C54B74" w:rsidRPr="00C54B74" w14:paraId="474CA1A3" w14:textId="77777777" w:rsidTr="00C54B74">
        <w:trPr>
          <w:trHeight w:val="380"/>
        </w:trPr>
        <w:tc>
          <w:tcPr>
            <w:tcW w:w="3460" w:type="dxa"/>
            <w:tcBorders>
              <w:top w:val="nil"/>
              <w:left w:val="nil"/>
              <w:bottom w:val="nil"/>
              <w:right w:val="nil"/>
            </w:tcBorders>
            <w:shd w:val="clear" w:color="auto" w:fill="auto"/>
            <w:noWrap/>
            <w:vAlign w:val="bottom"/>
            <w:hideMark/>
          </w:tcPr>
          <w:p w14:paraId="130B5798"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352C29C7"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0.0706</w:t>
            </w:r>
          </w:p>
        </w:tc>
        <w:tc>
          <w:tcPr>
            <w:tcW w:w="1300" w:type="dxa"/>
            <w:tcBorders>
              <w:top w:val="nil"/>
              <w:left w:val="nil"/>
              <w:bottom w:val="nil"/>
              <w:right w:val="nil"/>
            </w:tcBorders>
            <w:shd w:val="clear" w:color="auto" w:fill="auto"/>
            <w:noWrap/>
            <w:vAlign w:val="bottom"/>
            <w:hideMark/>
          </w:tcPr>
          <w:p w14:paraId="7A4B7CAC"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0.21851</w:t>
            </w:r>
          </w:p>
        </w:tc>
        <w:tc>
          <w:tcPr>
            <w:tcW w:w="1300" w:type="dxa"/>
            <w:tcBorders>
              <w:top w:val="nil"/>
              <w:left w:val="nil"/>
              <w:bottom w:val="nil"/>
              <w:right w:val="nil"/>
            </w:tcBorders>
            <w:shd w:val="clear" w:color="auto" w:fill="auto"/>
            <w:noWrap/>
            <w:vAlign w:val="bottom"/>
            <w:hideMark/>
          </w:tcPr>
          <w:p w14:paraId="3CFADA5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0.072837</w:t>
            </w:r>
          </w:p>
        </w:tc>
        <w:tc>
          <w:tcPr>
            <w:tcW w:w="1300" w:type="dxa"/>
            <w:tcBorders>
              <w:top w:val="nil"/>
              <w:left w:val="nil"/>
              <w:bottom w:val="nil"/>
              <w:right w:val="nil"/>
            </w:tcBorders>
            <w:shd w:val="clear" w:color="auto" w:fill="auto"/>
            <w:noWrap/>
            <w:vAlign w:val="bottom"/>
            <w:hideMark/>
          </w:tcPr>
          <w:p w14:paraId="7E96AE7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75B0F9C7"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36.822</w:t>
            </w:r>
          </w:p>
        </w:tc>
        <w:tc>
          <w:tcPr>
            <w:tcW w:w="1300" w:type="dxa"/>
            <w:tcBorders>
              <w:top w:val="nil"/>
              <w:left w:val="nil"/>
              <w:bottom w:val="nil"/>
              <w:right w:val="nil"/>
            </w:tcBorders>
            <w:shd w:val="clear" w:color="auto" w:fill="auto"/>
            <w:noWrap/>
            <w:vAlign w:val="bottom"/>
            <w:hideMark/>
          </w:tcPr>
          <w:p w14:paraId="216B379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2.3004</w:t>
            </w:r>
          </w:p>
        </w:tc>
        <w:tc>
          <w:tcPr>
            <w:tcW w:w="1300" w:type="dxa"/>
            <w:tcBorders>
              <w:top w:val="nil"/>
              <w:left w:val="nil"/>
              <w:bottom w:val="nil"/>
              <w:right w:val="nil"/>
            </w:tcBorders>
            <w:shd w:val="clear" w:color="auto" w:fill="auto"/>
            <w:noWrap/>
            <w:vAlign w:val="bottom"/>
            <w:hideMark/>
          </w:tcPr>
          <w:p w14:paraId="2941404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0.09332</w:t>
            </w:r>
          </w:p>
        </w:tc>
      </w:tr>
      <w:tr w:rsidR="00C54B74" w:rsidRPr="00C54B74" w14:paraId="33195631" w14:textId="77777777" w:rsidTr="00C54B74">
        <w:trPr>
          <w:trHeight w:val="380"/>
        </w:trPr>
        <w:tc>
          <w:tcPr>
            <w:tcW w:w="3460" w:type="dxa"/>
            <w:tcBorders>
              <w:top w:val="nil"/>
              <w:left w:val="nil"/>
              <w:bottom w:val="nil"/>
              <w:right w:val="nil"/>
            </w:tcBorders>
            <w:shd w:val="clear" w:color="auto" w:fill="auto"/>
            <w:noWrap/>
            <w:vAlign w:val="bottom"/>
            <w:hideMark/>
          </w:tcPr>
          <w:p w14:paraId="61E1D7FC"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3027BC5C"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0.233</w:t>
            </w:r>
          </w:p>
        </w:tc>
        <w:tc>
          <w:tcPr>
            <w:tcW w:w="1300" w:type="dxa"/>
            <w:tcBorders>
              <w:top w:val="nil"/>
              <w:left w:val="nil"/>
              <w:bottom w:val="nil"/>
              <w:right w:val="nil"/>
            </w:tcBorders>
            <w:shd w:val="clear" w:color="auto" w:fill="auto"/>
            <w:noWrap/>
            <w:vAlign w:val="bottom"/>
            <w:hideMark/>
          </w:tcPr>
          <w:p w14:paraId="7F71D8C7" w14:textId="77777777" w:rsidR="00C54B74" w:rsidRPr="00C54B74" w:rsidRDefault="00C54B74" w:rsidP="00C54B74">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4D9655CF"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B66C86F"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12402D2"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D8D0A7A"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6D7E281" w14:textId="77777777" w:rsidR="00C54B74" w:rsidRPr="00C54B74" w:rsidRDefault="00C54B74" w:rsidP="00C54B74">
            <w:pPr>
              <w:rPr>
                <w:rFonts w:eastAsia="Times New Roman" w:cs="Times New Roman"/>
              </w:rPr>
            </w:pPr>
          </w:p>
        </w:tc>
      </w:tr>
      <w:tr w:rsidR="00C54B74" w:rsidRPr="00C54B74" w14:paraId="59647D33" w14:textId="77777777" w:rsidTr="00C54B74">
        <w:trPr>
          <w:trHeight w:val="380"/>
        </w:trPr>
        <w:tc>
          <w:tcPr>
            <w:tcW w:w="3460" w:type="dxa"/>
            <w:tcBorders>
              <w:top w:val="nil"/>
              <w:left w:val="nil"/>
              <w:bottom w:val="nil"/>
              <w:right w:val="nil"/>
            </w:tcBorders>
            <w:shd w:val="clear" w:color="auto" w:fill="auto"/>
            <w:noWrap/>
            <w:vAlign w:val="bottom"/>
            <w:hideMark/>
          </w:tcPr>
          <w:p w14:paraId="6E0C5BC8"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B29FA85"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47CABB0"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DD36403"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1B0C891"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60B37B8"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7656DE7"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9360B83" w14:textId="77777777" w:rsidR="00C54B74" w:rsidRPr="00C54B74" w:rsidRDefault="00C54B74" w:rsidP="00C54B74">
            <w:pPr>
              <w:rPr>
                <w:rFonts w:eastAsia="Times New Roman" w:cs="Times New Roman"/>
              </w:rPr>
            </w:pPr>
          </w:p>
        </w:tc>
      </w:tr>
      <w:tr w:rsidR="00C54B74" w:rsidRPr="00C54B74" w14:paraId="66004FEF" w14:textId="77777777" w:rsidTr="00C54B74">
        <w:trPr>
          <w:trHeight w:val="380"/>
        </w:trPr>
        <w:tc>
          <w:tcPr>
            <w:tcW w:w="4760" w:type="dxa"/>
            <w:gridSpan w:val="2"/>
            <w:tcBorders>
              <w:top w:val="nil"/>
              <w:left w:val="nil"/>
              <w:bottom w:val="nil"/>
              <w:right w:val="nil"/>
            </w:tcBorders>
            <w:shd w:val="clear" w:color="auto" w:fill="auto"/>
            <w:noWrap/>
            <w:vAlign w:val="bottom"/>
            <w:hideMark/>
          </w:tcPr>
          <w:p w14:paraId="318AB3EE" w14:textId="77777777" w:rsidR="0098521D" w:rsidRDefault="0098521D" w:rsidP="00C54B74">
            <w:pPr>
              <w:rPr>
                <w:rFonts w:eastAsia="Times New Roman" w:cs="Times New Roman"/>
                <w:b/>
                <w:bCs/>
                <w:color w:val="000000"/>
              </w:rPr>
            </w:pPr>
          </w:p>
          <w:p w14:paraId="0C0E80F7" w14:textId="77777777" w:rsidR="006C32C9" w:rsidRDefault="006C32C9" w:rsidP="00C54B74">
            <w:pPr>
              <w:rPr>
                <w:rFonts w:eastAsia="Times New Roman" w:cs="Times New Roman"/>
                <w:b/>
                <w:bCs/>
                <w:color w:val="000000"/>
              </w:rPr>
            </w:pPr>
          </w:p>
          <w:p w14:paraId="07C3AE5B" w14:textId="77777777" w:rsidR="006C32C9" w:rsidRPr="00A53C1D" w:rsidRDefault="006C32C9" w:rsidP="00C54B74">
            <w:pPr>
              <w:rPr>
                <w:rFonts w:eastAsia="Times New Roman" w:cs="Times New Roman"/>
                <w:b/>
                <w:bCs/>
                <w:color w:val="000000"/>
              </w:rPr>
            </w:pPr>
          </w:p>
          <w:p w14:paraId="05D437E0" w14:textId="77777777" w:rsidR="0098521D" w:rsidRPr="00A53C1D" w:rsidRDefault="0098521D" w:rsidP="00C54B74">
            <w:pPr>
              <w:rPr>
                <w:rFonts w:eastAsia="Times New Roman" w:cs="Times New Roman"/>
                <w:b/>
                <w:bCs/>
                <w:color w:val="000000"/>
              </w:rPr>
            </w:pPr>
          </w:p>
          <w:p w14:paraId="632A7546" w14:textId="77777777" w:rsidR="00D76F98" w:rsidRDefault="00D76F98" w:rsidP="00C54B74">
            <w:pPr>
              <w:rPr>
                <w:rFonts w:eastAsia="Times New Roman" w:cs="Times New Roman"/>
                <w:b/>
                <w:bCs/>
                <w:color w:val="000000"/>
              </w:rPr>
            </w:pPr>
          </w:p>
          <w:p w14:paraId="7F23FAD8" w14:textId="55B1BA97" w:rsidR="00C54B74" w:rsidRPr="00C54B74" w:rsidRDefault="00C54B74" w:rsidP="00C54B74">
            <w:pPr>
              <w:rPr>
                <w:rFonts w:eastAsia="Times New Roman" w:cs="Times New Roman"/>
                <w:b/>
                <w:bCs/>
                <w:color w:val="000000"/>
              </w:rPr>
            </w:pPr>
            <w:r w:rsidRPr="00C54B74">
              <w:rPr>
                <w:rFonts w:eastAsia="Times New Roman" w:cs="Times New Roman"/>
                <w:b/>
                <w:bCs/>
                <w:color w:val="000000"/>
              </w:rPr>
              <w:lastRenderedPageBreak/>
              <w:t xml:space="preserve">Faith's </w:t>
            </w:r>
            <w:r w:rsidR="00D76F98">
              <w:rPr>
                <w:rFonts w:eastAsia="Times New Roman" w:cs="Times New Roman"/>
                <w:b/>
                <w:bCs/>
                <w:color w:val="000000"/>
              </w:rPr>
              <w:t>PD</w:t>
            </w:r>
          </w:p>
        </w:tc>
        <w:tc>
          <w:tcPr>
            <w:tcW w:w="1300" w:type="dxa"/>
            <w:tcBorders>
              <w:top w:val="nil"/>
              <w:left w:val="nil"/>
              <w:bottom w:val="nil"/>
              <w:right w:val="nil"/>
            </w:tcBorders>
            <w:shd w:val="clear" w:color="auto" w:fill="auto"/>
            <w:noWrap/>
            <w:vAlign w:val="bottom"/>
            <w:hideMark/>
          </w:tcPr>
          <w:p w14:paraId="225B3133" w14:textId="77777777" w:rsidR="00C54B74" w:rsidRPr="00C54B74" w:rsidRDefault="00C54B74" w:rsidP="00C54B74">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1F7B2767"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2A364E5"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1629429"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DDAC31C"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C7BD752" w14:textId="77777777" w:rsidR="00C54B74" w:rsidRPr="00C54B74" w:rsidRDefault="00C54B74" w:rsidP="00C54B74">
            <w:pPr>
              <w:rPr>
                <w:rFonts w:eastAsia="Times New Roman" w:cs="Times New Roman"/>
              </w:rPr>
            </w:pPr>
          </w:p>
        </w:tc>
      </w:tr>
      <w:tr w:rsidR="00C54B74" w:rsidRPr="00C54B74" w14:paraId="788D119C" w14:textId="77777777" w:rsidTr="00C54B74">
        <w:trPr>
          <w:trHeight w:val="380"/>
        </w:trPr>
        <w:tc>
          <w:tcPr>
            <w:tcW w:w="3460" w:type="dxa"/>
            <w:tcBorders>
              <w:top w:val="nil"/>
              <w:left w:val="nil"/>
              <w:bottom w:val="nil"/>
              <w:right w:val="nil"/>
            </w:tcBorders>
            <w:shd w:val="clear" w:color="auto" w:fill="auto"/>
            <w:noWrap/>
            <w:vAlign w:val="bottom"/>
            <w:hideMark/>
          </w:tcPr>
          <w:p w14:paraId="35077A70"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7AF0E2C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0.0318</w:t>
            </w:r>
          </w:p>
        </w:tc>
        <w:tc>
          <w:tcPr>
            <w:tcW w:w="1300" w:type="dxa"/>
            <w:tcBorders>
              <w:top w:val="nil"/>
              <w:left w:val="nil"/>
              <w:bottom w:val="nil"/>
              <w:right w:val="nil"/>
            </w:tcBorders>
            <w:shd w:val="clear" w:color="auto" w:fill="auto"/>
            <w:noWrap/>
            <w:vAlign w:val="bottom"/>
            <w:hideMark/>
          </w:tcPr>
          <w:p w14:paraId="06386F5E"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0.270109</w:t>
            </w:r>
          </w:p>
        </w:tc>
        <w:tc>
          <w:tcPr>
            <w:tcW w:w="1300" w:type="dxa"/>
            <w:tcBorders>
              <w:top w:val="nil"/>
              <w:left w:val="nil"/>
              <w:bottom w:val="nil"/>
              <w:right w:val="nil"/>
            </w:tcBorders>
            <w:shd w:val="clear" w:color="auto" w:fill="auto"/>
            <w:noWrap/>
            <w:vAlign w:val="bottom"/>
            <w:hideMark/>
          </w:tcPr>
          <w:p w14:paraId="3E152DDC"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0.270109</w:t>
            </w:r>
          </w:p>
        </w:tc>
        <w:tc>
          <w:tcPr>
            <w:tcW w:w="1300" w:type="dxa"/>
            <w:tcBorders>
              <w:top w:val="nil"/>
              <w:left w:val="nil"/>
              <w:bottom w:val="nil"/>
              <w:right w:val="nil"/>
            </w:tcBorders>
            <w:shd w:val="clear" w:color="auto" w:fill="auto"/>
            <w:noWrap/>
            <w:vAlign w:val="bottom"/>
            <w:hideMark/>
          </w:tcPr>
          <w:p w14:paraId="4D8D1A0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392D495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86.21</w:t>
            </w:r>
          </w:p>
        </w:tc>
        <w:tc>
          <w:tcPr>
            <w:tcW w:w="1300" w:type="dxa"/>
            <w:tcBorders>
              <w:top w:val="nil"/>
              <w:left w:val="nil"/>
              <w:bottom w:val="nil"/>
              <w:right w:val="nil"/>
            </w:tcBorders>
            <w:shd w:val="clear" w:color="auto" w:fill="auto"/>
            <w:noWrap/>
            <w:vAlign w:val="bottom"/>
            <w:hideMark/>
          </w:tcPr>
          <w:p w14:paraId="1963D95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4.0335</w:t>
            </w:r>
          </w:p>
        </w:tc>
        <w:tc>
          <w:tcPr>
            <w:tcW w:w="1300" w:type="dxa"/>
            <w:tcBorders>
              <w:top w:val="nil"/>
              <w:left w:val="nil"/>
              <w:bottom w:val="nil"/>
              <w:right w:val="nil"/>
            </w:tcBorders>
            <w:shd w:val="clear" w:color="auto" w:fill="auto"/>
            <w:noWrap/>
            <w:vAlign w:val="bottom"/>
            <w:hideMark/>
          </w:tcPr>
          <w:p w14:paraId="26968C32" w14:textId="77777777" w:rsidR="00C54B74" w:rsidRPr="00C54B74" w:rsidRDefault="00C54B74" w:rsidP="00C54B74">
            <w:pPr>
              <w:jc w:val="right"/>
              <w:rPr>
                <w:rFonts w:eastAsia="Times New Roman" w:cs="Times New Roman"/>
                <w:b/>
                <w:bCs/>
                <w:color w:val="000000"/>
              </w:rPr>
            </w:pPr>
            <w:r w:rsidRPr="00C54B74">
              <w:rPr>
                <w:rFonts w:eastAsia="Times New Roman" w:cs="Times New Roman"/>
                <w:b/>
                <w:bCs/>
                <w:color w:val="000000"/>
              </w:rPr>
              <w:t>0.04774</w:t>
            </w:r>
          </w:p>
        </w:tc>
      </w:tr>
      <w:tr w:rsidR="00C54B74" w:rsidRPr="00C54B74" w14:paraId="76E9183A" w14:textId="77777777" w:rsidTr="00C54B74">
        <w:trPr>
          <w:trHeight w:val="380"/>
        </w:trPr>
        <w:tc>
          <w:tcPr>
            <w:tcW w:w="3460" w:type="dxa"/>
            <w:tcBorders>
              <w:top w:val="nil"/>
              <w:left w:val="nil"/>
              <w:bottom w:val="nil"/>
              <w:right w:val="nil"/>
            </w:tcBorders>
            <w:shd w:val="clear" w:color="auto" w:fill="auto"/>
            <w:noWrap/>
            <w:vAlign w:val="bottom"/>
            <w:hideMark/>
          </w:tcPr>
          <w:p w14:paraId="56E97765"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559642EB"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0.0119</w:t>
            </w:r>
          </w:p>
        </w:tc>
        <w:tc>
          <w:tcPr>
            <w:tcW w:w="1300" w:type="dxa"/>
            <w:tcBorders>
              <w:top w:val="nil"/>
              <w:left w:val="nil"/>
              <w:bottom w:val="nil"/>
              <w:right w:val="nil"/>
            </w:tcBorders>
            <w:shd w:val="clear" w:color="auto" w:fill="auto"/>
            <w:noWrap/>
            <w:vAlign w:val="bottom"/>
            <w:hideMark/>
          </w:tcPr>
          <w:p w14:paraId="00921A6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0.027241</w:t>
            </w:r>
          </w:p>
        </w:tc>
        <w:tc>
          <w:tcPr>
            <w:tcW w:w="1300" w:type="dxa"/>
            <w:tcBorders>
              <w:top w:val="nil"/>
              <w:left w:val="nil"/>
              <w:bottom w:val="nil"/>
              <w:right w:val="nil"/>
            </w:tcBorders>
            <w:shd w:val="clear" w:color="auto" w:fill="auto"/>
            <w:noWrap/>
            <w:vAlign w:val="bottom"/>
            <w:hideMark/>
          </w:tcPr>
          <w:p w14:paraId="000C6E0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0.013621</w:t>
            </w:r>
          </w:p>
        </w:tc>
        <w:tc>
          <w:tcPr>
            <w:tcW w:w="1300" w:type="dxa"/>
            <w:tcBorders>
              <w:top w:val="nil"/>
              <w:left w:val="nil"/>
              <w:bottom w:val="nil"/>
              <w:right w:val="nil"/>
            </w:tcBorders>
            <w:shd w:val="clear" w:color="auto" w:fill="auto"/>
            <w:noWrap/>
            <w:vAlign w:val="bottom"/>
            <w:hideMark/>
          </w:tcPr>
          <w:p w14:paraId="77E63013"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54CF4851"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8.683</w:t>
            </w:r>
          </w:p>
        </w:tc>
        <w:tc>
          <w:tcPr>
            <w:tcW w:w="1300" w:type="dxa"/>
            <w:tcBorders>
              <w:top w:val="nil"/>
              <w:left w:val="nil"/>
              <w:bottom w:val="nil"/>
              <w:right w:val="nil"/>
            </w:tcBorders>
            <w:shd w:val="clear" w:color="auto" w:fill="auto"/>
            <w:noWrap/>
            <w:vAlign w:val="bottom"/>
            <w:hideMark/>
          </w:tcPr>
          <w:p w14:paraId="2F161F1F"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0.2034</w:t>
            </w:r>
          </w:p>
        </w:tc>
        <w:tc>
          <w:tcPr>
            <w:tcW w:w="1300" w:type="dxa"/>
            <w:tcBorders>
              <w:top w:val="nil"/>
              <w:left w:val="nil"/>
              <w:bottom w:val="nil"/>
              <w:right w:val="nil"/>
            </w:tcBorders>
            <w:shd w:val="clear" w:color="auto" w:fill="auto"/>
            <w:noWrap/>
            <w:vAlign w:val="bottom"/>
            <w:hideMark/>
          </w:tcPr>
          <w:p w14:paraId="7EB4BDF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0.81974</w:t>
            </w:r>
          </w:p>
        </w:tc>
      </w:tr>
      <w:tr w:rsidR="00C54B74" w:rsidRPr="00C54B74" w14:paraId="35DFC8A0" w14:textId="77777777" w:rsidTr="00C54B74">
        <w:trPr>
          <w:trHeight w:val="380"/>
        </w:trPr>
        <w:tc>
          <w:tcPr>
            <w:tcW w:w="3460" w:type="dxa"/>
            <w:tcBorders>
              <w:top w:val="nil"/>
              <w:left w:val="nil"/>
              <w:bottom w:val="nil"/>
              <w:right w:val="nil"/>
            </w:tcBorders>
            <w:shd w:val="clear" w:color="auto" w:fill="auto"/>
            <w:noWrap/>
            <w:vAlign w:val="bottom"/>
            <w:hideMark/>
          </w:tcPr>
          <w:p w14:paraId="67536560"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0564FAE8"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0.0257</w:t>
            </w:r>
          </w:p>
        </w:tc>
        <w:tc>
          <w:tcPr>
            <w:tcW w:w="1300" w:type="dxa"/>
            <w:tcBorders>
              <w:top w:val="nil"/>
              <w:left w:val="nil"/>
              <w:bottom w:val="nil"/>
              <w:right w:val="nil"/>
            </w:tcBorders>
            <w:shd w:val="clear" w:color="auto" w:fill="auto"/>
            <w:noWrap/>
            <w:vAlign w:val="bottom"/>
            <w:hideMark/>
          </w:tcPr>
          <w:p w14:paraId="0DFA4065"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0.173688</w:t>
            </w:r>
          </w:p>
        </w:tc>
        <w:tc>
          <w:tcPr>
            <w:tcW w:w="1300" w:type="dxa"/>
            <w:tcBorders>
              <w:top w:val="nil"/>
              <w:left w:val="nil"/>
              <w:bottom w:val="nil"/>
              <w:right w:val="nil"/>
            </w:tcBorders>
            <w:shd w:val="clear" w:color="auto" w:fill="auto"/>
            <w:noWrap/>
            <w:vAlign w:val="bottom"/>
            <w:hideMark/>
          </w:tcPr>
          <w:p w14:paraId="54851950"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0.057896</w:t>
            </w:r>
          </w:p>
        </w:tc>
        <w:tc>
          <w:tcPr>
            <w:tcW w:w="1300" w:type="dxa"/>
            <w:tcBorders>
              <w:top w:val="nil"/>
              <w:left w:val="nil"/>
              <w:bottom w:val="nil"/>
              <w:right w:val="nil"/>
            </w:tcBorders>
            <w:shd w:val="clear" w:color="auto" w:fill="auto"/>
            <w:noWrap/>
            <w:vAlign w:val="bottom"/>
            <w:hideMark/>
          </w:tcPr>
          <w:p w14:paraId="1128FBD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6C53130B"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86.105</w:t>
            </w:r>
          </w:p>
        </w:tc>
        <w:tc>
          <w:tcPr>
            <w:tcW w:w="1300" w:type="dxa"/>
            <w:tcBorders>
              <w:top w:val="nil"/>
              <w:left w:val="nil"/>
              <w:bottom w:val="nil"/>
              <w:right w:val="nil"/>
            </w:tcBorders>
            <w:shd w:val="clear" w:color="auto" w:fill="auto"/>
            <w:noWrap/>
            <w:vAlign w:val="bottom"/>
            <w:hideMark/>
          </w:tcPr>
          <w:p w14:paraId="4A0E6AF5"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0.8645</w:t>
            </w:r>
          </w:p>
        </w:tc>
        <w:tc>
          <w:tcPr>
            <w:tcW w:w="1300" w:type="dxa"/>
            <w:tcBorders>
              <w:top w:val="nil"/>
              <w:left w:val="nil"/>
              <w:bottom w:val="nil"/>
              <w:right w:val="nil"/>
            </w:tcBorders>
            <w:shd w:val="clear" w:color="auto" w:fill="auto"/>
            <w:noWrap/>
            <w:vAlign w:val="bottom"/>
            <w:hideMark/>
          </w:tcPr>
          <w:p w14:paraId="262A0A7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0.46276</w:t>
            </w:r>
          </w:p>
        </w:tc>
      </w:tr>
      <w:tr w:rsidR="00C54B74" w:rsidRPr="00C54B74" w14:paraId="65911CE4" w14:textId="77777777" w:rsidTr="00C54B74">
        <w:trPr>
          <w:trHeight w:val="380"/>
        </w:trPr>
        <w:tc>
          <w:tcPr>
            <w:tcW w:w="3460" w:type="dxa"/>
            <w:tcBorders>
              <w:top w:val="nil"/>
              <w:left w:val="nil"/>
              <w:bottom w:val="nil"/>
              <w:right w:val="nil"/>
            </w:tcBorders>
            <w:shd w:val="clear" w:color="auto" w:fill="auto"/>
            <w:noWrap/>
            <w:vAlign w:val="bottom"/>
            <w:hideMark/>
          </w:tcPr>
          <w:p w14:paraId="65207CB6"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2A5D431C"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0.0025</w:t>
            </w:r>
          </w:p>
        </w:tc>
        <w:tc>
          <w:tcPr>
            <w:tcW w:w="1300" w:type="dxa"/>
            <w:tcBorders>
              <w:top w:val="nil"/>
              <w:left w:val="nil"/>
              <w:bottom w:val="nil"/>
              <w:right w:val="nil"/>
            </w:tcBorders>
            <w:shd w:val="clear" w:color="auto" w:fill="auto"/>
            <w:noWrap/>
            <w:vAlign w:val="bottom"/>
            <w:hideMark/>
          </w:tcPr>
          <w:p w14:paraId="56E45FB7"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0.049922</w:t>
            </w:r>
          </w:p>
        </w:tc>
        <w:tc>
          <w:tcPr>
            <w:tcW w:w="1300" w:type="dxa"/>
            <w:tcBorders>
              <w:top w:val="nil"/>
              <w:left w:val="nil"/>
              <w:bottom w:val="nil"/>
              <w:right w:val="nil"/>
            </w:tcBorders>
            <w:shd w:val="clear" w:color="auto" w:fill="auto"/>
            <w:noWrap/>
            <w:vAlign w:val="bottom"/>
            <w:hideMark/>
          </w:tcPr>
          <w:p w14:paraId="1238C175"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0.016641</w:t>
            </w:r>
          </w:p>
        </w:tc>
        <w:tc>
          <w:tcPr>
            <w:tcW w:w="1300" w:type="dxa"/>
            <w:tcBorders>
              <w:top w:val="nil"/>
              <w:left w:val="nil"/>
              <w:bottom w:val="nil"/>
              <w:right w:val="nil"/>
            </w:tcBorders>
            <w:shd w:val="clear" w:color="auto" w:fill="auto"/>
            <w:noWrap/>
            <w:vAlign w:val="bottom"/>
            <w:hideMark/>
          </w:tcPr>
          <w:p w14:paraId="26624E0B"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2458B9B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39.501</w:t>
            </w:r>
          </w:p>
        </w:tc>
        <w:tc>
          <w:tcPr>
            <w:tcW w:w="1300" w:type="dxa"/>
            <w:tcBorders>
              <w:top w:val="nil"/>
              <w:left w:val="nil"/>
              <w:bottom w:val="nil"/>
              <w:right w:val="nil"/>
            </w:tcBorders>
            <w:shd w:val="clear" w:color="auto" w:fill="auto"/>
            <w:noWrap/>
            <w:vAlign w:val="bottom"/>
            <w:hideMark/>
          </w:tcPr>
          <w:p w14:paraId="7ADA54E8"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0.2485</w:t>
            </w:r>
          </w:p>
        </w:tc>
        <w:tc>
          <w:tcPr>
            <w:tcW w:w="1300" w:type="dxa"/>
            <w:tcBorders>
              <w:top w:val="nil"/>
              <w:left w:val="nil"/>
              <w:bottom w:val="nil"/>
              <w:right w:val="nil"/>
            </w:tcBorders>
            <w:shd w:val="clear" w:color="auto" w:fill="auto"/>
            <w:noWrap/>
            <w:vAlign w:val="bottom"/>
            <w:hideMark/>
          </w:tcPr>
          <w:p w14:paraId="24F852E7"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0.86192</w:t>
            </w:r>
          </w:p>
        </w:tc>
      </w:tr>
      <w:tr w:rsidR="00C54B74" w:rsidRPr="00C54B74" w14:paraId="717FA67F" w14:textId="77777777" w:rsidTr="00C54B74">
        <w:trPr>
          <w:trHeight w:val="380"/>
        </w:trPr>
        <w:tc>
          <w:tcPr>
            <w:tcW w:w="3460" w:type="dxa"/>
            <w:tcBorders>
              <w:top w:val="nil"/>
              <w:left w:val="nil"/>
              <w:bottom w:val="nil"/>
              <w:right w:val="nil"/>
            </w:tcBorders>
            <w:shd w:val="clear" w:color="auto" w:fill="auto"/>
            <w:noWrap/>
            <w:vAlign w:val="bottom"/>
            <w:hideMark/>
          </w:tcPr>
          <w:p w14:paraId="0B0E40C8"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3CD7E5F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0.1135</w:t>
            </w:r>
          </w:p>
        </w:tc>
        <w:tc>
          <w:tcPr>
            <w:tcW w:w="1300" w:type="dxa"/>
            <w:tcBorders>
              <w:top w:val="nil"/>
              <w:left w:val="nil"/>
              <w:bottom w:val="nil"/>
              <w:right w:val="nil"/>
            </w:tcBorders>
            <w:shd w:val="clear" w:color="auto" w:fill="auto"/>
            <w:noWrap/>
            <w:vAlign w:val="bottom"/>
            <w:hideMark/>
          </w:tcPr>
          <w:p w14:paraId="419EF0A1" w14:textId="77777777" w:rsidR="00C54B74" w:rsidRPr="00C54B74" w:rsidRDefault="00C54B74" w:rsidP="00C54B74">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0982228A"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073B7A3"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258C832"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3051A27"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5C92AE6" w14:textId="77777777" w:rsidR="00C54B74" w:rsidRPr="00C54B74" w:rsidRDefault="00C54B74" w:rsidP="00C54B74">
            <w:pPr>
              <w:rPr>
                <w:rFonts w:eastAsia="Times New Roman" w:cs="Times New Roman"/>
              </w:rPr>
            </w:pPr>
          </w:p>
        </w:tc>
      </w:tr>
      <w:tr w:rsidR="00C54B74" w:rsidRPr="00C54B74" w14:paraId="3A049F38" w14:textId="77777777" w:rsidTr="00C54B74">
        <w:trPr>
          <w:trHeight w:val="380"/>
        </w:trPr>
        <w:tc>
          <w:tcPr>
            <w:tcW w:w="3460" w:type="dxa"/>
            <w:tcBorders>
              <w:top w:val="nil"/>
              <w:left w:val="nil"/>
              <w:bottom w:val="nil"/>
              <w:right w:val="nil"/>
            </w:tcBorders>
            <w:shd w:val="clear" w:color="auto" w:fill="auto"/>
            <w:noWrap/>
            <w:vAlign w:val="bottom"/>
            <w:hideMark/>
          </w:tcPr>
          <w:p w14:paraId="49235A63"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C4F525E"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A17C826"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D663824"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5848ADB"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8CFBBDE"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466F1FC"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C5E558C" w14:textId="77777777" w:rsidR="00C54B74" w:rsidRPr="00C54B74" w:rsidRDefault="00C54B74" w:rsidP="00C54B74">
            <w:pPr>
              <w:rPr>
                <w:rFonts w:eastAsia="Times New Roman" w:cs="Times New Roman"/>
              </w:rPr>
            </w:pPr>
          </w:p>
        </w:tc>
      </w:tr>
      <w:tr w:rsidR="00C54B74" w:rsidRPr="00C54B74" w14:paraId="429D9DC5" w14:textId="77777777" w:rsidTr="00C54B74">
        <w:trPr>
          <w:trHeight w:val="380"/>
        </w:trPr>
        <w:tc>
          <w:tcPr>
            <w:tcW w:w="3460" w:type="dxa"/>
            <w:tcBorders>
              <w:top w:val="nil"/>
              <w:left w:val="nil"/>
              <w:bottom w:val="nil"/>
              <w:right w:val="nil"/>
            </w:tcBorders>
            <w:shd w:val="clear" w:color="auto" w:fill="auto"/>
            <w:noWrap/>
            <w:vAlign w:val="bottom"/>
            <w:hideMark/>
          </w:tcPr>
          <w:p w14:paraId="5E5D0C7F" w14:textId="38F14E9D" w:rsidR="00C54B74" w:rsidRPr="00C54B74" w:rsidRDefault="00D76F98" w:rsidP="00C54B74">
            <w:pPr>
              <w:rPr>
                <w:rFonts w:eastAsia="Times New Roman" w:cs="Times New Roman"/>
                <w:b/>
                <w:bCs/>
                <w:color w:val="000000"/>
              </w:rPr>
            </w:pPr>
            <w:r>
              <w:rPr>
                <w:rFonts w:eastAsia="Times New Roman" w:cs="Times New Roman"/>
                <w:b/>
                <w:bCs/>
                <w:color w:val="000000"/>
              </w:rPr>
              <w:t>E</w:t>
            </w:r>
            <w:r w:rsidR="00C54B74" w:rsidRPr="00C54B74">
              <w:rPr>
                <w:rFonts w:eastAsia="Times New Roman" w:cs="Times New Roman"/>
                <w:b/>
                <w:bCs/>
                <w:color w:val="000000"/>
              </w:rPr>
              <w:t>venness</w:t>
            </w:r>
          </w:p>
        </w:tc>
        <w:tc>
          <w:tcPr>
            <w:tcW w:w="1300" w:type="dxa"/>
            <w:tcBorders>
              <w:top w:val="nil"/>
              <w:left w:val="nil"/>
              <w:bottom w:val="nil"/>
              <w:right w:val="nil"/>
            </w:tcBorders>
            <w:shd w:val="clear" w:color="auto" w:fill="auto"/>
            <w:noWrap/>
            <w:vAlign w:val="bottom"/>
            <w:hideMark/>
          </w:tcPr>
          <w:p w14:paraId="32B54638" w14:textId="77777777" w:rsidR="00C54B74" w:rsidRPr="00C54B74" w:rsidRDefault="00C54B74" w:rsidP="00C54B74">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6F53A344"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6AB4822"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3FB37DD"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79AE855"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CCFF6EC"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14080E5" w14:textId="77777777" w:rsidR="00C54B74" w:rsidRPr="00C54B74" w:rsidRDefault="00C54B74" w:rsidP="00C54B74">
            <w:pPr>
              <w:rPr>
                <w:rFonts w:eastAsia="Times New Roman" w:cs="Times New Roman"/>
              </w:rPr>
            </w:pPr>
          </w:p>
        </w:tc>
      </w:tr>
      <w:tr w:rsidR="00C54B74" w:rsidRPr="00C54B74" w14:paraId="1FAE52AF" w14:textId="77777777" w:rsidTr="00C54B74">
        <w:trPr>
          <w:trHeight w:val="380"/>
        </w:trPr>
        <w:tc>
          <w:tcPr>
            <w:tcW w:w="3460" w:type="dxa"/>
            <w:tcBorders>
              <w:top w:val="nil"/>
              <w:left w:val="nil"/>
              <w:bottom w:val="nil"/>
              <w:right w:val="nil"/>
            </w:tcBorders>
            <w:shd w:val="clear" w:color="auto" w:fill="auto"/>
            <w:noWrap/>
            <w:vAlign w:val="bottom"/>
            <w:hideMark/>
          </w:tcPr>
          <w:p w14:paraId="33BA5A78"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0F2D8783"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0.0148</w:t>
            </w:r>
          </w:p>
        </w:tc>
        <w:tc>
          <w:tcPr>
            <w:tcW w:w="1300" w:type="dxa"/>
            <w:tcBorders>
              <w:top w:val="nil"/>
              <w:left w:val="nil"/>
              <w:bottom w:val="nil"/>
              <w:right w:val="nil"/>
            </w:tcBorders>
            <w:shd w:val="clear" w:color="auto" w:fill="auto"/>
            <w:noWrap/>
            <w:vAlign w:val="bottom"/>
            <w:hideMark/>
          </w:tcPr>
          <w:p w14:paraId="60B45ED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0.097843</w:t>
            </w:r>
          </w:p>
        </w:tc>
        <w:tc>
          <w:tcPr>
            <w:tcW w:w="1300" w:type="dxa"/>
            <w:tcBorders>
              <w:top w:val="nil"/>
              <w:left w:val="nil"/>
              <w:bottom w:val="nil"/>
              <w:right w:val="nil"/>
            </w:tcBorders>
            <w:shd w:val="clear" w:color="auto" w:fill="auto"/>
            <w:noWrap/>
            <w:vAlign w:val="bottom"/>
            <w:hideMark/>
          </w:tcPr>
          <w:p w14:paraId="02A83FEC"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0.097843</w:t>
            </w:r>
          </w:p>
        </w:tc>
        <w:tc>
          <w:tcPr>
            <w:tcW w:w="1300" w:type="dxa"/>
            <w:tcBorders>
              <w:top w:val="nil"/>
              <w:left w:val="nil"/>
              <w:bottom w:val="nil"/>
              <w:right w:val="nil"/>
            </w:tcBorders>
            <w:shd w:val="clear" w:color="auto" w:fill="auto"/>
            <w:noWrap/>
            <w:vAlign w:val="bottom"/>
            <w:hideMark/>
          </w:tcPr>
          <w:p w14:paraId="0BA8E8F9"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69FE60B0"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84.791</w:t>
            </w:r>
          </w:p>
        </w:tc>
        <w:tc>
          <w:tcPr>
            <w:tcW w:w="1300" w:type="dxa"/>
            <w:tcBorders>
              <w:top w:val="nil"/>
              <w:left w:val="nil"/>
              <w:bottom w:val="nil"/>
              <w:right w:val="nil"/>
            </w:tcBorders>
            <w:shd w:val="clear" w:color="auto" w:fill="auto"/>
            <w:noWrap/>
            <w:vAlign w:val="bottom"/>
            <w:hideMark/>
          </w:tcPr>
          <w:p w14:paraId="5ED034A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5.1738</w:t>
            </w:r>
          </w:p>
        </w:tc>
        <w:tc>
          <w:tcPr>
            <w:tcW w:w="1300" w:type="dxa"/>
            <w:tcBorders>
              <w:top w:val="nil"/>
              <w:left w:val="nil"/>
              <w:bottom w:val="nil"/>
              <w:right w:val="nil"/>
            </w:tcBorders>
            <w:shd w:val="clear" w:color="auto" w:fill="auto"/>
            <w:noWrap/>
            <w:vAlign w:val="bottom"/>
            <w:hideMark/>
          </w:tcPr>
          <w:p w14:paraId="74814E86" w14:textId="77777777" w:rsidR="00C54B74" w:rsidRPr="00C54B74" w:rsidRDefault="00C54B74" w:rsidP="00C54B74">
            <w:pPr>
              <w:jc w:val="right"/>
              <w:rPr>
                <w:rFonts w:eastAsia="Times New Roman" w:cs="Times New Roman"/>
                <w:b/>
                <w:bCs/>
                <w:color w:val="000000"/>
              </w:rPr>
            </w:pPr>
            <w:r w:rsidRPr="00C54B74">
              <w:rPr>
                <w:rFonts w:eastAsia="Times New Roman" w:cs="Times New Roman"/>
                <w:b/>
                <w:bCs/>
                <w:color w:val="000000"/>
              </w:rPr>
              <w:t>0.02545</w:t>
            </w:r>
          </w:p>
        </w:tc>
      </w:tr>
      <w:tr w:rsidR="00C54B74" w:rsidRPr="00C54B74" w14:paraId="76EBEF3B" w14:textId="77777777" w:rsidTr="00C54B74">
        <w:trPr>
          <w:trHeight w:val="380"/>
        </w:trPr>
        <w:tc>
          <w:tcPr>
            <w:tcW w:w="3460" w:type="dxa"/>
            <w:tcBorders>
              <w:top w:val="nil"/>
              <w:left w:val="nil"/>
              <w:bottom w:val="nil"/>
              <w:right w:val="nil"/>
            </w:tcBorders>
            <w:shd w:val="clear" w:color="auto" w:fill="auto"/>
            <w:noWrap/>
            <w:vAlign w:val="bottom"/>
            <w:hideMark/>
          </w:tcPr>
          <w:p w14:paraId="7DA6BB8B"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0075B7A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0.0636</w:t>
            </w:r>
          </w:p>
        </w:tc>
        <w:tc>
          <w:tcPr>
            <w:tcW w:w="1300" w:type="dxa"/>
            <w:tcBorders>
              <w:top w:val="nil"/>
              <w:left w:val="nil"/>
              <w:bottom w:val="nil"/>
              <w:right w:val="nil"/>
            </w:tcBorders>
            <w:shd w:val="clear" w:color="auto" w:fill="auto"/>
            <w:noWrap/>
            <w:vAlign w:val="bottom"/>
            <w:hideMark/>
          </w:tcPr>
          <w:p w14:paraId="3F12B0AC"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0.040263</w:t>
            </w:r>
          </w:p>
        </w:tc>
        <w:tc>
          <w:tcPr>
            <w:tcW w:w="1300" w:type="dxa"/>
            <w:tcBorders>
              <w:top w:val="nil"/>
              <w:left w:val="nil"/>
              <w:bottom w:val="nil"/>
              <w:right w:val="nil"/>
            </w:tcBorders>
            <w:shd w:val="clear" w:color="auto" w:fill="auto"/>
            <w:noWrap/>
            <w:vAlign w:val="bottom"/>
            <w:hideMark/>
          </w:tcPr>
          <w:p w14:paraId="4B1082C3"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0.020131</w:t>
            </w:r>
          </w:p>
        </w:tc>
        <w:tc>
          <w:tcPr>
            <w:tcW w:w="1300" w:type="dxa"/>
            <w:tcBorders>
              <w:top w:val="nil"/>
              <w:left w:val="nil"/>
              <w:bottom w:val="nil"/>
              <w:right w:val="nil"/>
            </w:tcBorders>
            <w:shd w:val="clear" w:color="auto" w:fill="auto"/>
            <w:noWrap/>
            <w:vAlign w:val="bottom"/>
            <w:hideMark/>
          </w:tcPr>
          <w:p w14:paraId="537554B2"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573F130B"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6.81</w:t>
            </w:r>
          </w:p>
        </w:tc>
        <w:tc>
          <w:tcPr>
            <w:tcW w:w="1300" w:type="dxa"/>
            <w:tcBorders>
              <w:top w:val="nil"/>
              <w:left w:val="nil"/>
              <w:bottom w:val="nil"/>
              <w:right w:val="nil"/>
            </w:tcBorders>
            <w:shd w:val="clear" w:color="auto" w:fill="auto"/>
            <w:noWrap/>
            <w:vAlign w:val="bottom"/>
            <w:hideMark/>
          </w:tcPr>
          <w:p w14:paraId="29CA79CB"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1.0645</w:t>
            </w:r>
          </w:p>
        </w:tc>
        <w:tc>
          <w:tcPr>
            <w:tcW w:w="1300" w:type="dxa"/>
            <w:tcBorders>
              <w:top w:val="nil"/>
              <w:left w:val="nil"/>
              <w:bottom w:val="nil"/>
              <w:right w:val="nil"/>
            </w:tcBorders>
            <w:shd w:val="clear" w:color="auto" w:fill="auto"/>
            <w:noWrap/>
            <w:vAlign w:val="bottom"/>
            <w:hideMark/>
          </w:tcPr>
          <w:p w14:paraId="57AF30B2"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0.39602</w:t>
            </w:r>
          </w:p>
        </w:tc>
      </w:tr>
      <w:tr w:rsidR="00C54B74" w:rsidRPr="00C54B74" w14:paraId="466553D7" w14:textId="77777777" w:rsidTr="00C54B74">
        <w:trPr>
          <w:trHeight w:val="380"/>
        </w:trPr>
        <w:tc>
          <w:tcPr>
            <w:tcW w:w="3460" w:type="dxa"/>
            <w:tcBorders>
              <w:top w:val="nil"/>
              <w:left w:val="nil"/>
              <w:bottom w:val="nil"/>
              <w:right w:val="nil"/>
            </w:tcBorders>
            <w:shd w:val="clear" w:color="auto" w:fill="auto"/>
            <w:noWrap/>
            <w:vAlign w:val="bottom"/>
            <w:hideMark/>
          </w:tcPr>
          <w:p w14:paraId="5445B114"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10A735D8"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0.0713</w:t>
            </w:r>
          </w:p>
        </w:tc>
        <w:tc>
          <w:tcPr>
            <w:tcW w:w="1300" w:type="dxa"/>
            <w:tcBorders>
              <w:top w:val="nil"/>
              <w:left w:val="nil"/>
              <w:bottom w:val="nil"/>
              <w:right w:val="nil"/>
            </w:tcBorders>
            <w:shd w:val="clear" w:color="auto" w:fill="auto"/>
            <w:noWrap/>
            <w:vAlign w:val="bottom"/>
            <w:hideMark/>
          </w:tcPr>
          <w:p w14:paraId="79C95052"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0.138233</w:t>
            </w:r>
          </w:p>
        </w:tc>
        <w:tc>
          <w:tcPr>
            <w:tcW w:w="1300" w:type="dxa"/>
            <w:tcBorders>
              <w:top w:val="nil"/>
              <w:left w:val="nil"/>
              <w:bottom w:val="nil"/>
              <w:right w:val="nil"/>
            </w:tcBorders>
            <w:shd w:val="clear" w:color="auto" w:fill="auto"/>
            <w:noWrap/>
            <w:vAlign w:val="bottom"/>
            <w:hideMark/>
          </w:tcPr>
          <w:p w14:paraId="3B1B441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0.046078</w:t>
            </w:r>
          </w:p>
        </w:tc>
        <w:tc>
          <w:tcPr>
            <w:tcW w:w="1300" w:type="dxa"/>
            <w:tcBorders>
              <w:top w:val="nil"/>
              <w:left w:val="nil"/>
              <w:bottom w:val="nil"/>
              <w:right w:val="nil"/>
            </w:tcBorders>
            <w:shd w:val="clear" w:color="auto" w:fill="auto"/>
            <w:noWrap/>
            <w:vAlign w:val="bottom"/>
            <w:hideMark/>
          </w:tcPr>
          <w:p w14:paraId="2010DCC9"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41F2D31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84.617</w:t>
            </w:r>
          </w:p>
        </w:tc>
        <w:tc>
          <w:tcPr>
            <w:tcW w:w="1300" w:type="dxa"/>
            <w:tcBorders>
              <w:top w:val="nil"/>
              <w:left w:val="nil"/>
              <w:bottom w:val="nil"/>
              <w:right w:val="nil"/>
            </w:tcBorders>
            <w:shd w:val="clear" w:color="auto" w:fill="auto"/>
            <w:noWrap/>
            <w:vAlign w:val="bottom"/>
            <w:hideMark/>
          </w:tcPr>
          <w:p w14:paraId="1B995C3F"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2.4365</w:t>
            </w:r>
          </w:p>
        </w:tc>
        <w:tc>
          <w:tcPr>
            <w:tcW w:w="1300" w:type="dxa"/>
            <w:tcBorders>
              <w:top w:val="nil"/>
              <w:left w:val="nil"/>
              <w:bottom w:val="nil"/>
              <w:right w:val="nil"/>
            </w:tcBorders>
            <w:shd w:val="clear" w:color="auto" w:fill="auto"/>
            <w:noWrap/>
            <w:vAlign w:val="bottom"/>
            <w:hideMark/>
          </w:tcPr>
          <w:p w14:paraId="6574A185"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0.07026</w:t>
            </w:r>
          </w:p>
        </w:tc>
      </w:tr>
      <w:tr w:rsidR="00C54B74" w:rsidRPr="00C54B74" w14:paraId="4FE7D047" w14:textId="77777777" w:rsidTr="00C54B74">
        <w:trPr>
          <w:trHeight w:val="380"/>
        </w:trPr>
        <w:tc>
          <w:tcPr>
            <w:tcW w:w="3460" w:type="dxa"/>
            <w:tcBorders>
              <w:top w:val="nil"/>
              <w:left w:val="nil"/>
              <w:bottom w:val="nil"/>
              <w:right w:val="nil"/>
            </w:tcBorders>
            <w:shd w:val="clear" w:color="auto" w:fill="auto"/>
            <w:noWrap/>
            <w:vAlign w:val="bottom"/>
            <w:hideMark/>
          </w:tcPr>
          <w:p w14:paraId="384E47DB"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2E2773DA"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0.0816</w:t>
            </w:r>
          </w:p>
        </w:tc>
        <w:tc>
          <w:tcPr>
            <w:tcW w:w="1300" w:type="dxa"/>
            <w:tcBorders>
              <w:top w:val="nil"/>
              <w:left w:val="nil"/>
              <w:bottom w:val="nil"/>
              <w:right w:val="nil"/>
            </w:tcBorders>
            <w:shd w:val="clear" w:color="auto" w:fill="auto"/>
            <w:noWrap/>
            <w:vAlign w:val="bottom"/>
            <w:hideMark/>
          </w:tcPr>
          <w:p w14:paraId="3A943D20"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0.150616</w:t>
            </w:r>
          </w:p>
        </w:tc>
        <w:tc>
          <w:tcPr>
            <w:tcW w:w="1300" w:type="dxa"/>
            <w:tcBorders>
              <w:top w:val="nil"/>
              <w:left w:val="nil"/>
              <w:bottom w:val="nil"/>
              <w:right w:val="nil"/>
            </w:tcBorders>
            <w:shd w:val="clear" w:color="auto" w:fill="auto"/>
            <w:noWrap/>
            <w:vAlign w:val="bottom"/>
            <w:hideMark/>
          </w:tcPr>
          <w:p w14:paraId="63F9C0A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0.050205</w:t>
            </w:r>
          </w:p>
        </w:tc>
        <w:tc>
          <w:tcPr>
            <w:tcW w:w="1300" w:type="dxa"/>
            <w:tcBorders>
              <w:top w:val="nil"/>
              <w:left w:val="nil"/>
              <w:bottom w:val="nil"/>
              <w:right w:val="nil"/>
            </w:tcBorders>
            <w:shd w:val="clear" w:color="auto" w:fill="auto"/>
            <w:noWrap/>
            <w:vAlign w:val="bottom"/>
            <w:hideMark/>
          </w:tcPr>
          <w:p w14:paraId="7F6194B2"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5D92676D"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29.537</w:t>
            </w:r>
          </w:p>
        </w:tc>
        <w:tc>
          <w:tcPr>
            <w:tcW w:w="1300" w:type="dxa"/>
            <w:tcBorders>
              <w:top w:val="nil"/>
              <w:left w:val="nil"/>
              <w:bottom w:val="nil"/>
              <w:right w:val="nil"/>
            </w:tcBorders>
            <w:shd w:val="clear" w:color="auto" w:fill="auto"/>
            <w:noWrap/>
            <w:vAlign w:val="bottom"/>
            <w:hideMark/>
          </w:tcPr>
          <w:p w14:paraId="549696B0"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2.6548</w:t>
            </w:r>
          </w:p>
        </w:tc>
        <w:tc>
          <w:tcPr>
            <w:tcW w:w="1300" w:type="dxa"/>
            <w:tcBorders>
              <w:top w:val="nil"/>
              <w:left w:val="nil"/>
              <w:bottom w:val="nil"/>
              <w:right w:val="nil"/>
            </w:tcBorders>
            <w:shd w:val="clear" w:color="auto" w:fill="auto"/>
            <w:noWrap/>
            <w:vAlign w:val="bottom"/>
            <w:hideMark/>
          </w:tcPr>
          <w:p w14:paraId="301FD2D4"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0.06677</w:t>
            </w:r>
          </w:p>
        </w:tc>
      </w:tr>
      <w:tr w:rsidR="00C54B74" w:rsidRPr="00C54B74" w14:paraId="7C79A11B" w14:textId="77777777" w:rsidTr="00C54B74">
        <w:trPr>
          <w:trHeight w:val="380"/>
        </w:trPr>
        <w:tc>
          <w:tcPr>
            <w:tcW w:w="3460" w:type="dxa"/>
            <w:tcBorders>
              <w:top w:val="nil"/>
              <w:left w:val="nil"/>
              <w:bottom w:val="nil"/>
              <w:right w:val="nil"/>
            </w:tcBorders>
            <w:shd w:val="clear" w:color="auto" w:fill="auto"/>
            <w:noWrap/>
            <w:vAlign w:val="bottom"/>
            <w:hideMark/>
          </w:tcPr>
          <w:p w14:paraId="0B2E15A7" w14:textId="77777777" w:rsidR="00C54B74" w:rsidRPr="00C54B74" w:rsidRDefault="00C54B74" w:rsidP="00C54B74">
            <w:pPr>
              <w:rPr>
                <w:rFonts w:eastAsia="Times New Roman" w:cs="Times New Roman"/>
                <w:color w:val="000000"/>
              </w:rPr>
            </w:pPr>
            <w:r w:rsidRPr="00C54B74">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020163B1" w14:textId="77777777" w:rsidR="00C54B74" w:rsidRPr="00C54B74" w:rsidRDefault="00C54B74" w:rsidP="00C54B74">
            <w:pPr>
              <w:jc w:val="right"/>
              <w:rPr>
                <w:rFonts w:eastAsia="Times New Roman" w:cs="Times New Roman"/>
                <w:color w:val="000000"/>
              </w:rPr>
            </w:pPr>
            <w:r w:rsidRPr="00C54B74">
              <w:rPr>
                <w:rFonts w:eastAsia="Times New Roman" w:cs="Times New Roman"/>
                <w:color w:val="000000"/>
              </w:rPr>
              <w:t>0.2681</w:t>
            </w:r>
          </w:p>
        </w:tc>
        <w:tc>
          <w:tcPr>
            <w:tcW w:w="1300" w:type="dxa"/>
            <w:tcBorders>
              <w:top w:val="nil"/>
              <w:left w:val="nil"/>
              <w:bottom w:val="nil"/>
              <w:right w:val="nil"/>
            </w:tcBorders>
            <w:shd w:val="clear" w:color="auto" w:fill="auto"/>
            <w:noWrap/>
            <w:vAlign w:val="bottom"/>
            <w:hideMark/>
          </w:tcPr>
          <w:p w14:paraId="0A5A1D60" w14:textId="77777777" w:rsidR="00C54B74" w:rsidRPr="00C54B74" w:rsidRDefault="00C54B74" w:rsidP="00C54B74">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3E259577"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2E3B96F"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54D9F42"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DE368D6" w14:textId="77777777" w:rsidR="00C54B74" w:rsidRPr="00C54B74" w:rsidRDefault="00C54B74" w:rsidP="00C54B7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839CCFC" w14:textId="77777777" w:rsidR="00C54B74" w:rsidRPr="00C54B74" w:rsidRDefault="00C54B74" w:rsidP="00C54B74">
            <w:pPr>
              <w:rPr>
                <w:rFonts w:eastAsia="Times New Roman" w:cs="Times New Roman"/>
              </w:rPr>
            </w:pPr>
          </w:p>
        </w:tc>
      </w:tr>
    </w:tbl>
    <w:p w14:paraId="29F8AED3" w14:textId="77777777" w:rsidR="00C54B74" w:rsidRPr="00A53C1D" w:rsidRDefault="00C54B74">
      <w:pPr>
        <w:rPr>
          <w:rFonts w:cs="Times New Roman"/>
          <w:b/>
          <w:bCs/>
        </w:rPr>
      </w:pPr>
    </w:p>
    <w:p w14:paraId="6E41BDD2" w14:textId="77777777" w:rsidR="0098521D" w:rsidRPr="00A53C1D" w:rsidRDefault="0098521D">
      <w:pPr>
        <w:rPr>
          <w:rFonts w:cs="Times New Roman"/>
          <w:b/>
          <w:bCs/>
        </w:rPr>
      </w:pPr>
    </w:p>
    <w:p w14:paraId="2E5531F1" w14:textId="77777777" w:rsidR="0098521D" w:rsidRPr="00A53C1D" w:rsidRDefault="0098521D">
      <w:pPr>
        <w:rPr>
          <w:rFonts w:cs="Times New Roman"/>
          <w:b/>
          <w:bCs/>
        </w:rPr>
      </w:pPr>
    </w:p>
    <w:p w14:paraId="46AE0B61" w14:textId="148C0E6B" w:rsidR="0098521D" w:rsidRPr="00A53C1D" w:rsidRDefault="0098521D">
      <w:pPr>
        <w:rPr>
          <w:rFonts w:cs="Times New Roman"/>
          <w:b/>
          <w:bCs/>
        </w:rPr>
      </w:pPr>
      <w:r w:rsidRPr="00A53C1D">
        <w:rPr>
          <w:rFonts w:cs="Times New Roman"/>
          <w:b/>
          <w:bCs/>
        </w:rPr>
        <w:br w:type="page"/>
      </w:r>
    </w:p>
    <w:p w14:paraId="492016DB" w14:textId="63659F33" w:rsidR="00673E90" w:rsidRPr="00673E90" w:rsidRDefault="00673E90" w:rsidP="00673E90">
      <w:pPr>
        <w:rPr>
          <w:rFonts w:cs="Times New Roman"/>
          <w:b/>
          <w:bCs/>
        </w:rPr>
      </w:pPr>
      <w:r w:rsidRPr="00673E90">
        <w:rPr>
          <w:rFonts w:cs="Times New Roman"/>
          <w:b/>
          <w:bCs/>
        </w:rPr>
        <w:lastRenderedPageBreak/>
        <w:t xml:space="preserve">Table </w:t>
      </w:r>
      <w:r w:rsidR="00D76F98">
        <w:rPr>
          <w:rFonts w:cs="Times New Roman"/>
          <w:b/>
          <w:bCs/>
        </w:rPr>
        <w:t>3.</w:t>
      </w:r>
      <w:r w:rsidRPr="00673E90">
        <w:rPr>
          <w:rFonts w:cs="Times New Roman"/>
          <w:b/>
          <w:bCs/>
        </w:rPr>
        <w:t>4 Linear mixed models testing the effects of habitat type, dominant blood meal, and blood meal richness on alpha diversity across Capira samples after accounting for triatomine age groups.</w:t>
      </w:r>
    </w:p>
    <w:p w14:paraId="6F19A5E0" w14:textId="77777777" w:rsidR="00673E90" w:rsidRPr="006C32C9" w:rsidRDefault="00673E90" w:rsidP="00673E90">
      <w:pPr>
        <w:rPr>
          <w:rFonts w:cs="Times New Roman"/>
        </w:rPr>
      </w:pPr>
      <w:r w:rsidRPr="006C32C9">
        <w:rPr>
          <w:rFonts w:cs="Times New Roman"/>
        </w:rPr>
        <w:t xml:space="preserve">Alpha diversity values were log-transformed prior to fitting and palm identity was included as a random effect. </w:t>
      </w:r>
    </w:p>
    <w:p w14:paraId="2BBB9BC4" w14:textId="53A0A83A" w:rsidR="0041674F" w:rsidRDefault="00673E90">
      <w:pPr>
        <w:rPr>
          <w:rFonts w:cs="Times New Roman"/>
        </w:rPr>
      </w:pPr>
      <w:r w:rsidRPr="006C32C9">
        <w:rPr>
          <w:rFonts w:cs="Times New Roman"/>
        </w:rPr>
        <w:t>Marginal R</w:t>
      </w:r>
      <w:r w:rsidRPr="00D76F98">
        <w:rPr>
          <w:rFonts w:cs="Times New Roman"/>
          <w:vertAlign w:val="superscript"/>
        </w:rPr>
        <w:t>2</w:t>
      </w:r>
      <w:r w:rsidRPr="006C32C9">
        <w:rPr>
          <w:rFonts w:cs="Times New Roman"/>
        </w:rPr>
        <w:t xml:space="preserve"> values were reported for full models and partial R2 values were reported for each covariate. Significant relationships are shown in bold</w:t>
      </w:r>
      <w:r w:rsidR="006C32C9" w:rsidRPr="006C32C9">
        <w:rPr>
          <w:rFonts w:cs="Times New Roman"/>
        </w:rPr>
        <w:t>.</w:t>
      </w:r>
    </w:p>
    <w:p w14:paraId="32DA11DE" w14:textId="77777777" w:rsidR="00D76F98" w:rsidRDefault="00D76F98">
      <w:pPr>
        <w:rPr>
          <w:rFonts w:cs="Times New Roman"/>
        </w:rPr>
      </w:pPr>
    </w:p>
    <w:p w14:paraId="6C2A6253" w14:textId="77777777" w:rsidR="00D76F98" w:rsidRDefault="00D76F98">
      <w:pPr>
        <w:rPr>
          <w:rFonts w:cs="Times New Roman"/>
        </w:rPr>
      </w:pPr>
    </w:p>
    <w:p w14:paraId="0C8B39FC" w14:textId="77777777" w:rsidR="00D76F98" w:rsidRPr="00D76F98" w:rsidRDefault="00D76F98">
      <w:pPr>
        <w:rPr>
          <w:rFonts w:cs="Times New Roman"/>
        </w:rPr>
      </w:pPr>
    </w:p>
    <w:tbl>
      <w:tblPr>
        <w:tblW w:w="11780" w:type="dxa"/>
        <w:tblLook w:val="04A0" w:firstRow="1" w:lastRow="0" w:firstColumn="1" w:lastColumn="0" w:noHBand="0" w:noVBand="1"/>
      </w:tblPr>
      <w:tblGrid>
        <w:gridCol w:w="2680"/>
        <w:gridCol w:w="1300"/>
        <w:gridCol w:w="1300"/>
        <w:gridCol w:w="1300"/>
        <w:gridCol w:w="1300"/>
        <w:gridCol w:w="1300"/>
        <w:gridCol w:w="1300"/>
        <w:gridCol w:w="1300"/>
      </w:tblGrid>
      <w:tr w:rsidR="0041674F" w:rsidRPr="0041674F" w14:paraId="6D2E0EF1" w14:textId="77777777" w:rsidTr="0041674F">
        <w:trPr>
          <w:trHeight w:val="380"/>
        </w:trPr>
        <w:tc>
          <w:tcPr>
            <w:tcW w:w="2680" w:type="dxa"/>
            <w:tcBorders>
              <w:top w:val="nil"/>
              <w:left w:val="nil"/>
              <w:bottom w:val="nil"/>
              <w:right w:val="nil"/>
            </w:tcBorders>
            <w:shd w:val="clear" w:color="auto" w:fill="auto"/>
            <w:noWrap/>
            <w:vAlign w:val="bottom"/>
            <w:hideMark/>
          </w:tcPr>
          <w:p w14:paraId="7EB83C65"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CF1F350"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R^2</w:t>
            </w:r>
          </w:p>
        </w:tc>
        <w:tc>
          <w:tcPr>
            <w:tcW w:w="1300" w:type="dxa"/>
            <w:tcBorders>
              <w:top w:val="nil"/>
              <w:left w:val="nil"/>
              <w:bottom w:val="nil"/>
              <w:right w:val="nil"/>
            </w:tcBorders>
            <w:shd w:val="clear" w:color="auto" w:fill="auto"/>
            <w:noWrap/>
            <w:vAlign w:val="bottom"/>
            <w:hideMark/>
          </w:tcPr>
          <w:p w14:paraId="69103161"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Sum SQ</w:t>
            </w:r>
          </w:p>
        </w:tc>
        <w:tc>
          <w:tcPr>
            <w:tcW w:w="1300" w:type="dxa"/>
            <w:tcBorders>
              <w:top w:val="nil"/>
              <w:left w:val="nil"/>
              <w:bottom w:val="nil"/>
              <w:right w:val="nil"/>
            </w:tcBorders>
            <w:shd w:val="clear" w:color="auto" w:fill="auto"/>
            <w:noWrap/>
            <w:vAlign w:val="bottom"/>
            <w:hideMark/>
          </w:tcPr>
          <w:p w14:paraId="2D43570B"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Mean SQ</w:t>
            </w:r>
          </w:p>
        </w:tc>
        <w:tc>
          <w:tcPr>
            <w:tcW w:w="1300" w:type="dxa"/>
            <w:tcBorders>
              <w:top w:val="nil"/>
              <w:left w:val="nil"/>
              <w:bottom w:val="nil"/>
              <w:right w:val="nil"/>
            </w:tcBorders>
            <w:shd w:val="clear" w:color="auto" w:fill="auto"/>
            <w:noWrap/>
            <w:vAlign w:val="bottom"/>
            <w:hideMark/>
          </w:tcPr>
          <w:p w14:paraId="0B6EFDB1"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NumDF</w:t>
            </w:r>
          </w:p>
        </w:tc>
        <w:tc>
          <w:tcPr>
            <w:tcW w:w="1300" w:type="dxa"/>
            <w:tcBorders>
              <w:top w:val="nil"/>
              <w:left w:val="nil"/>
              <w:bottom w:val="nil"/>
              <w:right w:val="nil"/>
            </w:tcBorders>
            <w:shd w:val="clear" w:color="auto" w:fill="auto"/>
            <w:noWrap/>
            <w:vAlign w:val="bottom"/>
            <w:hideMark/>
          </w:tcPr>
          <w:p w14:paraId="3C0727B9"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DenDF</w:t>
            </w:r>
          </w:p>
        </w:tc>
        <w:tc>
          <w:tcPr>
            <w:tcW w:w="1300" w:type="dxa"/>
            <w:tcBorders>
              <w:top w:val="nil"/>
              <w:left w:val="nil"/>
              <w:bottom w:val="nil"/>
              <w:right w:val="nil"/>
            </w:tcBorders>
            <w:shd w:val="clear" w:color="auto" w:fill="auto"/>
            <w:noWrap/>
            <w:vAlign w:val="bottom"/>
            <w:hideMark/>
          </w:tcPr>
          <w:p w14:paraId="798BB56D"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F value</w:t>
            </w:r>
          </w:p>
        </w:tc>
        <w:tc>
          <w:tcPr>
            <w:tcW w:w="1300" w:type="dxa"/>
            <w:tcBorders>
              <w:top w:val="nil"/>
              <w:left w:val="nil"/>
              <w:bottom w:val="nil"/>
              <w:right w:val="nil"/>
            </w:tcBorders>
            <w:shd w:val="clear" w:color="auto" w:fill="auto"/>
            <w:noWrap/>
            <w:vAlign w:val="bottom"/>
            <w:hideMark/>
          </w:tcPr>
          <w:p w14:paraId="7FBC12E6"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p value</w:t>
            </w:r>
          </w:p>
        </w:tc>
      </w:tr>
      <w:tr w:rsidR="0041674F" w:rsidRPr="0041674F" w14:paraId="6F128D80" w14:textId="77777777" w:rsidTr="0041674F">
        <w:trPr>
          <w:trHeight w:val="380"/>
        </w:trPr>
        <w:tc>
          <w:tcPr>
            <w:tcW w:w="2680" w:type="dxa"/>
            <w:tcBorders>
              <w:top w:val="nil"/>
              <w:left w:val="nil"/>
              <w:bottom w:val="nil"/>
              <w:right w:val="nil"/>
            </w:tcBorders>
            <w:shd w:val="clear" w:color="auto" w:fill="auto"/>
            <w:noWrap/>
            <w:vAlign w:val="bottom"/>
            <w:hideMark/>
          </w:tcPr>
          <w:p w14:paraId="1B002A77" w14:textId="77777777" w:rsidR="0041674F" w:rsidRPr="0041674F" w:rsidRDefault="0041674F" w:rsidP="0041674F">
            <w:pPr>
              <w:rPr>
                <w:rFonts w:eastAsia="Times New Roman" w:cs="Times New Roman"/>
                <w:b/>
                <w:bCs/>
                <w:color w:val="000000"/>
              </w:rPr>
            </w:pPr>
            <w:r w:rsidRPr="0041674F">
              <w:rPr>
                <w:rFonts w:eastAsia="Times New Roman" w:cs="Times New Roman"/>
                <w:b/>
                <w:bCs/>
                <w:color w:val="000000"/>
              </w:rPr>
              <w:t>ASV Richness</w:t>
            </w:r>
          </w:p>
        </w:tc>
        <w:tc>
          <w:tcPr>
            <w:tcW w:w="1300" w:type="dxa"/>
            <w:tcBorders>
              <w:top w:val="nil"/>
              <w:left w:val="nil"/>
              <w:bottom w:val="nil"/>
              <w:right w:val="nil"/>
            </w:tcBorders>
            <w:shd w:val="clear" w:color="auto" w:fill="auto"/>
            <w:noWrap/>
            <w:vAlign w:val="bottom"/>
            <w:hideMark/>
          </w:tcPr>
          <w:p w14:paraId="7069D4E5" w14:textId="77777777" w:rsidR="0041674F" w:rsidRPr="0041674F" w:rsidRDefault="0041674F" w:rsidP="0041674F">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271941D7"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EFF9745"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E5AF473"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260DD70"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91BB654"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72E878B" w14:textId="77777777" w:rsidR="0041674F" w:rsidRPr="0041674F" w:rsidRDefault="0041674F" w:rsidP="0041674F">
            <w:pPr>
              <w:rPr>
                <w:rFonts w:eastAsia="Times New Roman" w:cs="Times New Roman"/>
              </w:rPr>
            </w:pPr>
          </w:p>
        </w:tc>
      </w:tr>
      <w:tr w:rsidR="0041674F" w:rsidRPr="0041674F" w14:paraId="7F494E8C" w14:textId="77777777" w:rsidTr="0041674F">
        <w:trPr>
          <w:trHeight w:val="380"/>
        </w:trPr>
        <w:tc>
          <w:tcPr>
            <w:tcW w:w="2680" w:type="dxa"/>
            <w:tcBorders>
              <w:top w:val="nil"/>
              <w:left w:val="nil"/>
              <w:bottom w:val="nil"/>
              <w:right w:val="nil"/>
            </w:tcBorders>
            <w:shd w:val="clear" w:color="auto" w:fill="auto"/>
            <w:noWrap/>
            <w:vAlign w:val="bottom"/>
            <w:hideMark/>
          </w:tcPr>
          <w:p w14:paraId="35CB5592"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549E956F"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0.1002</w:t>
            </w:r>
          </w:p>
        </w:tc>
        <w:tc>
          <w:tcPr>
            <w:tcW w:w="1300" w:type="dxa"/>
            <w:tcBorders>
              <w:top w:val="nil"/>
              <w:left w:val="nil"/>
              <w:bottom w:val="nil"/>
              <w:right w:val="nil"/>
            </w:tcBorders>
            <w:shd w:val="clear" w:color="auto" w:fill="auto"/>
            <w:noWrap/>
            <w:vAlign w:val="bottom"/>
            <w:hideMark/>
          </w:tcPr>
          <w:p w14:paraId="62D7A38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0.007225</w:t>
            </w:r>
          </w:p>
        </w:tc>
        <w:tc>
          <w:tcPr>
            <w:tcW w:w="1300" w:type="dxa"/>
            <w:tcBorders>
              <w:top w:val="nil"/>
              <w:left w:val="nil"/>
              <w:bottom w:val="nil"/>
              <w:right w:val="nil"/>
            </w:tcBorders>
            <w:shd w:val="clear" w:color="auto" w:fill="auto"/>
            <w:noWrap/>
            <w:vAlign w:val="bottom"/>
            <w:hideMark/>
          </w:tcPr>
          <w:p w14:paraId="05A97AF1"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0.007225</w:t>
            </w:r>
          </w:p>
        </w:tc>
        <w:tc>
          <w:tcPr>
            <w:tcW w:w="1300" w:type="dxa"/>
            <w:tcBorders>
              <w:top w:val="nil"/>
              <w:left w:val="nil"/>
              <w:bottom w:val="nil"/>
              <w:right w:val="nil"/>
            </w:tcBorders>
            <w:shd w:val="clear" w:color="auto" w:fill="auto"/>
            <w:noWrap/>
            <w:vAlign w:val="bottom"/>
            <w:hideMark/>
          </w:tcPr>
          <w:p w14:paraId="51DE1D8E"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5120BEA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20.9804</w:t>
            </w:r>
          </w:p>
        </w:tc>
        <w:tc>
          <w:tcPr>
            <w:tcW w:w="1300" w:type="dxa"/>
            <w:tcBorders>
              <w:top w:val="nil"/>
              <w:left w:val="nil"/>
              <w:bottom w:val="nil"/>
              <w:right w:val="nil"/>
            </w:tcBorders>
            <w:shd w:val="clear" w:color="auto" w:fill="auto"/>
            <w:noWrap/>
            <w:vAlign w:val="bottom"/>
            <w:hideMark/>
          </w:tcPr>
          <w:p w14:paraId="703F0659"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0.1027</w:t>
            </w:r>
          </w:p>
        </w:tc>
        <w:tc>
          <w:tcPr>
            <w:tcW w:w="1300" w:type="dxa"/>
            <w:tcBorders>
              <w:top w:val="nil"/>
              <w:left w:val="nil"/>
              <w:bottom w:val="nil"/>
              <w:right w:val="nil"/>
            </w:tcBorders>
            <w:shd w:val="clear" w:color="auto" w:fill="auto"/>
            <w:noWrap/>
            <w:vAlign w:val="bottom"/>
            <w:hideMark/>
          </w:tcPr>
          <w:p w14:paraId="3CE383EF"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0.7518</w:t>
            </w:r>
          </w:p>
        </w:tc>
      </w:tr>
      <w:tr w:rsidR="0041674F" w:rsidRPr="0041674F" w14:paraId="5BC45A23" w14:textId="77777777" w:rsidTr="0041674F">
        <w:trPr>
          <w:trHeight w:val="380"/>
        </w:trPr>
        <w:tc>
          <w:tcPr>
            <w:tcW w:w="2680" w:type="dxa"/>
            <w:tcBorders>
              <w:top w:val="nil"/>
              <w:left w:val="nil"/>
              <w:bottom w:val="nil"/>
              <w:right w:val="nil"/>
            </w:tcBorders>
            <w:shd w:val="clear" w:color="auto" w:fill="auto"/>
            <w:noWrap/>
            <w:vAlign w:val="bottom"/>
            <w:hideMark/>
          </w:tcPr>
          <w:p w14:paraId="3A575230"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42F8C2B2"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0.0155</w:t>
            </w:r>
          </w:p>
        </w:tc>
        <w:tc>
          <w:tcPr>
            <w:tcW w:w="1300" w:type="dxa"/>
            <w:tcBorders>
              <w:top w:val="nil"/>
              <w:left w:val="nil"/>
              <w:bottom w:val="nil"/>
              <w:right w:val="nil"/>
            </w:tcBorders>
            <w:shd w:val="clear" w:color="auto" w:fill="auto"/>
            <w:noWrap/>
            <w:vAlign w:val="bottom"/>
            <w:hideMark/>
          </w:tcPr>
          <w:p w14:paraId="5C51F689"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0.012241</w:t>
            </w:r>
          </w:p>
        </w:tc>
        <w:tc>
          <w:tcPr>
            <w:tcW w:w="1300" w:type="dxa"/>
            <w:tcBorders>
              <w:top w:val="nil"/>
              <w:left w:val="nil"/>
              <w:bottom w:val="nil"/>
              <w:right w:val="nil"/>
            </w:tcBorders>
            <w:shd w:val="clear" w:color="auto" w:fill="auto"/>
            <w:noWrap/>
            <w:vAlign w:val="bottom"/>
            <w:hideMark/>
          </w:tcPr>
          <w:p w14:paraId="4F6BD7BC"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0.012241</w:t>
            </w:r>
          </w:p>
        </w:tc>
        <w:tc>
          <w:tcPr>
            <w:tcW w:w="1300" w:type="dxa"/>
            <w:tcBorders>
              <w:top w:val="nil"/>
              <w:left w:val="nil"/>
              <w:bottom w:val="nil"/>
              <w:right w:val="nil"/>
            </w:tcBorders>
            <w:shd w:val="clear" w:color="auto" w:fill="auto"/>
            <w:noWrap/>
            <w:vAlign w:val="bottom"/>
            <w:hideMark/>
          </w:tcPr>
          <w:p w14:paraId="77402BB3"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73D95B26"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5.1252</w:t>
            </w:r>
          </w:p>
        </w:tc>
        <w:tc>
          <w:tcPr>
            <w:tcW w:w="1300" w:type="dxa"/>
            <w:tcBorders>
              <w:top w:val="nil"/>
              <w:left w:val="nil"/>
              <w:bottom w:val="nil"/>
              <w:right w:val="nil"/>
            </w:tcBorders>
            <w:shd w:val="clear" w:color="auto" w:fill="auto"/>
            <w:noWrap/>
            <w:vAlign w:val="bottom"/>
            <w:hideMark/>
          </w:tcPr>
          <w:p w14:paraId="748ABB03"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0.174</w:t>
            </w:r>
          </w:p>
        </w:tc>
        <w:tc>
          <w:tcPr>
            <w:tcW w:w="1300" w:type="dxa"/>
            <w:tcBorders>
              <w:top w:val="nil"/>
              <w:left w:val="nil"/>
              <w:bottom w:val="nil"/>
              <w:right w:val="nil"/>
            </w:tcBorders>
            <w:shd w:val="clear" w:color="auto" w:fill="auto"/>
            <w:noWrap/>
            <w:vAlign w:val="bottom"/>
            <w:hideMark/>
          </w:tcPr>
          <w:p w14:paraId="093545D3"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0.6935</w:t>
            </w:r>
          </w:p>
        </w:tc>
      </w:tr>
      <w:tr w:rsidR="0041674F" w:rsidRPr="0041674F" w14:paraId="2516C403" w14:textId="77777777" w:rsidTr="0041674F">
        <w:trPr>
          <w:trHeight w:val="380"/>
        </w:trPr>
        <w:tc>
          <w:tcPr>
            <w:tcW w:w="2680" w:type="dxa"/>
            <w:tcBorders>
              <w:top w:val="nil"/>
              <w:left w:val="nil"/>
              <w:bottom w:val="nil"/>
              <w:right w:val="nil"/>
            </w:tcBorders>
            <w:shd w:val="clear" w:color="auto" w:fill="auto"/>
            <w:noWrap/>
            <w:vAlign w:val="bottom"/>
            <w:hideMark/>
          </w:tcPr>
          <w:p w14:paraId="16C2CA2F"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49D31BE7"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0.0816</w:t>
            </w:r>
          </w:p>
        </w:tc>
        <w:tc>
          <w:tcPr>
            <w:tcW w:w="1300" w:type="dxa"/>
            <w:tcBorders>
              <w:top w:val="nil"/>
              <w:left w:val="nil"/>
              <w:bottom w:val="nil"/>
              <w:right w:val="nil"/>
            </w:tcBorders>
            <w:shd w:val="clear" w:color="auto" w:fill="auto"/>
            <w:noWrap/>
            <w:vAlign w:val="bottom"/>
            <w:hideMark/>
          </w:tcPr>
          <w:p w14:paraId="42E25AEA"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0.209666</w:t>
            </w:r>
          </w:p>
        </w:tc>
        <w:tc>
          <w:tcPr>
            <w:tcW w:w="1300" w:type="dxa"/>
            <w:tcBorders>
              <w:top w:val="nil"/>
              <w:left w:val="nil"/>
              <w:bottom w:val="nil"/>
              <w:right w:val="nil"/>
            </w:tcBorders>
            <w:shd w:val="clear" w:color="auto" w:fill="auto"/>
            <w:noWrap/>
            <w:vAlign w:val="bottom"/>
            <w:hideMark/>
          </w:tcPr>
          <w:p w14:paraId="00C68F5D"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0.069889</w:t>
            </w:r>
          </w:p>
        </w:tc>
        <w:tc>
          <w:tcPr>
            <w:tcW w:w="1300" w:type="dxa"/>
            <w:tcBorders>
              <w:top w:val="nil"/>
              <w:left w:val="nil"/>
              <w:bottom w:val="nil"/>
              <w:right w:val="nil"/>
            </w:tcBorders>
            <w:shd w:val="clear" w:color="auto" w:fill="auto"/>
            <w:noWrap/>
            <w:vAlign w:val="bottom"/>
            <w:hideMark/>
          </w:tcPr>
          <w:p w14:paraId="5C7699C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4CF673EF"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22.0301</w:t>
            </w:r>
          </w:p>
        </w:tc>
        <w:tc>
          <w:tcPr>
            <w:tcW w:w="1300" w:type="dxa"/>
            <w:tcBorders>
              <w:top w:val="nil"/>
              <w:left w:val="nil"/>
              <w:bottom w:val="nil"/>
              <w:right w:val="nil"/>
            </w:tcBorders>
            <w:shd w:val="clear" w:color="auto" w:fill="auto"/>
            <w:noWrap/>
            <w:vAlign w:val="bottom"/>
            <w:hideMark/>
          </w:tcPr>
          <w:p w14:paraId="25CA7ACE"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0.9935</w:t>
            </w:r>
          </w:p>
        </w:tc>
        <w:tc>
          <w:tcPr>
            <w:tcW w:w="1300" w:type="dxa"/>
            <w:tcBorders>
              <w:top w:val="nil"/>
              <w:left w:val="nil"/>
              <w:bottom w:val="nil"/>
              <w:right w:val="nil"/>
            </w:tcBorders>
            <w:shd w:val="clear" w:color="auto" w:fill="auto"/>
            <w:noWrap/>
            <w:vAlign w:val="bottom"/>
            <w:hideMark/>
          </w:tcPr>
          <w:p w14:paraId="63D608A6"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0.4142</w:t>
            </w:r>
          </w:p>
        </w:tc>
      </w:tr>
      <w:tr w:rsidR="0041674F" w:rsidRPr="0041674F" w14:paraId="55F23FC8" w14:textId="77777777" w:rsidTr="0041674F">
        <w:trPr>
          <w:trHeight w:val="380"/>
        </w:trPr>
        <w:tc>
          <w:tcPr>
            <w:tcW w:w="2680" w:type="dxa"/>
            <w:tcBorders>
              <w:top w:val="nil"/>
              <w:left w:val="nil"/>
              <w:bottom w:val="nil"/>
              <w:right w:val="nil"/>
            </w:tcBorders>
            <w:shd w:val="clear" w:color="auto" w:fill="auto"/>
            <w:noWrap/>
            <w:vAlign w:val="bottom"/>
            <w:hideMark/>
          </w:tcPr>
          <w:p w14:paraId="756A7CA8"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113D2382"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0.0041</w:t>
            </w:r>
          </w:p>
        </w:tc>
        <w:tc>
          <w:tcPr>
            <w:tcW w:w="1300" w:type="dxa"/>
            <w:tcBorders>
              <w:top w:val="nil"/>
              <w:left w:val="nil"/>
              <w:bottom w:val="nil"/>
              <w:right w:val="nil"/>
            </w:tcBorders>
            <w:shd w:val="clear" w:color="auto" w:fill="auto"/>
            <w:noWrap/>
            <w:vAlign w:val="bottom"/>
            <w:hideMark/>
          </w:tcPr>
          <w:p w14:paraId="7187EA0C"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0.131392</w:t>
            </w:r>
          </w:p>
        </w:tc>
        <w:tc>
          <w:tcPr>
            <w:tcW w:w="1300" w:type="dxa"/>
            <w:tcBorders>
              <w:top w:val="nil"/>
              <w:left w:val="nil"/>
              <w:bottom w:val="nil"/>
              <w:right w:val="nil"/>
            </w:tcBorders>
            <w:shd w:val="clear" w:color="auto" w:fill="auto"/>
            <w:noWrap/>
            <w:vAlign w:val="bottom"/>
            <w:hideMark/>
          </w:tcPr>
          <w:p w14:paraId="062AB491"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0.032848</w:t>
            </w:r>
          </w:p>
        </w:tc>
        <w:tc>
          <w:tcPr>
            <w:tcW w:w="1300" w:type="dxa"/>
            <w:tcBorders>
              <w:top w:val="nil"/>
              <w:left w:val="nil"/>
              <w:bottom w:val="nil"/>
              <w:right w:val="nil"/>
            </w:tcBorders>
            <w:shd w:val="clear" w:color="auto" w:fill="auto"/>
            <w:noWrap/>
            <w:vAlign w:val="bottom"/>
            <w:hideMark/>
          </w:tcPr>
          <w:p w14:paraId="2F5DC8DD"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4</w:t>
            </w:r>
          </w:p>
        </w:tc>
        <w:tc>
          <w:tcPr>
            <w:tcW w:w="1300" w:type="dxa"/>
            <w:tcBorders>
              <w:top w:val="nil"/>
              <w:left w:val="nil"/>
              <w:bottom w:val="nil"/>
              <w:right w:val="nil"/>
            </w:tcBorders>
            <w:shd w:val="clear" w:color="auto" w:fill="auto"/>
            <w:noWrap/>
            <w:vAlign w:val="bottom"/>
            <w:hideMark/>
          </w:tcPr>
          <w:p w14:paraId="3BEF83E0"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19.9735</w:t>
            </w:r>
          </w:p>
        </w:tc>
        <w:tc>
          <w:tcPr>
            <w:tcW w:w="1300" w:type="dxa"/>
            <w:tcBorders>
              <w:top w:val="nil"/>
              <w:left w:val="nil"/>
              <w:bottom w:val="nil"/>
              <w:right w:val="nil"/>
            </w:tcBorders>
            <w:shd w:val="clear" w:color="auto" w:fill="auto"/>
            <w:noWrap/>
            <w:vAlign w:val="bottom"/>
            <w:hideMark/>
          </w:tcPr>
          <w:p w14:paraId="6EA30E0D"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0.4669</w:t>
            </w:r>
          </w:p>
        </w:tc>
        <w:tc>
          <w:tcPr>
            <w:tcW w:w="1300" w:type="dxa"/>
            <w:tcBorders>
              <w:top w:val="nil"/>
              <w:left w:val="nil"/>
              <w:bottom w:val="nil"/>
              <w:right w:val="nil"/>
            </w:tcBorders>
            <w:shd w:val="clear" w:color="auto" w:fill="auto"/>
            <w:noWrap/>
            <w:vAlign w:val="bottom"/>
            <w:hideMark/>
          </w:tcPr>
          <w:p w14:paraId="005EF539"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0.7593</w:t>
            </w:r>
          </w:p>
        </w:tc>
      </w:tr>
      <w:tr w:rsidR="0041674F" w:rsidRPr="0041674F" w14:paraId="65197580" w14:textId="77777777" w:rsidTr="0041674F">
        <w:trPr>
          <w:trHeight w:val="380"/>
        </w:trPr>
        <w:tc>
          <w:tcPr>
            <w:tcW w:w="2680" w:type="dxa"/>
            <w:tcBorders>
              <w:top w:val="nil"/>
              <w:left w:val="nil"/>
              <w:bottom w:val="nil"/>
              <w:right w:val="nil"/>
            </w:tcBorders>
            <w:shd w:val="clear" w:color="auto" w:fill="auto"/>
            <w:noWrap/>
            <w:vAlign w:val="bottom"/>
            <w:hideMark/>
          </w:tcPr>
          <w:p w14:paraId="4985BEB6"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2AF2394A"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0.1975</w:t>
            </w:r>
          </w:p>
        </w:tc>
        <w:tc>
          <w:tcPr>
            <w:tcW w:w="1300" w:type="dxa"/>
            <w:tcBorders>
              <w:top w:val="nil"/>
              <w:left w:val="nil"/>
              <w:bottom w:val="nil"/>
              <w:right w:val="nil"/>
            </w:tcBorders>
            <w:shd w:val="clear" w:color="auto" w:fill="auto"/>
            <w:noWrap/>
            <w:vAlign w:val="bottom"/>
            <w:hideMark/>
          </w:tcPr>
          <w:p w14:paraId="298C9850" w14:textId="77777777" w:rsidR="0041674F" w:rsidRPr="0041674F" w:rsidRDefault="0041674F" w:rsidP="0041674F">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11BBF308"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26735B2"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C83EBEA"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BFE72C1"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B8554F8" w14:textId="77777777" w:rsidR="0041674F" w:rsidRPr="0041674F" w:rsidRDefault="0041674F" w:rsidP="0041674F">
            <w:pPr>
              <w:rPr>
                <w:rFonts w:eastAsia="Times New Roman" w:cs="Times New Roman"/>
              </w:rPr>
            </w:pPr>
          </w:p>
        </w:tc>
      </w:tr>
      <w:tr w:rsidR="0041674F" w:rsidRPr="0041674F" w14:paraId="409A1F6D" w14:textId="77777777" w:rsidTr="0041674F">
        <w:trPr>
          <w:trHeight w:val="380"/>
        </w:trPr>
        <w:tc>
          <w:tcPr>
            <w:tcW w:w="2680" w:type="dxa"/>
            <w:tcBorders>
              <w:top w:val="nil"/>
              <w:left w:val="nil"/>
              <w:bottom w:val="nil"/>
              <w:right w:val="nil"/>
            </w:tcBorders>
            <w:shd w:val="clear" w:color="auto" w:fill="auto"/>
            <w:noWrap/>
            <w:vAlign w:val="bottom"/>
            <w:hideMark/>
          </w:tcPr>
          <w:p w14:paraId="1CBD8D50"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EE2F96D"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4878963"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EAE7D0B"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7000648"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6FDD897"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36AE9EE"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79D1777" w14:textId="77777777" w:rsidR="0041674F" w:rsidRPr="0041674F" w:rsidRDefault="0041674F" w:rsidP="0041674F">
            <w:pPr>
              <w:rPr>
                <w:rFonts w:eastAsia="Times New Roman" w:cs="Times New Roman"/>
              </w:rPr>
            </w:pPr>
          </w:p>
        </w:tc>
      </w:tr>
      <w:tr w:rsidR="0041674F" w:rsidRPr="0041674F" w14:paraId="0F721345" w14:textId="77777777" w:rsidTr="0041674F">
        <w:trPr>
          <w:trHeight w:val="380"/>
        </w:trPr>
        <w:tc>
          <w:tcPr>
            <w:tcW w:w="2680" w:type="dxa"/>
            <w:tcBorders>
              <w:top w:val="nil"/>
              <w:left w:val="nil"/>
              <w:bottom w:val="nil"/>
              <w:right w:val="nil"/>
            </w:tcBorders>
            <w:shd w:val="clear" w:color="auto" w:fill="auto"/>
            <w:noWrap/>
            <w:vAlign w:val="bottom"/>
            <w:hideMark/>
          </w:tcPr>
          <w:p w14:paraId="73B4615A" w14:textId="55F21406" w:rsidR="0041674F" w:rsidRPr="0041674F" w:rsidRDefault="0041674F" w:rsidP="0041674F">
            <w:pPr>
              <w:rPr>
                <w:rFonts w:eastAsia="Times New Roman" w:cs="Times New Roman"/>
                <w:b/>
                <w:bCs/>
                <w:color w:val="000000"/>
              </w:rPr>
            </w:pPr>
            <w:r w:rsidRPr="0041674F">
              <w:rPr>
                <w:rFonts w:eastAsia="Times New Roman" w:cs="Times New Roman"/>
                <w:b/>
                <w:bCs/>
                <w:color w:val="000000"/>
              </w:rPr>
              <w:t>Shannon</w:t>
            </w:r>
          </w:p>
        </w:tc>
        <w:tc>
          <w:tcPr>
            <w:tcW w:w="1300" w:type="dxa"/>
            <w:tcBorders>
              <w:top w:val="nil"/>
              <w:left w:val="nil"/>
              <w:bottom w:val="nil"/>
              <w:right w:val="nil"/>
            </w:tcBorders>
            <w:shd w:val="clear" w:color="auto" w:fill="auto"/>
            <w:noWrap/>
            <w:vAlign w:val="bottom"/>
            <w:hideMark/>
          </w:tcPr>
          <w:p w14:paraId="6A07A1D8" w14:textId="77777777" w:rsidR="0041674F" w:rsidRPr="0041674F" w:rsidRDefault="0041674F" w:rsidP="0041674F">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41D8C7E4"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479494D"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BFDCFCA"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319306E"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863C0B5"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5E4A3F0" w14:textId="77777777" w:rsidR="0041674F" w:rsidRPr="0041674F" w:rsidRDefault="0041674F" w:rsidP="0041674F">
            <w:pPr>
              <w:rPr>
                <w:rFonts w:eastAsia="Times New Roman" w:cs="Times New Roman"/>
              </w:rPr>
            </w:pPr>
          </w:p>
        </w:tc>
      </w:tr>
      <w:tr w:rsidR="0041674F" w:rsidRPr="0041674F" w14:paraId="5CE7377B" w14:textId="77777777" w:rsidTr="0041674F">
        <w:trPr>
          <w:trHeight w:val="380"/>
        </w:trPr>
        <w:tc>
          <w:tcPr>
            <w:tcW w:w="2680" w:type="dxa"/>
            <w:tcBorders>
              <w:top w:val="nil"/>
              <w:left w:val="nil"/>
              <w:bottom w:val="nil"/>
              <w:right w:val="nil"/>
            </w:tcBorders>
            <w:shd w:val="clear" w:color="auto" w:fill="auto"/>
            <w:noWrap/>
            <w:vAlign w:val="bottom"/>
            <w:hideMark/>
          </w:tcPr>
          <w:p w14:paraId="2659F2D1"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63C510F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w:t>
            </w:r>
          </w:p>
        </w:tc>
        <w:tc>
          <w:tcPr>
            <w:tcW w:w="1300" w:type="dxa"/>
            <w:tcBorders>
              <w:top w:val="nil"/>
              <w:left w:val="nil"/>
              <w:bottom w:val="nil"/>
              <w:right w:val="nil"/>
            </w:tcBorders>
            <w:shd w:val="clear" w:color="auto" w:fill="auto"/>
            <w:noWrap/>
            <w:vAlign w:val="bottom"/>
            <w:hideMark/>
          </w:tcPr>
          <w:p w14:paraId="1A28DA2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0.001439</w:t>
            </w:r>
          </w:p>
        </w:tc>
        <w:tc>
          <w:tcPr>
            <w:tcW w:w="1300" w:type="dxa"/>
            <w:tcBorders>
              <w:top w:val="nil"/>
              <w:left w:val="nil"/>
              <w:bottom w:val="nil"/>
              <w:right w:val="nil"/>
            </w:tcBorders>
            <w:shd w:val="clear" w:color="auto" w:fill="auto"/>
            <w:noWrap/>
            <w:vAlign w:val="bottom"/>
            <w:hideMark/>
          </w:tcPr>
          <w:p w14:paraId="2C45DEC3"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0.001439</w:t>
            </w:r>
          </w:p>
        </w:tc>
        <w:tc>
          <w:tcPr>
            <w:tcW w:w="1300" w:type="dxa"/>
            <w:tcBorders>
              <w:top w:val="nil"/>
              <w:left w:val="nil"/>
              <w:bottom w:val="nil"/>
              <w:right w:val="nil"/>
            </w:tcBorders>
            <w:shd w:val="clear" w:color="auto" w:fill="auto"/>
            <w:noWrap/>
            <w:vAlign w:val="bottom"/>
            <w:hideMark/>
          </w:tcPr>
          <w:p w14:paraId="0F7FBB74"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32471819"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22.2591</w:t>
            </w:r>
          </w:p>
        </w:tc>
        <w:tc>
          <w:tcPr>
            <w:tcW w:w="1300" w:type="dxa"/>
            <w:tcBorders>
              <w:top w:val="nil"/>
              <w:left w:val="nil"/>
              <w:bottom w:val="nil"/>
              <w:right w:val="nil"/>
            </w:tcBorders>
            <w:shd w:val="clear" w:color="auto" w:fill="auto"/>
            <w:noWrap/>
            <w:vAlign w:val="bottom"/>
            <w:hideMark/>
          </w:tcPr>
          <w:p w14:paraId="6C745171"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0.0314</w:t>
            </w:r>
          </w:p>
        </w:tc>
        <w:tc>
          <w:tcPr>
            <w:tcW w:w="1300" w:type="dxa"/>
            <w:tcBorders>
              <w:top w:val="nil"/>
              <w:left w:val="nil"/>
              <w:bottom w:val="nil"/>
              <w:right w:val="nil"/>
            </w:tcBorders>
            <w:shd w:val="clear" w:color="auto" w:fill="auto"/>
            <w:noWrap/>
            <w:vAlign w:val="bottom"/>
            <w:hideMark/>
          </w:tcPr>
          <w:p w14:paraId="45655E80"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0.861</w:t>
            </w:r>
          </w:p>
        </w:tc>
      </w:tr>
      <w:tr w:rsidR="0041674F" w:rsidRPr="0041674F" w14:paraId="03400F29" w14:textId="77777777" w:rsidTr="0041674F">
        <w:trPr>
          <w:trHeight w:val="380"/>
        </w:trPr>
        <w:tc>
          <w:tcPr>
            <w:tcW w:w="2680" w:type="dxa"/>
            <w:tcBorders>
              <w:top w:val="nil"/>
              <w:left w:val="nil"/>
              <w:bottom w:val="nil"/>
              <w:right w:val="nil"/>
            </w:tcBorders>
            <w:shd w:val="clear" w:color="auto" w:fill="auto"/>
            <w:noWrap/>
            <w:vAlign w:val="bottom"/>
            <w:hideMark/>
          </w:tcPr>
          <w:p w14:paraId="2D484180"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4805A0D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0.0967</w:t>
            </w:r>
          </w:p>
        </w:tc>
        <w:tc>
          <w:tcPr>
            <w:tcW w:w="1300" w:type="dxa"/>
            <w:tcBorders>
              <w:top w:val="nil"/>
              <w:left w:val="nil"/>
              <w:bottom w:val="nil"/>
              <w:right w:val="nil"/>
            </w:tcBorders>
            <w:shd w:val="clear" w:color="auto" w:fill="auto"/>
            <w:noWrap/>
            <w:vAlign w:val="bottom"/>
            <w:hideMark/>
          </w:tcPr>
          <w:p w14:paraId="1AF8540A"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0.04613</w:t>
            </w:r>
          </w:p>
        </w:tc>
        <w:tc>
          <w:tcPr>
            <w:tcW w:w="1300" w:type="dxa"/>
            <w:tcBorders>
              <w:top w:val="nil"/>
              <w:left w:val="nil"/>
              <w:bottom w:val="nil"/>
              <w:right w:val="nil"/>
            </w:tcBorders>
            <w:shd w:val="clear" w:color="auto" w:fill="auto"/>
            <w:noWrap/>
            <w:vAlign w:val="bottom"/>
            <w:hideMark/>
          </w:tcPr>
          <w:p w14:paraId="43BCC7BE"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0.04613</w:t>
            </w:r>
          </w:p>
        </w:tc>
        <w:tc>
          <w:tcPr>
            <w:tcW w:w="1300" w:type="dxa"/>
            <w:tcBorders>
              <w:top w:val="nil"/>
              <w:left w:val="nil"/>
              <w:bottom w:val="nil"/>
              <w:right w:val="nil"/>
            </w:tcBorders>
            <w:shd w:val="clear" w:color="auto" w:fill="auto"/>
            <w:noWrap/>
            <w:vAlign w:val="bottom"/>
            <w:hideMark/>
          </w:tcPr>
          <w:p w14:paraId="3C47A222"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2323D196"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3.7175</w:t>
            </w:r>
          </w:p>
        </w:tc>
        <w:tc>
          <w:tcPr>
            <w:tcW w:w="1300" w:type="dxa"/>
            <w:tcBorders>
              <w:top w:val="nil"/>
              <w:left w:val="nil"/>
              <w:bottom w:val="nil"/>
              <w:right w:val="nil"/>
            </w:tcBorders>
            <w:shd w:val="clear" w:color="auto" w:fill="auto"/>
            <w:noWrap/>
            <w:vAlign w:val="bottom"/>
            <w:hideMark/>
          </w:tcPr>
          <w:p w14:paraId="302C3C2A"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1.0056</w:t>
            </w:r>
          </w:p>
        </w:tc>
        <w:tc>
          <w:tcPr>
            <w:tcW w:w="1300" w:type="dxa"/>
            <w:tcBorders>
              <w:top w:val="nil"/>
              <w:left w:val="nil"/>
              <w:bottom w:val="nil"/>
              <w:right w:val="nil"/>
            </w:tcBorders>
            <w:shd w:val="clear" w:color="auto" w:fill="auto"/>
            <w:noWrap/>
            <w:vAlign w:val="bottom"/>
            <w:hideMark/>
          </w:tcPr>
          <w:p w14:paraId="2C0CD47A"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0.3767</w:t>
            </w:r>
          </w:p>
        </w:tc>
      </w:tr>
      <w:tr w:rsidR="0041674F" w:rsidRPr="0041674F" w14:paraId="5E8C3F7A" w14:textId="77777777" w:rsidTr="0041674F">
        <w:trPr>
          <w:trHeight w:val="380"/>
        </w:trPr>
        <w:tc>
          <w:tcPr>
            <w:tcW w:w="2680" w:type="dxa"/>
            <w:tcBorders>
              <w:top w:val="nil"/>
              <w:left w:val="nil"/>
              <w:bottom w:val="nil"/>
              <w:right w:val="nil"/>
            </w:tcBorders>
            <w:shd w:val="clear" w:color="auto" w:fill="auto"/>
            <w:noWrap/>
            <w:vAlign w:val="bottom"/>
            <w:hideMark/>
          </w:tcPr>
          <w:p w14:paraId="4B924C45"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4684CBA2"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0.1777</w:t>
            </w:r>
          </w:p>
        </w:tc>
        <w:tc>
          <w:tcPr>
            <w:tcW w:w="1300" w:type="dxa"/>
            <w:tcBorders>
              <w:top w:val="nil"/>
              <w:left w:val="nil"/>
              <w:bottom w:val="nil"/>
              <w:right w:val="nil"/>
            </w:tcBorders>
            <w:shd w:val="clear" w:color="auto" w:fill="auto"/>
            <w:noWrap/>
            <w:vAlign w:val="bottom"/>
            <w:hideMark/>
          </w:tcPr>
          <w:p w14:paraId="6F84EB27"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0.250108</w:t>
            </w:r>
          </w:p>
        </w:tc>
        <w:tc>
          <w:tcPr>
            <w:tcW w:w="1300" w:type="dxa"/>
            <w:tcBorders>
              <w:top w:val="nil"/>
              <w:left w:val="nil"/>
              <w:bottom w:val="nil"/>
              <w:right w:val="nil"/>
            </w:tcBorders>
            <w:shd w:val="clear" w:color="auto" w:fill="auto"/>
            <w:noWrap/>
            <w:vAlign w:val="bottom"/>
            <w:hideMark/>
          </w:tcPr>
          <w:p w14:paraId="593E272F"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0.083369</w:t>
            </w:r>
          </w:p>
        </w:tc>
        <w:tc>
          <w:tcPr>
            <w:tcW w:w="1300" w:type="dxa"/>
            <w:tcBorders>
              <w:top w:val="nil"/>
              <w:left w:val="nil"/>
              <w:bottom w:val="nil"/>
              <w:right w:val="nil"/>
            </w:tcBorders>
            <w:shd w:val="clear" w:color="auto" w:fill="auto"/>
            <w:noWrap/>
            <w:vAlign w:val="bottom"/>
            <w:hideMark/>
          </w:tcPr>
          <w:p w14:paraId="40722531"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7609B0F3"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22.3606</w:t>
            </w:r>
          </w:p>
        </w:tc>
        <w:tc>
          <w:tcPr>
            <w:tcW w:w="1300" w:type="dxa"/>
            <w:tcBorders>
              <w:top w:val="nil"/>
              <w:left w:val="nil"/>
              <w:bottom w:val="nil"/>
              <w:right w:val="nil"/>
            </w:tcBorders>
            <w:shd w:val="clear" w:color="auto" w:fill="auto"/>
            <w:noWrap/>
            <w:vAlign w:val="bottom"/>
            <w:hideMark/>
          </w:tcPr>
          <w:p w14:paraId="6CD6468C"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1.8174</w:t>
            </w:r>
          </w:p>
        </w:tc>
        <w:tc>
          <w:tcPr>
            <w:tcW w:w="1300" w:type="dxa"/>
            <w:tcBorders>
              <w:top w:val="nil"/>
              <w:left w:val="nil"/>
              <w:bottom w:val="nil"/>
              <w:right w:val="nil"/>
            </w:tcBorders>
            <w:shd w:val="clear" w:color="auto" w:fill="auto"/>
            <w:noWrap/>
            <w:vAlign w:val="bottom"/>
            <w:hideMark/>
          </w:tcPr>
          <w:p w14:paraId="735D54D4"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0.173</w:t>
            </w:r>
          </w:p>
        </w:tc>
      </w:tr>
      <w:tr w:rsidR="0041674F" w:rsidRPr="0041674F" w14:paraId="02C29344" w14:textId="77777777" w:rsidTr="0041674F">
        <w:trPr>
          <w:trHeight w:val="380"/>
        </w:trPr>
        <w:tc>
          <w:tcPr>
            <w:tcW w:w="2680" w:type="dxa"/>
            <w:tcBorders>
              <w:top w:val="nil"/>
              <w:left w:val="nil"/>
              <w:bottom w:val="nil"/>
              <w:right w:val="nil"/>
            </w:tcBorders>
            <w:shd w:val="clear" w:color="auto" w:fill="auto"/>
            <w:noWrap/>
            <w:vAlign w:val="bottom"/>
            <w:hideMark/>
          </w:tcPr>
          <w:p w14:paraId="456C0BE7"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5D117BED"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0.2034</w:t>
            </w:r>
          </w:p>
        </w:tc>
        <w:tc>
          <w:tcPr>
            <w:tcW w:w="1300" w:type="dxa"/>
            <w:tcBorders>
              <w:top w:val="nil"/>
              <w:left w:val="nil"/>
              <w:bottom w:val="nil"/>
              <w:right w:val="nil"/>
            </w:tcBorders>
            <w:shd w:val="clear" w:color="auto" w:fill="auto"/>
            <w:noWrap/>
            <w:vAlign w:val="bottom"/>
            <w:hideMark/>
          </w:tcPr>
          <w:p w14:paraId="02CC193B"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0.199932</w:t>
            </w:r>
          </w:p>
        </w:tc>
        <w:tc>
          <w:tcPr>
            <w:tcW w:w="1300" w:type="dxa"/>
            <w:tcBorders>
              <w:top w:val="nil"/>
              <w:left w:val="nil"/>
              <w:bottom w:val="nil"/>
              <w:right w:val="nil"/>
            </w:tcBorders>
            <w:shd w:val="clear" w:color="auto" w:fill="auto"/>
            <w:noWrap/>
            <w:vAlign w:val="bottom"/>
            <w:hideMark/>
          </w:tcPr>
          <w:p w14:paraId="6AF08FA6"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0.049983</w:t>
            </w:r>
          </w:p>
        </w:tc>
        <w:tc>
          <w:tcPr>
            <w:tcW w:w="1300" w:type="dxa"/>
            <w:tcBorders>
              <w:top w:val="nil"/>
              <w:left w:val="nil"/>
              <w:bottom w:val="nil"/>
              <w:right w:val="nil"/>
            </w:tcBorders>
            <w:shd w:val="clear" w:color="auto" w:fill="auto"/>
            <w:noWrap/>
            <w:vAlign w:val="bottom"/>
            <w:hideMark/>
          </w:tcPr>
          <w:p w14:paraId="29C3BB62"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4</w:t>
            </w:r>
          </w:p>
        </w:tc>
        <w:tc>
          <w:tcPr>
            <w:tcW w:w="1300" w:type="dxa"/>
            <w:tcBorders>
              <w:top w:val="nil"/>
              <w:left w:val="nil"/>
              <w:bottom w:val="nil"/>
              <w:right w:val="nil"/>
            </w:tcBorders>
            <w:shd w:val="clear" w:color="auto" w:fill="auto"/>
            <w:noWrap/>
            <w:vAlign w:val="bottom"/>
            <w:hideMark/>
          </w:tcPr>
          <w:p w14:paraId="54F8748B"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16.7601</w:t>
            </w:r>
          </w:p>
        </w:tc>
        <w:tc>
          <w:tcPr>
            <w:tcW w:w="1300" w:type="dxa"/>
            <w:tcBorders>
              <w:top w:val="nil"/>
              <w:left w:val="nil"/>
              <w:bottom w:val="nil"/>
              <w:right w:val="nil"/>
            </w:tcBorders>
            <w:shd w:val="clear" w:color="auto" w:fill="auto"/>
            <w:noWrap/>
            <w:vAlign w:val="bottom"/>
            <w:hideMark/>
          </w:tcPr>
          <w:p w14:paraId="5A9BDF72"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1.0896</w:t>
            </w:r>
          </w:p>
        </w:tc>
        <w:tc>
          <w:tcPr>
            <w:tcW w:w="1300" w:type="dxa"/>
            <w:tcBorders>
              <w:top w:val="nil"/>
              <w:left w:val="nil"/>
              <w:bottom w:val="nil"/>
              <w:right w:val="nil"/>
            </w:tcBorders>
            <w:shd w:val="clear" w:color="auto" w:fill="auto"/>
            <w:noWrap/>
            <w:vAlign w:val="bottom"/>
            <w:hideMark/>
          </w:tcPr>
          <w:p w14:paraId="28D80849"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0.3934</w:t>
            </w:r>
          </w:p>
        </w:tc>
      </w:tr>
      <w:tr w:rsidR="0041674F" w:rsidRPr="0041674F" w14:paraId="7FB0C1DF" w14:textId="77777777" w:rsidTr="0041674F">
        <w:trPr>
          <w:trHeight w:val="380"/>
        </w:trPr>
        <w:tc>
          <w:tcPr>
            <w:tcW w:w="2680" w:type="dxa"/>
            <w:tcBorders>
              <w:top w:val="nil"/>
              <w:left w:val="nil"/>
              <w:bottom w:val="nil"/>
              <w:right w:val="nil"/>
            </w:tcBorders>
            <w:shd w:val="clear" w:color="auto" w:fill="auto"/>
            <w:noWrap/>
            <w:vAlign w:val="bottom"/>
            <w:hideMark/>
          </w:tcPr>
          <w:p w14:paraId="7D985AC3"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58DEDA7C"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0.272</w:t>
            </w:r>
          </w:p>
        </w:tc>
        <w:tc>
          <w:tcPr>
            <w:tcW w:w="1300" w:type="dxa"/>
            <w:tcBorders>
              <w:top w:val="nil"/>
              <w:left w:val="nil"/>
              <w:bottom w:val="nil"/>
              <w:right w:val="nil"/>
            </w:tcBorders>
            <w:shd w:val="clear" w:color="auto" w:fill="auto"/>
            <w:noWrap/>
            <w:vAlign w:val="bottom"/>
            <w:hideMark/>
          </w:tcPr>
          <w:p w14:paraId="7870AA53" w14:textId="77777777" w:rsidR="0041674F" w:rsidRPr="0041674F" w:rsidRDefault="0041674F" w:rsidP="0041674F">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154325D8"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C0F9454"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CBA3196"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E0CFD84"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366895F" w14:textId="77777777" w:rsidR="0041674F" w:rsidRPr="0041674F" w:rsidRDefault="0041674F" w:rsidP="0041674F">
            <w:pPr>
              <w:rPr>
                <w:rFonts w:eastAsia="Times New Roman" w:cs="Times New Roman"/>
              </w:rPr>
            </w:pPr>
          </w:p>
        </w:tc>
      </w:tr>
      <w:tr w:rsidR="0041674F" w:rsidRPr="0041674F" w14:paraId="7A48A7D3" w14:textId="77777777" w:rsidTr="0041674F">
        <w:trPr>
          <w:trHeight w:val="380"/>
        </w:trPr>
        <w:tc>
          <w:tcPr>
            <w:tcW w:w="2680" w:type="dxa"/>
            <w:tcBorders>
              <w:top w:val="nil"/>
              <w:left w:val="nil"/>
              <w:bottom w:val="nil"/>
              <w:right w:val="nil"/>
            </w:tcBorders>
            <w:shd w:val="clear" w:color="auto" w:fill="auto"/>
            <w:noWrap/>
            <w:vAlign w:val="bottom"/>
            <w:hideMark/>
          </w:tcPr>
          <w:p w14:paraId="24726DF7" w14:textId="77777777" w:rsidR="0041674F" w:rsidRDefault="0041674F" w:rsidP="0041674F">
            <w:pPr>
              <w:rPr>
                <w:rFonts w:eastAsia="Times New Roman" w:cs="Times New Roman"/>
              </w:rPr>
            </w:pPr>
          </w:p>
          <w:p w14:paraId="4AD7F952" w14:textId="77777777" w:rsidR="00673E90" w:rsidRDefault="00673E90" w:rsidP="0041674F">
            <w:pPr>
              <w:rPr>
                <w:rFonts w:eastAsia="Times New Roman" w:cs="Times New Roman"/>
              </w:rPr>
            </w:pPr>
          </w:p>
          <w:p w14:paraId="2A423CC9" w14:textId="77777777" w:rsidR="00673E90" w:rsidRDefault="00673E90" w:rsidP="0041674F">
            <w:pPr>
              <w:rPr>
                <w:rFonts w:eastAsia="Times New Roman" w:cs="Times New Roman"/>
              </w:rPr>
            </w:pPr>
          </w:p>
          <w:p w14:paraId="2FC7E18C" w14:textId="77777777" w:rsidR="00673E90" w:rsidRDefault="00673E90" w:rsidP="0041674F">
            <w:pPr>
              <w:rPr>
                <w:rFonts w:eastAsia="Times New Roman" w:cs="Times New Roman"/>
              </w:rPr>
            </w:pPr>
          </w:p>
          <w:p w14:paraId="3B0A8957" w14:textId="4A22B007" w:rsidR="00673E90" w:rsidRPr="0041674F" w:rsidRDefault="00673E90"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E4395DD"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1D90F29"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F276380"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520E38A"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9C60E43"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E1DCDBF"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86AF513" w14:textId="77777777" w:rsidR="0041674F" w:rsidRPr="0041674F" w:rsidRDefault="0041674F" w:rsidP="0041674F">
            <w:pPr>
              <w:rPr>
                <w:rFonts w:eastAsia="Times New Roman" w:cs="Times New Roman"/>
              </w:rPr>
            </w:pPr>
          </w:p>
        </w:tc>
      </w:tr>
      <w:tr w:rsidR="0041674F" w:rsidRPr="0041674F" w14:paraId="05DF0517" w14:textId="77777777" w:rsidTr="0041674F">
        <w:trPr>
          <w:trHeight w:val="380"/>
        </w:trPr>
        <w:tc>
          <w:tcPr>
            <w:tcW w:w="3980" w:type="dxa"/>
            <w:gridSpan w:val="2"/>
            <w:tcBorders>
              <w:top w:val="nil"/>
              <w:left w:val="nil"/>
              <w:bottom w:val="nil"/>
              <w:right w:val="nil"/>
            </w:tcBorders>
            <w:shd w:val="clear" w:color="auto" w:fill="auto"/>
            <w:noWrap/>
            <w:vAlign w:val="bottom"/>
            <w:hideMark/>
          </w:tcPr>
          <w:p w14:paraId="194CF149" w14:textId="77777777" w:rsidR="00C258CB" w:rsidRPr="00A53C1D" w:rsidRDefault="00C258CB" w:rsidP="0041674F">
            <w:pPr>
              <w:rPr>
                <w:rFonts w:eastAsia="Times New Roman" w:cs="Times New Roman"/>
                <w:b/>
                <w:bCs/>
                <w:color w:val="000000"/>
              </w:rPr>
            </w:pPr>
          </w:p>
          <w:p w14:paraId="1D881F55" w14:textId="77777777" w:rsidR="006C32C9" w:rsidRDefault="006C32C9" w:rsidP="0041674F">
            <w:pPr>
              <w:rPr>
                <w:rFonts w:eastAsia="Times New Roman" w:cs="Times New Roman"/>
                <w:b/>
                <w:bCs/>
                <w:color w:val="000000"/>
              </w:rPr>
            </w:pPr>
          </w:p>
          <w:p w14:paraId="505B4642" w14:textId="14C9DBD4" w:rsidR="0041674F" w:rsidRPr="0041674F" w:rsidRDefault="0041674F" w:rsidP="0041674F">
            <w:pPr>
              <w:rPr>
                <w:rFonts w:eastAsia="Times New Roman" w:cs="Times New Roman"/>
                <w:b/>
                <w:bCs/>
                <w:color w:val="000000"/>
              </w:rPr>
            </w:pPr>
            <w:r w:rsidRPr="0041674F">
              <w:rPr>
                <w:rFonts w:eastAsia="Times New Roman" w:cs="Times New Roman"/>
                <w:b/>
                <w:bCs/>
                <w:color w:val="000000"/>
              </w:rPr>
              <w:t xml:space="preserve">Faith's </w:t>
            </w:r>
            <w:r w:rsidR="00D76F98">
              <w:rPr>
                <w:rFonts w:eastAsia="Times New Roman" w:cs="Times New Roman"/>
                <w:b/>
                <w:bCs/>
                <w:color w:val="000000"/>
              </w:rPr>
              <w:t>PD</w:t>
            </w:r>
          </w:p>
        </w:tc>
        <w:tc>
          <w:tcPr>
            <w:tcW w:w="1300" w:type="dxa"/>
            <w:tcBorders>
              <w:top w:val="nil"/>
              <w:left w:val="nil"/>
              <w:bottom w:val="nil"/>
              <w:right w:val="nil"/>
            </w:tcBorders>
            <w:shd w:val="clear" w:color="auto" w:fill="auto"/>
            <w:noWrap/>
            <w:vAlign w:val="bottom"/>
            <w:hideMark/>
          </w:tcPr>
          <w:p w14:paraId="58A32E83" w14:textId="77777777" w:rsidR="0041674F" w:rsidRPr="0041674F" w:rsidRDefault="0041674F" w:rsidP="0041674F">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073C3DF2"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D212509"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B96A5FB"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D6A749D"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8086A33" w14:textId="77777777" w:rsidR="0041674F" w:rsidRPr="0041674F" w:rsidRDefault="0041674F" w:rsidP="0041674F">
            <w:pPr>
              <w:rPr>
                <w:rFonts w:eastAsia="Times New Roman" w:cs="Times New Roman"/>
              </w:rPr>
            </w:pPr>
          </w:p>
        </w:tc>
      </w:tr>
      <w:tr w:rsidR="0041674F" w:rsidRPr="0041674F" w14:paraId="02028BB3" w14:textId="77777777" w:rsidTr="0041674F">
        <w:trPr>
          <w:trHeight w:val="380"/>
        </w:trPr>
        <w:tc>
          <w:tcPr>
            <w:tcW w:w="2680" w:type="dxa"/>
            <w:tcBorders>
              <w:top w:val="nil"/>
              <w:left w:val="nil"/>
              <w:bottom w:val="nil"/>
              <w:right w:val="nil"/>
            </w:tcBorders>
            <w:shd w:val="clear" w:color="auto" w:fill="auto"/>
            <w:noWrap/>
            <w:vAlign w:val="bottom"/>
            <w:hideMark/>
          </w:tcPr>
          <w:p w14:paraId="57D2FFAC"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54A74BCA"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0.0015</w:t>
            </w:r>
          </w:p>
        </w:tc>
        <w:tc>
          <w:tcPr>
            <w:tcW w:w="1300" w:type="dxa"/>
            <w:tcBorders>
              <w:top w:val="nil"/>
              <w:left w:val="nil"/>
              <w:bottom w:val="nil"/>
              <w:right w:val="nil"/>
            </w:tcBorders>
            <w:shd w:val="clear" w:color="auto" w:fill="auto"/>
            <w:noWrap/>
            <w:vAlign w:val="bottom"/>
            <w:hideMark/>
          </w:tcPr>
          <w:p w14:paraId="31136A36"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0.03592</w:t>
            </w:r>
          </w:p>
        </w:tc>
        <w:tc>
          <w:tcPr>
            <w:tcW w:w="1300" w:type="dxa"/>
            <w:tcBorders>
              <w:top w:val="nil"/>
              <w:left w:val="nil"/>
              <w:bottom w:val="nil"/>
              <w:right w:val="nil"/>
            </w:tcBorders>
            <w:shd w:val="clear" w:color="auto" w:fill="auto"/>
            <w:noWrap/>
            <w:vAlign w:val="bottom"/>
            <w:hideMark/>
          </w:tcPr>
          <w:p w14:paraId="50DE6DB0"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0.035919</w:t>
            </w:r>
          </w:p>
        </w:tc>
        <w:tc>
          <w:tcPr>
            <w:tcW w:w="1300" w:type="dxa"/>
            <w:tcBorders>
              <w:top w:val="nil"/>
              <w:left w:val="nil"/>
              <w:bottom w:val="nil"/>
              <w:right w:val="nil"/>
            </w:tcBorders>
            <w:shd w:val="clear" w:color="auto" w:fill="auto"/>
            <w:noWrap/>
            <w:vAlign w:val="bottom"/>
            <w:hideMark/>
          </w:tcPr>
          <w:p w14:paraId="0022CB23"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51D7BB2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19.9301</w:t>
            </w:r>
          </w:p>
        </w:tc>
        <w:tc>
          <w:tcPr>
            <w:tcW w:w="1300" w:type="dxa"/>
            <w:tcBorders>
              <w:top w:val="nil"/>
              <w:left w:val="nil"/>
              <w:bottom w:val="nil"/>
              <w:right w:val="nil"/>
            </w:tcBorders>
            <w:shd w:val="clear" w:color="auto" w:fill="auto"/>
            <w:noWrap/>
            <w:vAlign w:val="bottom"/>
            <w:hideMark/>
          </w:tcPr>
          <w:p w14:paraId="5C33C546"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0.3851</w:t>
            </w:r>
          </w:p>
        </w:tc>
        <w:tc>
          <w:tcPr>
            <w:tcW w:w="1300" w:type="dxa"/>
            <w:tcBorders>
              <w:top w:val="nil"/>
              <w:left w:val="nil"/>
              <w:bottom w:val="nil"/>
              <w:right w:val="nil"/>
            </w:tcBorders>
            <w:shd w:val="clear" w:color="auto" w:fill="auto"/>
            <w:noWrap/>
            <w:vAlign w:val="bottom"/>
            <w:hideMark/>
          </w:tcPr>
          <w:p w14:paraId="4923EB31"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0.5419</w:t>
            </w:r>
          </w:p>
        </w:tc>
      </w:tr>
      <w:tr w:rsidR="0041674F" w:rsidRPr="0041674F" w14:paraId="0F8E0705" w14:textId="77777777" w:rsidTr="0041674F">
        <w:trPr>
          <w:trHeight w:val="380"/>
        </w:trPr>
        <w:tc>
          <w:tcPr>
            <w:tcW w:w="2680" w:type="dxa"/>
            <w:tcBorders>
              <w:top w:val="nil"/>
              <w:left w:val="nil"/>
              <w:bottom w:val="nil"/>
              <w:right w:val="nil"/>
            </w:tcBorders>
            <w:shd w:val="clear" w:color="auto" w:fill="auto"/>
            <w:noWrap/>
            <w:vAlign w:val="bottom"/>
            <w:hideMark/>
          </w:tcPr>
          <w:p w14:paraId="36B5FDC9"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7ED5E4DB"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w:t>
            </w:r>
          </w:p>
        </w:tc>
        <w:tc>
          <w:tcPr>
            <w:tcW w:w="1300" w:type="dxa"/>
            <w:tcBorders>
              <w:top w:val="nil"/>
              <w:left w:val="nil"/>
              <w:bottom w:val="nil"/>
              <w:right w:val="nil"/>
            </w:tcBorders>
            <w:shd w:val="clear" w:color="auto" w:fill="auto"/>
            <w:noWrap/>
            <w:vAlign w:val="bottom"/>
            <w:hideMark/>
          </w:tcPr>
          <w:p w14:paraId="6EB9986C"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0.00028</w:t>
            </w:r>
          </w:p>
        </w:tc>
        <w:tc>
          <w:tcPr>
            <w:tcW w:w="1300" w:type="dxa"/>
            <w:tcBorders>
              <w:top w:val="nil"/>
              <w:left w:val="nil"/>
              <w:bottom w:val="nil"/>
              <w:right w:val="nil"/>
            </w:tcBorders>
            <w:shd w:val="clear" w:color="auto" w:fill="auto"/>
            <w:noWrap/>
            <w:vAlign w:val="bottom"/>
            <w:hideMark/>
          </w:tcPr>
          <w:p w14:paraId="6119529B"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0.000281</w:t>
            </w:r>
          </w:p>
        </w:tc>
        <w:tc>
          <w:tcPr>
            <w:tcW w:w="1300" w:type="dxa"/>
            <w:tcBorders>
              <w:top w:val="nil"/>
              <w:left w:val="nil"/>
              <w:bottom w:val="nil"/>
              <w:right w:val="nil"/>
            </w:tcBorders>
            <w:shd w:val="clear" w:color="auto" w:fill="auto"/>
            <w:noWrap/>
            <w:vAlign w:val="bottom"/>
            <w:hideMark/>
          </w:tcPr>
          <w:p w14:paraId="2382E964"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70405613"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5.8551</w:t>
            </w:r>
          </w:p>
        </w:tc>
        <w:tc>
          <w:tcPr>
            <w:tcW w:w="1300" w:type="dxa"/>
            <w:tcBorders>
              <w:top w:val="nil"/>
              <w:left w:val="nil"/>
              <w:bottom w:val="nil"/>
              <w:right w:val="nil"/>
            </w:tcBorders>
            <w:shd w:val="clear" w:color="auto" w:fill="auto"/>
            <w:noWrap/>
            <w:vAlign w:val="bottom"/>
            <w:hideMark/>
          </w:tcPr>
          <w:p w14:paraId="6F33124F"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0.003</w:t>
            </w:r>
          </w:p>
        </w:tc>
        <w:tc>
          <w:tcPr>
            <w:tcW w:w="1300" w:type="dxa"/>
            <w:tcBorders>
              <w:top w:val="nil"/>
              <w:left w:val="nil"/>
              <w:bottom w:val="nil"/>
              <w:right w:val="nil"/>
            </w:tcBorders>
            <w:shd w:val="clear" w:color="auto" w:fill="auto"/>
            <w:noWrap/>
            <w:vAlign w:val="bottom"/>
            <w:hideMark/>
          </w:tcPr>
          <w:p w14:paraId="155240D6"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0.958</w:t>
            </w:r>
          </w:p>
        </w:tc>
      </w:tr>
      <w:tr w:rsidR="0041674F" w:rsidRPr="0041674F" w14:paraId="11934C6F" w14:textId="77777777" w:rsidTr="0041674F">
        <w:trPr>
          <w:trHeight w:val="380"/>
        </w:trPr>
        <w:tc>
          <w:tcPr>
            <w:tcW w:w="2680" w:type="dxa"/>
            <w:tcBorders>
              <w:top w:val="nil"/>
              <w:left w:val="nil"/>
              <w:bottom w:val="nil"/>
              <w:right w:val="nil"/>
            </w:tcBorders>
            <w:shd w:val="clear" w:color="auto" w:fill="auto"/>
            <w:noWrap/>
            <w:vAlign w:val="bottom"/>
            <w:hideMark/>
          </w:tcPr>
          <w:p w14:paraId="56B003E9"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3992EB3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w:t>
            </w:r>
          </w:p>
        </w:tc>
        <w:tc>
          <w:tcPr>
            <w:tcW w:w="1300" w:type="dxa"/>
            <w:tcBorders>
              <w:top w:val="nil"/>
              <w:left w:val="nil"/>
              <w:bottom w:val="nil"/>
              <w:right w:val="nil"/>
            </w:tcBorders>
            <w:shd w:val="clear" w:color="auto" w:fill="auto"/>
            <w:noWrap/>
            <w:vAlign w:val="bottom"/>
            <w:hideMark/>
          </w:tcPr>
          <w:p w14:paraId="54569A8F"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0.23505</w:t>
            </w:r>
          </w:p>
        </w:tc>
        <w:tc>
          <w:tcPr>
            <w:tcW w:w="1300" w:type="dxa"/>
            <w:tcBorders>
              <w:top w:val="nil"/>
              <w:left w:val="nil"/>
              <w:bottom w:val="nil"/>
              <w:right w:val="nil"/>
            </w:tcBorders>
            <w:shd w:val="clear" w:color="auto" w:fill="auto"/>
            <w:noWrap/>
            <w:vAlign w:val="bottom"/>
            <w:hideMark/>
          </w:tcPr>
          <w:p w14:paraId="19744A46"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0.078349</w:t>
            </w:r>
          </w:p>
        </w:tc>
        <w:tc>
          <w:tcPr>
            <w:tcW w:w="1300" w:type="dxa"/>
            <w:tcBorders>
              <w:top w:val="nil"/>
              <w:left w:val="nil"/>
              <w:bottom w:val="nil"/>
              <w:right w:val="nil"/>
            </w:tcBorders>
            <w:shd w:val="clear" w:color="auto" w:fill="auto"/>
            <w:noWrap/>
            <w:vAlign w:val="bottom"/>
            <w:hideMark/>
          </w:tcPr>
          <w:p w14:paraId="1D522F9B"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74F90E6B"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21.4408</w:t>
            </w:r>
          </w:p>
        </w:tc>
        <w:tc>
          <w:tcPr>
            <w:tcW w:w="1300" w:type="dxa"/>
            <w:tcBorders>
              <w:top w:val="nil"/>
              <w:left w:val="nil"/>
              <w:bottom w:val="nil"/>
              <w:right w:val="nil"/>
            </w:tcBorders>
            <w:shd w:val="clear" w:color="auto" w:fill="auto"/>
            <w:noWrap/>
            <w:vAlign w:val="bottom"/>
            <w:hideMark/>
          </w:tcPr>
          <w:p w14:paraId="11AB192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0.8401</w:t>
            </w:r>
          </w:p>
        </w:tc>
        <w:tc>
          <w:tcPr>
            <w:tcW w:w="1300" w:type="dxa"/>
            <w:tcBorders>
              <w:top w:val="nil"/>
              <w:left w:val="nil"/>
              <w:bottom w:val="nil"/>
              <w:right w:val="nil"/>
            </w:tcBorders>
            <w:shd w:val="clear" w:color="auto" w:fill="auto"/>
            <w:noWrap/>
            <w:vAlign w:val="bottom"/>
            <w:hideMark/>
          </w:tcPr>
          <w:p w14:paraId="6BF0D7CA"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0.4868</w:t>
            </w:r>
          </w:p>
        </w:tc>
      </w:tr>
      <w:tr w:rsidR="0041674F" w:rsidRPr="0041674F" w14:paraId="44237DA1" w14:textId="77777777" w:rsidTr="0041674F">
        <w:trPr>
          <w:trHeight w:val="380"/>
        </w:trPr>
        <w:tc>
          <w:tcPr>
            <w:tcW w:w="2680" w:type="dxa"/>
            <w:tcBorders>
              <w:top w:val="nil"/>
              <w:left w:val="nil"/>
              <w:bottom w:val="nil"/>
              <w:right w:val="nil"/>
            </w:tcBorders>
            <w:shd w:val="clear" w:color="auto" w:fill="auto"/>
            <w:noWrap/>
            <w:vAlign w:val="bottom"/>
            <w:hideMark/>
          </w:tcPr>
          <w:p w14:paraId="5AE7EF1A"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0ECC9BCE"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0.0612</w:t>
            </w:r>
          </w:p>
        </w:tc>
        <w:tc>
          <w:tcPr>
            <w:tcW w:w="1300" w:type="dxa"/>
            <w:tcBorders>
              <w:top w:val="nil"/>
              <w:left w:val="nil"/>
              <w:bottom w:val="nil"/>
              <w:right w:val="nil"/>
            </w:tcBorders>
            <w:shd w:val="clear" w:color="auto" w:fill="auto"/>
            <w:noWrap/>
            <w:vAlign w:val="bottom"/>
            <w:hideMark/>
          </w:tcPr>
          <w:p w14:paraId="5A81DBC4"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0.35491</w:t>
            </w:r>
          </w:p>
        </w:tc>
        <w:tc>
          <w:tcPr>
            <w:tcW w:w="1300" w:type="dxa"/>
            <w:tcBorders>
              <w:top w:val="nil"/>
              <w:left w:val="nil"/>
              <w:bottom w:val="nil"/>
              <w:right w:val="nil"/>
            </w:tcBorders>
            <w:shd w:val="clear" w:color="auto" w:fill="auto"/>
            <w:noWrap/>
            <w:vAlign w:val="bottom"/>
            <w:hideMark/>
          </w:tcPr>
          <w:p w14:paraId="42D8D54E"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0.088727</w:t>
            </w:r>
          </w:p>
        </w:tc>
        <w:tc>
          <w:tcPr>
            <w:tcW w:w="1300" w:type="dxa"/>
            <w:tcBorders>
              <w:top w:val="nil"/>
              <w:left w:val="nil"/>
              <w:bottom w:val="nil"/>
              <w:right w:val="nil"/>
            </w:tcBorders>
            <w:shd w:val="clear" w:color="auto" w:fill="auto"/>
            <w:noWrap/>
            <w:vAlign w:val="bottom"/>
            <w:hideMark/>
          </w:tcPr>
          <w:p w14:paraId="137BE8C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4</w:t>
            </w:r>
          </w:p>
        </w:tc>
        <w:tc>
          <w:tcPr>
            <w:tcW w:w="1300" w:type="dxa"/>
            <w:tcBorders>
              <w:top w:val="nil"/>
              <w:left w:val="nil"/>
              <w:bottom w:val="nil"/>
              <w:right w:val="nil"/>
            </w:tcBorders>
            <w:shd w:val="clear" w:color="auto" w:fill="auto"/>
            <w:noWrap/>
            <w:vAlign w:val="bottom"/>
            <w:hideMark/>
          </w:tcPr>
          <w:p w14:paraId="139DF329"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21.1454</w:t>
            </w:r>
          </w:p>
        </w:tc>
        <w:tc>
          <w:tcPr>
            <w:tcW w:w="1300" w:type="dxa"/>
            <w:tcBorders>
              <w:top w:val="nil"/>
              <w:left w:val="nil"/>
              <w:bottom w:val="nil"/>
              <w:right w:val="nil"/>
            </w:tcBorders>
            <w:shd w:val="clear" w:color="auto" w:fill="auto"/>
            <w:noWrap/>
            <w:vAlign w:val="bottom"/>
            <w:hideMark/>
          </w:tcPr>
          <w:p w14:paraId="2D862FB5"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0.9514</w:t>
            </w:r>
          </w:p>
        </w:tc>
        <w:tc>
          <w:tcPr>
            <w:tcW w:w="1300" w:type="dxa"/>
            <w:tcBorders>
              <w:top w:val="nil"/>
              <w:left w:val="nil"/>
              <w:bottom w:val="nil"/>
              <w:right w:val="nil"/>
            </w:tcBorders>
            <w:shd w:val="clear" w:color="auto" w:fill="auto"/>
            <w:noWrap/>
            <w:vAlign w:val="bottom"/>
            <w:hideMark/>
          </w:tcPr>
          <w:p w14:paraId="0FE0F4FE"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0.4542</w:t>
            </w:r>
          </w:p>
        </w:tc>
      </w:tr>
      <w:tr w:rsidR="0041674F" w:rsidRPr="0041674F" w14:paraId="64F7383E" w14:textId="77777777" w:rsidTr="0041674F">
        <w:trPr>
          <w:trHeight w:val="380"/>
        </w:trPr>
        <w:tc>
          <w:tcPr>
            <w:tcW w:w="2680" w:type="dxa"/>
            <w:tcBorders>
              <w:top w:val="nil"/>
              <w:left w:val="nil"/>
              <w:bottom w:val="nil"/>
              <w:right w:val="nil"/>
            </w:tcBorders>
            <w:shd w:val="clear" w:color="auto" w:fill="auto"/>
            <w:noWrap/>
            <w:vAlign w:val="bottom"/>
            <w:hideMark/>
          </w:tcPr>
          <w:p w14:paraId="20975CA9"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69CA8AB2"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0.1759</w:t>
            </w:r>
          </w:p>
        </w:tc>
        <w:tc>
          <w:tcPr>
            <w:tcW w:w="1300" w:type="dxa"/>
            <w:tcBorders>
              <w:top w:val="nil"/>
              <w:left w:val="nil"/>
              <w:bottom w:val="nil"/>
              <w:right w:val="nil"/>
            </w:tcBorders>
            <w:shd w:val="clear" w:color="auto" w:fill="auto"/>
            <w:noWrap/>
            <w:vAlign w:val="bottom"/>
            <w:hideMark/>
          </w:tcPr>
          <w:p w14:paraId="1A37BD90" w14:textId="77777777" w:rsidR="0041674F" w:rsidRPr="0041674F" w:rsidRDefault="0041674F" w:rsidP="0041674F">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676FEA31"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B78526F"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1FF5718"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BBD2DB4"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38F2124" w14:textId="77777777" w:rsidR="0041674F" w:rsidRPr="0041674F" w:rsidRDefault="0041674F" w:rsidP="0041674F">
            <w:pPr>
              <w:rPr>
                <w:rFonts w:eastAsia="Times New Roman" w:cs="Times New Roman"/>
              </w:rPr>
            </w:pPr>
          </w:p>
        </w:tc>
      </w:tr>
      <w:tr w:rsidR="0041674F" w:rsidRPr="0041674F" w14:paraId="3FB0FB21" w14:textId="77777777" w:rsidTr="0041674F">
        <w:trPr>
          <w:trHeight w:val="380"/>
        </w:trPr>
        <w:tc>
          <w:tcPr>
            <w:tcW w:w="2680" w:type="dxa"/>
            <w:tcBorders>
              <w:top w:val="nil"/>
              <w:left w:val="nil"/>
              <w:bottom w:val="nil"/>
              <w:right w:val="nil"/>
            </w:tcBorders>
            <w:shd w:val="clear" w:color="auto" w:fill="auto"/>
            <w:noWrap/>
            <w:vAlign w:val="bottom"/>
            <w:hideMark/>
          </w:tcPr>
          <w:p w14:paraId="7B359E60"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309D2BE"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AE6A541"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D5E8D79"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F663325"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EC50AA0"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8358374"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800BF20" w14:textId="77777777" w:rsidR="0041674F" w:rsidRPr="0041674F" w:rsidRDefault="0041674F" w:rsidP="0041674F">
            <w:pPr>
              <w:rPr>
                <w:rFonts w:eastAsia="Times New Roman" w:cs="Times New Roman"/>
              </w:rPr>
            </w:pPr>
          </w:p>
        </w:tc>
      </w:tr>
      <w:tr w:rsidR="0041674F" w:rsidRPr="0041674F" w14:paraId="39D6A53E" w14:textId="77777777" w:rsidTr="0041674F">
        <w:trPr>
          <w:trHeight w:val="380"/>
        </w:trPr>
        <w:tc>
          <w:tcPr>
            <w:tcW w:w="3980" w:type="dxa"/>
            <w:gridSpan w:val="2"/>
            <w:tcBorders>
              <w:top w:val="nil"/>
              <w:left w:val="nil"/>
              <w:bottom w:val="nil"/>
              <w:right w:val="nil"/>
            </w:tcBorders>
            <w:shd w:val="clear" w:color="auto" w:fill="auto"/>
            <w:noWrap/>
            <w:vAlign w:val="bottom"/>
            <w:hideMark/>
          </w:tcPr>
          <w:p w14:paraId="039EE5ED" w14:textId="44979890" w:rsidR="0041674F" w:rsidRPr="0041674F" w:rsidRDefault="007D1020" w:rsidP="0041674F">
            <w:pPr>
              <w:rPr>
                <w:rFonts w:eastAsia="Times New Roman" w:cs="Times New Roman"/>
                <w:b/>
                <w:bCs/>
                <w:color w:val="000000"/>
              </w:rPr>
            </w:pPr>
            <w:r>
              <w:rPr>
                <w:rFonts w:eastAsia="Times New Roman" w:cs="Times New Roman"/>
                <w:b/>
                <w:bCs/>
                <w:color w:val="000000"/>
              </w:rPr>
              <w:t>Evenness</w:t>
            </w:r>
          </w:p>
        </w:tc>
        <w:tc>
          <w:tcPr>
            <w:tcW w:w="1300" w:type="dxa"/>
            <w:tcBorders>
              <w:top w:val="nil"/>
              <w:left w:val="nil"/>
              <w:bottom w:val="nil"/>
              <w:right w:val="nil"/>
            </w:tcBorders>
            <w:shd w:val="clear" w:color="auto" w:fill="auto"/>
            <w:noWrap/>
            <w:vAlign w:val="bottom"/>
            <w:hideMark/>
          </w:tcPr>
          <w:p w14:paraId="01E76CC6" w14:textId="77777777" w:rsidR="0041674F" w:rsidRPr="0041674F" w:rsidRDefault="0041674F" w:rsidP="0041674F">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264499D5"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0CE592C"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73FC0D3"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3D568AB"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D1D5871" w14:textId="77777777" w:rsidR="0041674F" w:rsidRPr="0041674F" w:rsidRDefault="0041674F" w:rsidP="0041674F">
            <w:pPr>
              <w:rPr>
                <w:rFonts w:eastAsia="Times New Roman" w:cs="Times New Roman"/>
              </w:rPr>
            </w:pPr>
          </w:p>
        </w:tc>
      </w:tr>
      <w:tr w:rsidR="0041674F" w:rsidRPr="0041674F" w14:paraId="777C2893" w14:textId="77777777" w:rsidTr="0041674F">
        <w:trPr>
          <w:trHeight w:val="380"/>
        </w:trPr>
        <w:tc>
          <w:tcPr>
            <w:tcW w:w="2680" w:type="dxa"/>
            <w:tcBorders>
              <w:top w:val="nil"/>
              <w:left w:val="nil"/>
              <w:bottom w:val="nil"/>
              <w:right w:val="nil"/>
            </w:tcBorders>
            <w:shd w:val="clear" w:color="auto" w:fill="auto"/>
            <w:noWrap/>
            <w:vAlign w:val="bottom"/>
            <w:hideMark/>
          </w:tcPr>
          <w:p w14:paraId="7A8E0C38"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3677B23C"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0.0009</w:t>
            </w:r>
          </w:p>
        </w:tc>
        <w:tc>
          <w:tcPr>
            <w:tcW w:w="1300" w:type="dxa"/>
            <w:tcBorders>
              <w:top w:val="nil"/>
              <w:left w:val="nil"/>
              <w:bottom w:val="nil"/>
              <w:right w:val="nil"/>
            </w:tcBorders>
            <w:shd w:val="clear" w:color="auto" w:fill="auto"/>
            <w:noWrap/>
            <w:vAlign w:val="bottom"/>
            <w:hideMark/>
          </w:tcPr>
          <w:p w14:paraId="28FD853C"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0.000645</w:t>
            </w:r>
          </w:p>
        </w:tc>
        <w:tc>
          <w:tcPr>
            <w:tcW w:w="1300" w:type="dxa"/>
            <w:tcBorders>
              <w:top w:val="nil"/>
              <w:left w:val="nil"/>
              <w:bottom w:val="nil"/>
              <w:right w:val="nil"/>
            </w:tcBorders>
            <w:shd w:val="clear" w:color="auto" w:fill="auto"/>
            <w:noWrap/>
            <w:vAlign w:val="bottom"/>
            <w:hideMark/>
          </w:tcPr>
          <w:p w14:paraId="20ED15AE"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0.000645</w:t>
            </w:r>
          </w:p>
        </w:tc>
        <w:tc>
          <w:tcPr>
            <w:tcW w:w="1300" w:type="dxa"/>
            <w:tcBorders>
              <w:top w:val="nil"/>
              <w:left w:val="nil"/>
              <w:bottom w:val="nil"/>
              <w:right w:val="nil"/>
            </w:tcBorders>
            <w:shd w:val="clear" w:color="auto" w:fill="auto"/>
            <w:noWrap/>
            <w:vAlign w:val="bottom"/>
            <w:hideMark/>
          </w:tcPr>
          <w:p w14:paraId="4265879B"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4C102584"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24</w:t>
            </w:r>
          </w:p>
        </w:tc>
        <w:tc>
          <w:tcPr>
            <w:tcW w:w="1300" w:type="dxa"/>
            <w:tcBorders>
              <w:top w:val="nil"/>
              <w:left w:val="nil"/>
              <w:bottom w:val="nil"/>
              <w:right w:val="nil"/>
            </w:tcBorders>
            <w:shd w:val="clear" w:color="auto" w:fill="auto"/>
            <w:noWrap/>
            <w:vAlign w:val="bottom"/>
            <w:hideMark/>
          </w:tcPr>
          <w:p w14:paraId="227C1B7C"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0.0411</w:t>
            </w:r>
          </w:p>
        </w:tc>
        <w:tc>
          <w:tcPr>
            <w:tcW w:w="1300" w:type="dxa"/>
            <w:tcBorders>
              <w:top w:val="nil"/>
              <w:left w:val="nil"/>
              <w:bottom w:val="nil"/>
              <w:right w:val="nil"/>
            </w:tcBorders>
            <w:shd w:val="clear" w:color="auto" w:fill="auto"/>
            <w:noWrap/>
            <w:vAlign w:val="bottom"/>
            <w:hideMark/>
          </w:tcPr>
          <w:p w14:paraId="0E37386B"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0.84102</w:t>
            </w:r>
          </w:p>
        </w:tc>
      </w:tr>
      <w:tr w:rsidR="0041674F" w:rsidRPr="0041674F" w14:paraId="3AA8C78E" w14:textId="77777777" w:rsidTr="0041674F">
        <w:trPr>
          <w:trHeight w:val="380"/>
        </w:trPr>
        <w:tc>
          <w:tcPr>
            <w:tcW w:w="2680" w:type="dxa"/>
            <w:tcBorders>
              <w:top w:val="nil"/>
              <w:left w:val="nil"/>
              <w:bottom w:val="nil"/>
              <w:right w:val="nil"/>
            </w:tcBorders>
            <w:shd w:val="clear" w:color="auto" w:fill="auto"/>
            <w:noWrap/>
            <w:vAlign w:val="bottom"/>
            <w:hideMark/>
          </w:tcPr>
          <w:p w14:paraId="712D8915"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7AF0EA3B"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0.0887</w:t>
            </w:r>
          </w:p>
        </w:tc>
        <w:tc>
          <w:tcPr>
            <w:tcW w:w="1300" w:type="dxa"/>
            <w:tcBorders>
              <w:top w:val="nil"/>
              <w:left w:val="nil"/>
              <w:bottom w:val="nil"/>
              <w:right w:val="nil"/>
            </w:tcBorders>
            <w:shd w:val="clear" w:color="auto" w:fill="auto"/>
            <w:noWrap/>
            <w:vAlign w:val="bottom"/>
            <w:hideMark/>
          </w:tcPr>
          <w:p w14:paraId="0756C02A"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0.071176</w:t>
            </w:r>
          </w:p>
        </w:tc>
        <w:tc>
          <w:tcPr>
            <w:tcW w:w="1300" w:type="dxa"/>
            <w:tcBorders>
              <w:top w:val="nil"/>
              <w:left w:val="nil"/>
              <w:bottom w:val="nil"/>
              <w:right w:val="nil"/>
            </w:tcBorders>
            <w:shd w:val="clear" w:color="auto" w:fill="auto"/>
            <w:noWrap/>
            <w:vAlign w:val="bottom"/>
            <w:hideMark/>
          </w:tcPr>
          <w:p w14:paraId="2616BFEF"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0.071176</w:t>
            </w:r>
          </w:p>
        </w:tc>
        <w:tc>
          <w:tcPr>
            <w:tcW w:w="1300" w:type="dxa"/>
            <w:tcBorders>
              <w:top w:val="nil"/>
              <w:left w:val="nil"/>
              <w:bottom w:val="nil"/>
              <w:right w:val="nil"/>
            </w:tcBorders>
            <w:shd w:val="clear" w:color="auto" w:fill="auto"/>
            <w:noWrap/>
            <w:vAlign w:val="bottom"/>
            <w:hideMark/>
          </w:tcPr>
          <w:p w14:paraId="51CE01E6"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672BB8BB"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24</w:t>
            </w:r>
          </w:p>
        </w:tc>
        <w:tc>
          <w:tcPr>
            <w:tcW w:w="1300" w:type="dxa"/>
            <w:tcBorders>
              <w:top w:val="nil"/>
              <w:left w:val="nil"/>
              <w:bottom w:val="nil"/>
              <w:right w:val="nil"/>
            </w:tcBorders>
            <w:shd w:val="clear" w:color="auto" w:fill="auto"/>
            <w:noWrap/>
            <w:vAlign w:val="bottom"/>
            <w:hideMark/>
          </w:tcPr>
          <w:p w14:paraId="135AD885"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4.5396</w:t>
            </w:r>
          </w:p>
        </w:tc>
        <w:tc>
          <w:tcPr>
            <w:tcW w:w="1300" w:type="dxa"/>
            <w:tcBorders>
              <w:top w:val="nil"/>
              <w:left w:val="nil"/>
              <w:bottom w:val="nil"/>
              <w:right w:val="nil"/>
            </w:tcBorders>
            <w:shd w:val="clear" w:color="auto" w:fill="auto"/>
            <w:noWrap/>
            <w:vAlign w:val="bottom"/>
            <w:hideMark/>
          </w:tcPr>
          <w:p w14:paraId="1F312017" w14:textId="77777777" w:rsidR="0041674F" w:rsidRPr="0041674F" w:rsidRDefault="0041674F" w:rsidP="0041674F">
            <w:pPr>
              <w:jc w:val="right"/>
              <w:rPr>
                <w:rFonts w:eastAsia="Times New Roman" w:cs="Times New Roman"/>
                <w:b/>
                <w:bCs/>
                <w:color w:val="000000"/>
              </w:rPr>
            </w:pPr>
            <w:r w:rsidRPr="0041674F">
              <w:rPr>
                <w:rFonts w:eastAsia="Times New Roman" w:cs="Times New Roman"/>
                <w:b/>
                <w:bCs/>
                <w:color w:val="000000"/>
              </w:rPr>
              <w:t>0.04357</w:t>
            </w:r>
          </w:p>
        </w:tc>
      </w:tr>
      <w:tr w:rsidR="0041674F" w:rsidRPr="0041674F" w14:paraId="0DA3C49E" w14:textId="77777777" w:rsidTr="0041674F">
        <w:trPr>
          <w:trHeight w:val="380"/>
        </w:trPr>
        <w:tc>
          <w:tcPr>
            <w:tcW w:w="2680" w:type="dxa"/>
            <w:tcBorders>
              <w:top w:val="nil"/>
              <w:left w:val="nil"/>
              <w:bottom w:val="nil"/>
              <w:right w:val="nil"/>
            </w:tcBorders>
            <w:shd w:val="clear" w:color="auto" w:fill="auto"/>
            <w:noWrap/>
            <w:vAlign w:val="bottom"/>
            <w:hideMark/>
          </w:tcPr>
          <w:p w14:paraId="77FC6B13"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29A4A599"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0.0978</w:t>
            </w:r>
          </w:p>
        </w:tc>
        <w:tc>
          <w:tcPr>
            <w:tcW w:w="1300" w:type="dxa"/>
            <w:tcBorders>
              <w:top w:val="nil"/>
              <w:left w:val="nil"/>
              <w:bottom w:val="nil"/>
              <w:right w:val="nil"/>
            </w:tcBorders>
            <w:shd w:val="clear" w:color="auto" w:fill="auto"/>
            <w:noWrap/>
            <w:vAlign w:val="bottom"/>
            <w:hideMark/>
          </w:tcPr>
          <w:p w14:paraId="2C71B56D"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0.068058</w:t>
            </w:r>
          </w:p>
        </w:tc>
        <w:tc>
          <w:tcPr>
            <w:tcW w:w="1300" w:type="dxa"/>
            <w:tcBorders>
              <w:top w:val="nil"/>
              <w:left w:val="nil"/>
              <w:bottom w:val="nil"/>
              <w:right w:val="nil"/>
            </w:tcBorders>
            <w:shd w:val="clear" w:color="auto" w:fill="auto"/>
            <w:noWrap/>
            <w:vAlign w:val="bottom"/>
            <w:hideMark/>
          </w:tcPr>
          <w:p w14:paraId="2149DE15"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0.022686</w:t>
            </w:r>
          </w:p>
        </w:tc>
        <w:tc>
          <w:tcPr>
            <w:tcW w:w="1300" w:type="dxa"/>
            <w:tcBorders>
              <w:top w:val="nil"/>
              <w:left w:val="nil"/>
              <w:bottom w:val="nil"/>
              <w:right w:val="nil"/>
            </w:tcBorders>
            <w:shd w:val="clear" w:color="auto" w:fill="auto"/>
            <w:noWrap/>
            <w:vAlign w:val="bottom"/>
            <w:hideMark/>
          </w:tcPr>
          <w:p w14:paraId="29D98A0C"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1991AD9A"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24</w:t>
            </w:r>
          </w:p>
        </w:tc>
        <w:tc>
          <w:tcPr>
            <w:tcW w:w="1300" w:type="dxa"/>
            <w:tcBorders>
              <w:top w:val="nil"/>
              <w:left w:val="nil"/>
              <w:bottom w:val="nil"/>
              <w:right w:val="nil"/>
            </w:tcBorders>
            <w:shd w:val="clear" w:color="auto" w:fill="auto"/>
            <w:noWrap/>
            <w:vAlign w:val="bottom"/>
            <w:hideMark/>
          </w:tcPr>
          <w:p w14:paraId="04BDAC1D"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1.4469</w:t>
            </w:r>
          </w:p>
        </w:tc>
        <w:tc>
          <w:tcPr>
            <w:tcW w:w="1300" w:type="dxa"/>
            <w:tcBorders>
              <w:top w:val="nil"/>
              <w:left w:val="nil"/>
              <w:bottom w:val="nil"/>
              <w:right w:val="nil"/>
            </w:tcBorders>
            <w:shd w:val="clear" w:color="auto" w:fill="auto"/>
            <w:noWrap/>
            <w:vAlign w:val="bottom"/>
            <w:hideMark/>
          </w:tcPr>
          <w:p w14:paraId="7B808CBA"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0.25395</w:t>
            </w:r>
          </w:p>
        </w:tc>
      </w:tr>
      <w:tr w:rsidR="0041674F" w:rsidRPr="0041674F" w14:paraId="2A3DBA41" w14:textId="77777777" w:rsidTr="0041674F">
        <w:trPr>
          <w:trHeight w:val="380"/>
        </w:trPr>
        <w:tc>
          <w:tcPr>
            <w:tcW w:w="2680" w:type="dxa"/>
            <w:tcBorders>
              <w:top w:val="nil"/>
              <w:left w:val="nil"/>
              <w:bottom w:val="nil"/>
              <w:right w:val="nil"/>
            </w:tcBorders>
            <w:shd w:val="clear" w:color="auto" w:fill="auto"/>
            <w:noWrap/>
            <w:vAlign w:val="bottom"/>
            <w:hideMark/>
          </w:tcPr>
          <w:p w14:paraId="5EBA9D6A"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3835D84E"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0.1195</w:t>
            </w:r>
          </w:p>
        </w:tc>
        <w:tc>
          <w:tcPr>
            <w:tcW w:w="1300" w:type="dxa"/>
            <w:tcBorders>
              <w:top w:val="nil"/>
              <w:left w:val="nil"/>
              <w:bottom w:val="nil"/>
              <w:right w:val="nil"/>
            </w:tcBorders>
            <w:shd w:val="clear" w:color="auto" w:fill="auto"/>
            <w:noWrap/>
            <w:vAlign w:val="bottom"/>
            <w:hideMark/>
          </w:tcPr>
          <w:p w14:paraId="04B7F84A"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0.083137</w:t>
            </w:r>
          </w:p>
        </w:tc>
        <w:tc>
          <w:tcPr>
            <w:tcW w:w="1300" w:type="dxa"/>
            <w:tcBorders>
              <w:top w:val="nil"/>
              <w:left w:val="nil"/>
              <w:bottom w:val="nil"/>
              <w:right w:val="nil"/>
            </w:tcBorders>
            <w:shd w:val="clear" w:color="auto" w:fill="auto"/>
            <w:noWrap/>
            <w:vAlign w:val="bottom"/>
            <w:hideMark/>
          </w:tcPr>
          <w:p w14:paraId="20BCDB1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0.020784</w:t>
            </w:r>
          </w:p>
        </w:tc>
        <w:tc>
          <w:tcPr>
            <w:tcW w:w="1300" w:type="dxa"/>
            <w:tcBorders>
              <w:top w:val="nil"/>
              <w:left w:val="nil"/>
              <w:bottom w:val="nil"/>
              <w:right w:val="nil"/>
            </w:tcBorders>
            <w:shd w:val="clear" w:color="auto" w:fill="auto"/>
            <w:noWrap/>
            <w:vAlign w:val="bottom"/>
            <w:hideMark/>
          </w:tcPr>
          <w:p w14:paraId="082DE1A4"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4</w:t>
            </w:r>
          </w:p>
        </w:tc>
        <w:tc>
          <w:tcPr>
            <w:tcW w:w="1300" w:type="dxa"/>
            <w:tcBorders>
              <w:top w:val="nil"/>
              <w:left w:val="nil"/>
              <w:bottom w:val="nil"/>
              <w:right w:val="nil"/>
            </w:tcBorders>
            <w:shd w:val="clear" w:color="auto" w:fill="auto"/>
            <w:noWrap/>
            <w:vAlign w:val="bottom"/>
            <w:hideMark/>
          </w:tcPr>
          <w:p w14:paraId="633613B6"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24</w:t>
            </w:r>
          </w:p>
        </w:tc>
        <w:tc>
          <w:tcPr>
            <w:tcW w:w="1300" w:type="dxa"/>
            <w:tcBorders>
              <w:top w:val="nil"/>
              <w:left w:val="nil"/>
              <w:bottom w:val="nil"/>
              <w:right w:val="nil"/>
            </w:tcBorders>
            <w:shd w:val="clear" w:color="auto" w:fill="auto"/>
            <w:noWrap/>
            <w:vAlign w:val="bottom"/>
            <w:hideMark/>
          </w:tcPr>
          <w:p w14:paraId="2C9F23BB"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1.3256</w:t>
            </w:r>
          </w:p>
        </w:tc>
        <w:tc>
          <w:tcPr>
            <w:tcW w:w="1300" w:type="dxa"/>
            <w:tcBorders>
              <w:top w:val="nil"/>
              <w:left w:val="nil"/>
              <w:bottom w:val="nil"/>
              <w:right w:val="nil"/>
            </w:tcBorders>
            <w:shd w:val="clear" w:color="auto" w:fill="auto"/>
            <w:noWrap/>
            <w:vAlign w:val="bottom"/>
            <w:hideMark/>
          </w:tcPr>
          <w:p w14:paraId="702A8503"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0.28903</w:t>
            </w:r>
          </w:p>
        </w:tc>
      </w:tr>
      <w:tr w:rsidR="0041674F" w:rsidRPr="0041674F" w14:paraId="126B15EA" w14:textId="77777777" w:rsidTr="0041674F">
        <w:trPr>
          <w:trHeight w:val="380"/>
        </w:trPr>
        <w:tc>
          <w:tcPr>
            <w:tcW w:w="2680" w:type="dxa"/>
            <w:tcBorders>
              <w:top w:val="nil"/>
              <w:left w:val="nil"/>
              <w:bottom w:val="nil"/>
              <w:right w:val="nil"/>
            </w:tcBorders>
            <w:shd w:val="clear" w:color="auto" w:fill="auto"/>
            <w:noWrap/>
            <w:vAlign w:val="bottom"/>
            <w:hideMark/>
          </w:tcPr>
          <w:p w14:paraId="1D1F1453" w14:textId="77777777" w:rsidR="0041674F" w:rsidRPr="0041674F" w:rsidRDefault="0041674F" w:rsidP="0041674F">
            <w:pPr>
              <w:rPr>
                <w:rFonts w:eastAsia="Times New Roman" w:cs="Times New Roman"/>
                <w:color w:val="000000"/>
              </w:rPr>
            </w:pPr>
            <w:r w:rsidRPr="0041674F">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4C5B7D48" w14:textId="77777777" w:rsidR="0041674F" w:rsidRPr="0041674F" w:rsidRDefault="0041674F" w:rsidP="0041674F">
            <w:pPr>
              <w:jc w:val="right"/>
              <w:rPr>
                <w:rFonts w:eastAsia="Times New Roman" w:cs="Times New Roman"/>
                <w:color w:val="000000"/>
              </w:rPr>
            </w:pPr>
            <w:r w:rsidRPr="0041674F">
              <w:rPr>
                <w:rFonts w:eastAsia="Times New Roman" w:cs="Times New Roman"/>
                <w:color w:val="000000"/>
              </w:rPr>
              <w:t>0.2563</w:t>
            </w:r>
          </w:p>
        </w:tc>
        <w:tc>
          <w:tcPr>
            <w:tcW w:w="1300" w:type="dxa"/>
            <w:tcBorders>
              <w:top w:val="nil"/>
              <w:left w:val="nil"/>
              <w:bottom w:val="nil"/>
              <w:right w:val="nil"/>
            </w:tcBorders>
            <w:shd w:val="clear" w:color="auto" w:fill="auto"/>
            <w:noWrap/>
            <w:vAlign w:val="bottom"/>
            <w:hideMark/>
          </w:tcPr>
          <w:p w14:paraId="6CE217C8" w14:textId="77777777" w:rsidR="0041674F" w:rsidRPr="0041674F" w:rsidRDefault="0041674F" w:rsidP="0041674F">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38B751B0"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BC5947E"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5DE9186"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6817CF3" w14:textId="77777777" w:rsidR="0041674F" w:rsidRPr="0041674F" w:rsidRDefault="0041674F" w:rsidP="0041674F">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0A343C2" w14:textId="77777777" w:rsidR="0041674F" w:rsidRPr="0041674F" w:rsidRDefault="0041674F" w:rsidP="0041674F">
            <w:pPr>
              <w:rPr>
                <w:rFonts w:eastAsia="Times New Roman" w:cs="Times New Roman"/>
              </w:rPr>
            </w:pPr>
          </w:p>
        </w:tc>
      </w:tr>
    </w:tbl>
    <w:p w14:paraId="721A583C" w14:textId="77777777" w:rsidR="0098521D" w:rsidRPr="00A53C1D" w:rsidRDefault="0098521D">
      <w:pPr>
        <w:rPr>
          <w:rFonts w:cs="Times New Roman"/>
          <w:b/>
          <w:bCs/>
        </w:rPr>
      </w:pPr>
    </w:p>
    <w:p w14:paraId="63A51AF1" w14:textId="77777777" w:rsidR="00C258CB" w:rsidRPr="00A53C1D" w:rsidRDefault="00C258CB">
      <w:pPr>
        <w:rPr>
          <w:rFonts w:cs="Times New Roman"/>
          <w:b/>
          <w:bCs/>
        </w:rPr>
      </w:pPr>
    </w:p>
    <w:p w14:paraId="5C11DDE2" w14:textId="47ADAFA3" w:rsidR="00C258CB" w:rsidRPr="00A53C1D" w:rsidRDefault="00C258CB">
      <w:pPr>
        <w:rPr>
          <w:rFonts w:cs="Times New Roman"/>
          <w:b/>
          <w:bCs/>
        </w:rPr>
      </w:pPr>
      <w:r w:rsidRPr="00A53C1D">
        <w:rPr>
          <w:rFonts w:cs="Times New Roman"/>
          <w:b/>
          <w:bCs/>
        </w:rPr>
        <w:br w:type="page"/>
      </w:r>
    </w:p>
    <w:p w14:paraId="64BD7FCA" w14:textId="77777777" w:rsidR="007D1020" w:rsidRPr="007D1020" w:rsidRDefault="007D1020" w:rsidP="007D1020">
      <w:pPr>
        <w:rPr>
          <w:rFonts w:cs="Times New Roman"/>
          <w:b/>
          <w:bCs/>
        </w:rPr>
      </w:pPr>
      <w:r w:rsidRPr="007D1020">
        <w:rPr>
          <w:rFonts w:cs="Times New Roman"/>
          <w:b/>
          <w:bCs/>
        </w:rPr>
        <w:lastRenderedPageBreak/>
        <w:t>Table 3.5 Linear mixed models testing the effects of habitat type, dominant blood meal, and blood meal richness on alpha diversity across La Chorrera samples after accounting for triatomine age groups.</w:t>
      </w:r>
    </w:p>
    <w:p w14:paraId="54DC448B" w14:textId="77777777" w:rsidR="007D1020" w:rsidRPr="007D1020" w:rsidRDefault="007D1020" w:rsidP="007D1020">
      <w:pPr>
        <w:rPr>
          <w:rFonts w:cs="Times New Roman"/>
        </w:rPr>
      </w:pPr>
      <w:r w:rsidRPr="007D1020">
        <w:rPr>
          <w:rFonts w:cs="Times New Roman"/>
        </w:rPr>
        <w:t xml:space="preserve">Alpha diversity values were log-transformed prior to fitting and palm identity was included as a random effect. </w:t>
      </w:r>
    </w:p>
    <w:p w14:paraId="499E8AB4" w14:textId="213E725F" w:rsidR="00C258CB" w:rsidRDefault="007D1020" w:rsidP="007D1020">
      <w:pPr>
        <w:rPr>
          <w:rFonts w:cs="Times New Roman"/>
        </w:rPr>
      </w:pPr>
      <w:r w:rsidRPr="007D1020">
        <w:rPr>
          <w:rFonts w:cs="Times New Roman"/>
        </w:rPr>
        <w:t>Marginal R</w:t>
      </w:r>
      <w:r w:rsidRPr="007D1020">
        <w:rPr>
          <w:rFonts w:cs="Times New Roman"/>
          <w:vertAlign w:val="superscript"/>
        </w:rPr>
        <w:t>2</w:t>
      </w:r>
      <w:r w:rsidRPr="007D1020">
        <w:rPr>
          <w:rFonts w:cs="Times New Roman"/>
        </w:rPr>
        <w:t xml:space="preserve"> values were reported for full models and partial R2 values were reported for each covariate. Significant relationships are shown in bold.</w:t>
      </w:r>
    </w:p>
    <w:p w14:paraId="202373FA" w14:textId="77777777" w:rsidR="007D1020" w:rsidRDefault="007D1020" w:rsidP="007D1020">
      <w:pPr>
        <w:rPr>
          <w:rFonts w:cs="Times New Roman"/>
        </w:rPr>
      </w:pPr>
    </w:p>
    <w:p w14:paraId="2779F20B" w14:textId="77777777" w:rsidR="007D1020" w:rsidRDefault="007D1020" w:rsidP="007D1020">
      <w:pPr>
        <w:rPr>
          <w:rFonts w:cs="Times New Roman"/>
        </w:rPr>
      </w:pPr>
    </w:p>
    <w:p w14:paraId="2A3E2DB8" w14:textId="77777777" w:rsidR="007D1020" w:rsidRPr="007D1020" w:rsidRDefault="007D1020" w:rsidP="007D1020">
      <w:pPr>
        <w:rPr>
          <w:rFonts w:cs="Times New Roman"/>
        </w:rPr>
      </w:pPr>
    </w:p>
    <w:tbl>
      <w:tblPr>
        <w:tblW w:w="11880" w:type="dxa"/>
        <w:tblLook w:val="04A0" w:firstRow="1" w:lastRow="0" w:firstColumn="1" w:lastColumn="0" w:noHBand="0" w:noVBand="1"/>
      </w:tblPr>
      <w:tblGrid>
        <w:gridCol w:w="2780"/>
        <w:gridCol w:w="1300"/>
        <w:gridCol w:w="1300"/>
        <w:gridCol w:w="1300"/>
        <w:gridCol w:w="1300"/>
        <w:gridCol w:w="1300"/>
        <w:gridCol w:w="1300"/>
        <w:gridCol w:w="1300"/>
      </w:tblGrid>
      <w:tr w:rsidR="00C258CB" w:rsidRPr="00C258CB" w14:paraId="7A9EB634" w14:textId="77777777" w:rsidTr="00C258CB">
        <w:trPr>
          <w:trHeight w:val="380"/>
        </w:trPr>
        <w:tc>
          <w:tcPr>
            <w:tcW w:w="2780" w:type="dxa"/>
            <w:tcBorders>
              <w:top w:val="nil"/>
              <w:left w:val="nil"/>
              <w:bottom w:val="nil"/>
              <w:right w:val="nil"/>
            </w:tcBorders>
            <w:shd w:val="clear" w:color="auto" w:fill="auto"/>
            <w:noWrap/>
            <w:vAlign w:val="bottom"/>
            <w:hideMark/>
          </w:tcPr>
          <w:p w14:paraId="560443ED"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CAED0E2"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R^2</w:t>
            </w:r>
          </w:p>
        </w:tc>
        <w:tc>
          <w:tcPr>
            <w:tcW w:w="1300" w:type="dxa"/>
            <w:tcBorders>
              <w:top w:val="nil"/>
              <w:left w:val="nil"/>
              <w:bottom w:val="nil"/>
              <w:right w:val="nil"/>
            </w:tcBorders>
            <w:shd w:val="clear" w:color="auto" w:fill="auto"/>
            <w:noWrap/>
            <w:vAlign w:val="bottom"/>
            <w:hideMark/>
          </w:tcPr>
          <w:p w14:paraId="59905C9F"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Sum SQ</w:t>
            </w:r>
          </w:p>
        </w:tc>
        <w:tc>
          <w:tcPr>
            <w:tcW w:w="1300" w:type="dxa"/>
            <w:tcBorders>
              <w:top w:val="nil"/>
              <w:left w:val="nil"/>
              <w:bottom w:val="nil"/>
              <w:right w:val="nil"/>
            </w:tcBorders>
            <w:shd w:val="clear" w:color="auto" w:fill="auto"/>
            <w:noWrap/>
            <w:vAlign w:val="bottom"/>
            <w:hideMark/>
          </w:tcPr>
          <w:p w14:paraId="123E169B"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Mean SQ</w:t>
            </w:r>
          </w:p>
        </w:tc>
        <w:tc>
          <w:tcPr>
            <w:tcW w:w="1300" w:type="dxa"/>
            <w:tcBorders>
              <w:top w:val="nil"/>
              <w:left w:val="nil"/>
              <w:bottom w:val="nil"/>
              <w:right w:val="nil"/>
            </w:tcBorders>
            <w:shd w:val="clear" w:color="auto" w:fill="auto"/>
            <w:noWrap/>
            <w:vAlign w:val="bottom"/>
            <w:hideMark/>
          </w:tcPr>
          <w:p w14:paraId="72F5FFCA"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NumDF</w:t>
            </w:r>
          </w:p>
        </w:tc>
        <w:tc>
          <w:tcPr>
            <w:tcW w:w="1300" w:type="dxa"/>
            <w:tcBorders>
              <w:top w:val="nil"/>
              <w:left w:val="nil"/>
              <w:bottom w:val="nil"/>
              <w:right w:val="nil"/>
            </w:tcBorders>
            <w:shd w:val="clear" w:color="auto" w:fill="auto"/>
            <w:noWrap/>
            <w:vAlign w:val="bottom"/>
            <w:hideMark/>
          </w:tcPr>
          <w:p w14:paraId="6262CD29"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DenDF</w:t>
            </w:r>
          </w:p>
        </w:tc>
        <w:tc>
          <w:tcPr>
            <w:tcW w:w="1300" w:type="dxa"/>
            <w:tcBorders>
              <w:top w:val="nil"/>
              <w:left w:val="nil"/>
              <w:bottom w:val="nil"/>
              <w:right w:val="nil"/>
            </w:tcBorders>
            <w:shd w:val="clear" w:color="auto" w:fill="auto"/>
            <w:noWrap/>
            <w:vAlign w:val="bottom"/>
            <w:hideMark/>
          </w:tcPr>
          <w:p w14:paraId="03658394"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F value</w:t>
            </w:r>
          </w:p>
        </w:tc>
        <w:tc>
          <w:tcPr>
            <w:tcW w:w="1300" w:type="dxa"/>
            <w:tcBorders>
              <w:top w:val="nil"/>
              <w:left w:val="nil"/>
              <w:bottom w:val="nil"/>
              <w:right w:val="nil"/>
            </w:tcBorders>
            <w:shd w:val="clear" w:color="auto" w:fill="auto"/>
            <w:noWrap/>
            <w:vAlign w:val="bottom"/>
            <w:hideMark/>
          </w:tcPr>
          <w:p w14:paraId="68756488"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p value</w:t>
            </w:r>
          </w:p>
        </w:tc>
      </w:tr>
      <w:tr w:rsidR="00C258CB" w:rsidRPr="00C258CB" w14:paraId="3D235F7F" w14:textId="77777777" w:rsidTr="00C258CB">
        <w:trPr>
          <w:trHeight w:val="380"/>
        </w:trPr>
        <w:tc>
          <w:tcPr>
            <w:tcW w:w="2780" w:type="dxa"/>
            <w:tcBorders>
              <w:top w:val="nil"/>
              <w:left w:val="nil"/>
              <w:bottom w:val="nil"/>
              <w:right w:val="nil"/>
            </w:tcBorders>
            <w:shd w:val="clear" w:color="auto" w:fill="auto"/>
            <w:noWrap/>
            <w:vAlign w:val="bottom"/>
            <w:hideMark/>
          </w:tcPr>
          <w:p w14:paraId="35C0F24F" w14:textId="77777777" w:rsidR="00C258CB" w:rsidRPr="00C258CB" w:rsidRDefault="00C258CB" w:rsidP="00C258CB">
            <w:pPr>
              <w:rPr>
                <w:rFonts w:eastAsia="Times New Roman" w:cs="Times New Roman"/>
                <w:b/>
                <w:bCs/>
                <w:color w:val="000000"/>
              </w:rPr>
            </w:pPr>
            <w:r w:rsidRPr="00C258CB">
              <w:rPr>
                <w:rFonts w:eastAsia="Times New Roman" w:cs="Times New Roman"/>
                <w:b/>
                <w:bCs/>
                <w:color w:val="000000"/>
              </w:rPr>
              <w:t>ASV Richness</w:t>
            </w:r>
          </w:p>
        </w:tc>
        <w:tc>
          <w:tcPr>
            <w:tcW w:w="1300" w:type="dxa"/>
            <w:tcBorders>
              <w:top w:val="nil"/>
              <w:left w:val="nil"/>
              <w:bottom w:val="nil"/>
              <w:right w:val="nil"/>
            </w:tcBorders>
            <w:shd w:val="clear" w:color="auto" w:fill="auto"/>
            <w:noWrap/>
            <w:vAlign w:val="bottom"/>
            <w:hideMark/>
          </w:tcPr>
          <w:p w14:paraId="461C9FA2" w14:textId="77777777" w:rsidR="00C258CB" w:rsidRPr="00C258CB" w:rsidRDefault="00C258CB" w:rsidP="00C258CB">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5324E902"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A0BE5CA"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57B5E15"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8D53475"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64A2467"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5634A3A" w14:textId="77777777" w:rsidR="00C258CB" w:rsidRPr="00C258CB" w:rsidRDefault="00C258CB" w:rsidP="00C258CB">
            <w:pPr>
              <w:rPr>
                <w:rFonts w:eastAsia="Times New Roman" w:cs="Times New Roman"/>
              </w:rPr>
            </w:pPr>
          </w:p>
        </w:tc>
      </w:tr>
      <w:tr w:rsidR="00C258CB" w:rsidRPr="00C258CB" w14:paraId="3C27E159" w14:textId="77777777" w:rsidTr="00C258CB">
        <w:trPr>
          <w:trHeight w:val="380"/>
        </w:trPr>
        <w:tc>
          <w:tcPr>
            <w:tcW w:w="2780" w:type="dxa"/>
            <w:tcBorders>
              <w:top w:val="nil"/>
              <w:left w:val="nil"/>
              <w:bottom w:val="nil"/>
              <w:right w:val="nil"/>
            </w:tcBorders>
            <w:shd w:val="clear" w:color="auto" w:fill="auto"/>
            <w:noWrap/>
            <w:vAlign w:val="bottom"/>
            <w:hideMark/>
          </w:tcPr>
          <w:p w14:paraId="11136F78"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31A80A63"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0.0346</w:t>
            </w:r>
          </w:p>
        </w:tc>
        <w:tc>
          <w:tcPr>
            <w:tcW w:w="1300" w:type="dxa"/>
            <w:tcBorders>
              <w:top w:val="nil"/>
              <w:left w:val="nil"/>
              <w:bottom w:val="nil"/>
              <w:right w:val="nil"/>
            </w:tcBorders>
            <w:shd w:val="clear" w:color="auto" w:fill="auto"/>
            <w:noWrap/>
            <w:vAlign w:val="bottom"/>
            <w:hideMark/>
          </w:tcPr>
          <w:p w14:paraId="16A34FD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0.086869</w:t>
            </w:r>
          </w:p>
        </w:tc>
        <w:tc>
          <w:tcPr>
            <w:tcW w:w="1300" w:type="dxa"/>
            <w:tcBorders>
              <w:top w:val="nil"/>
              <w:left w:val="nil"/>
              <w:bottom w:val="nil"/>
              <w:right w:val="nil"/>
            </w:tcBorders>
            <w:shd w:val="clear" w:color="auto" w:fill="auto"/>
            <w:noWrap/>
            <w:vAlign w:val="bottom"/>
            <w:hideMark/>
          </w:tcPr>
          <w:p w14:paraId="123B60E0"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0.086869</w:t>
            </w:r>
          </w:p>
        </w:tc>
        <w:tc>
          <w:tcPr>
            <w:tcW w:w="1300" w:type="dxa"/>
            <w:tcBorders>
              <w:top w:val="nil"/>
              <w:left w:val="nil"/>
              <w:bottom w:val="nil"/>
              <w:right w:val="nil"/>
            </w:tcBorders>
            <w:shd w:val="clear" w:color="auto" w:fill="auto"/>
            <w:noWrap/>
            <w:vAlign w:val="bottom"/>
            <w:hideMark/>
          </w:tcPr>
          <w:p w14:paraId="0B001C76"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1E509F5B"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65.638</w:t>
            </w:r>
          </w:p>
        </w:tc>
        <w:tc>
          <w:tcPr>
            <w:tcW w:w="1300" w:type="dxa"/>
            <w:tcBorders>
              <w:top w:val="nil"/>
              <w:left w:val="nil"/>
              <w:bottom w:val="nil"/>
              <w:right w:val="nil"/>
            </w:tcBorders>
            <w:shd w:val="clear" w:color="auto" w:fill="auto"/>
            <w:noWrap/>
            <w:vAlign w:val="bottom"/>
            <w:hideMark/>
          </w:tcPr>
          <w:p w14:paraId="15FE1A49"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1.8046</w:t>
            </w:r>
          </w:p>
        </w:tc>
        <w:tc>
          <w:tcPr>
            <w:tcW w:w="1300" w:type="dxa"/>
            <w:tcBorders>
              <w:top w:val="nil"/>
              <w:left w:val="nil"/>
              <w:bottom w:val="nil"/>
              <w:right w:val="nil"/>
            </w:tcBorders>
            <w:shd w:val="clear" w:color="auto" w:fill="auto"/>
            <w:noWrap/>
            <w:vAlign w:val="bottom"/>
            <w:hideMark/>
          </w:tcPr>
          <w:p w14:paraId="50432D26"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0.1838</w:t>
            </w:r>
          </w:p>
        </w:tc>
      </w:tr>
      <w:tr w:rsidR="00C258CB" w:rsidRPr="00C258CB" w14:paraId="1F6ACC67" w14:textId="77777777" w:rsidTr="00C258CB">
        <w:trPr>
          <w:trHeight w:val="380"/>
        </w:trPr>
        <w:tc>
          <w:tcPr>
            <w:tcW w:w="2780" w:type="dxa"/>
            <w:tcBorders>
              <w:top w:val="nil"/>
              <w:left w:val="nil"/>
              <w:bottom w:val="nil"/>
              <w:right w:val="nil"/>
            </w:tcBorders>
            <w:shd w:val="clear" w:color="auto" w:fill="auto"/>
            <w:noWrap/>
            <w:vAlign w:val="bottom"/>
            <w:hideMark/>
          </w:tcPr>
          <w:p w14:paraId="60FCE54D"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60F5B03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0.0151</w:t>
            </w:r>
          </w:p>
        </w:tc>
        <w:tc>
          <w:tcPr>
            <w:tcW w:w="1300" w:type="dxa"/>
            <w:tcBorders>
              <w:top w:val="nil"/>
              <w:left w:val="nil"/>
              <w:bottom w:val="nil"/>
              <w:right w:val="nil"/>
            </w:tcBorders>
            <w:shd w:val="clear" w:color="auto" w:fill="auto"/>
            <w:noWrap/>
            <w:vAlign w:val="bottom"/>
            <w:hideMark/>
          </w:tcPr>
          <w:p w14:paraId="4C76D1E7"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0.043544</w:t>
            </w:r>
          </w:p>
        </w:tc>
        <w:tc>
          <w:tcPr>
            <w:tcW w:w="1300" w:type="dxa"/>
            <w:tcBorders>
              <w:top w:val="nil"/>
              <w:left w:val="nil"/>
              <w:bottom w:val="nil"/>
              <w:right w:val="nil"/>
            </w:tcBorders>
            <w:shd w:val="clear" w:color="auto" w:fill="auto"/>
            <w:noWrap/>
            <w:vAlign w:val="bottom"/>
            <w:hideMark/>
          </w:tcPr>
          <w:p w14:paraId="055F582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0.043544</w:t>
            </w:r>
          </w:p>
        </w:tc>
        <w:tc>
          <w:tcPr>
            <w:tcW w:w="1300" w:type="dxa"/>
            <w:tcBorders>
              <w:top w:val="nil"/>
              <w:left w:val="nil"/>
              <w:bottom w:val="nil"/>
              <w:right w:val="nil"/>
            </w:tcBorders>
            <w:shd w:val="clear" w:color="auto" w:fill="auto"/>
            <w:noWrap/>
            <w:vAlign w:val="bottom"/>
            <w:hideMark/>
          </w:tcPr>
          <w:p w14:paraId="35C64DE0"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13A66591"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5.381</w:t>
            </w:r>
          </w:p>
        </w:tc>
        <w:tc>
          <w:tcPr>
            <w:tcW w:w="1300" w:type="dxa"/>
            <w:tcBorders>
              <w:top w:val="nil"/>
              <w:left w:val="nil"/>
              <w:bottom w:val="nil"/>
              <w:right w:val="nil"/>
            </w:tcBorders>
            <w:shd w:val="clear" w:color="auto" w:fill="auto"/>
            <w:noWrap/>
            <w:vAlign w:val="bottom"/>
            <w:hideMark/>
          </w:tcPr>
          <w:p w14:paraId="71932152"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0.9046</w:t>
            </w:r>
          </w:p>
        </w:tc>
        <w:tc>
          <w:tcPr>
            <w:tcW w:w="1300" w:type="dxa"/>
            <w:tcBorders>
              <w:top w:val="nil"/>
              <w:left w:val="nil"/>
              <w:bottom w:val="nil"/>
              <w:right w:val="nil"/>
            </w:tcBorders>
            <w:shd w:val="clear" w:color="auto" w:fill="auto"/>
            <w:noWrap/>
            <w:vAlign w:val="bottom"/>
            <w:hideMark/>
          </w:tcPr>
          <w:p w14:paraId="34724917"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0.3823</w:t>
            </w:r>
          </w:p>
        </w:tc>
      </w:tr>
      <w:tr w:rsidR="00C258CB" w:rsidRPr="00C258CB" w14:paraId="7F2F0BA9" w14:textId="77777777" w:rsidTr="00C258CB">
        <w:trPr>
          <w:trHeight w:val="380"/>
        </w:trPr>
        <w:tc>
          <w:tcPr>
            <w:tcW w:w="2780" w:type="dxa"/>
            <w:tcBorders>
              <w:top w:val="nil"/>
              <w:left w:val="nil"/>
              <w:bottom w:val="nil"/>
              <w:right w:val="nil"/>
            </w:tcBorders>
            <w:shd w:val="clear" w:color="auto" w:fill="auto"/>
            <w:noWrap/>
            <w:vAlign w:val="bottom"/>
            <w:hideMark/>
          </w:tcPr>
          <w:p w14:paraId="5F30451C"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59D83E21"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0.02</w:t>
            </w:r>
          </w:p>
        </w:tc>
        <w:tc>
          <w:tcPr>
            <w:tcW w:w="1300" w:type="dxa"/>
            <w:tcBorders>
              <w:top w:val="nil"/>
              <w:left w:val="nil"/>
              <w:bottom w:val="nil"/>
              <w:right w:val="nil"/>
            </w:tcBorders>
            <w:shd w:val="clear" w:color="auto" w:fill="auto"/>
            <w:noWrap/>
            <w:vAlign w:val="bottom"/>
            <w:hideMark/>
          </w:tcPr>
          <w:p w14:paraId="57D45499"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0.14958</w:t>
            </w:r>
          </w:p>
        </w:tc>
        <w:tc>
          <w:tcPr>
            <w:tcW w:w="1300" w:type="dxa"/>
            <w:tcBorders>
              <w:top w:val="nil"/>
              <w:left w:val="nil"/>
              <w:bottom w:val="nil"/>
              <w:right w:val="nil"/>
            </w:tcBorders>
            <w:shd w:val="clear" w:color="auto" w:fill="auto"/>
            <w:noWrap/>
            <w:vAlign w:val="bottom"/>
            <w:hideMark/>
          </w:tcPr>
          <w:p w14:paraId="07BE5EE8"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0.04986</w:t>
            </w:r>
          </w:p>
        </w:tc>
        <w:tc>
          <w:tcPr>
            <w:tcW w:w="1300" w:type="dxa"/>
            <w:tcBorders>
              <w:top w:val="nil"/>
              <w:left w:val="nil"/>
              <w:bottom w:val="nil"/>
              <w:right w:val="nil"/>
            </w:tcBorders>
            <w:shd w:val="clear" w:color="auto" w:fill="auto"/>
            <w:noWrap/>
            <w:vAlign w:val="bottom"/>
            <w:hideMark/>
          </w:tcPr>
          <w:p w14:paraId="2D4B9E48"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49040C3E"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64.695</w:t>
            </w:r>
          </w:p>
        </w:tc>
        <w:tc>
          <w:tcPr>
            <w:tcW w:w="1300" w:type="dxa"/>
            <w:tcBorders>
              <w:top w:val="nil"/>
              <w:left w:val="nil"/>
              <w:bottom w:val="nil"/>
              <w:right w:val="nil"/>
            </w:tcBorders>
            <w:shd w:val="clear" w:color="auto" w:fill="auto"/>
            <w:noWrap/>
            <w:vAlign w:val="bottom"/>
            <w:hideMark/>
          </w:tcPr>
          <w:p w14:paraId="3B56896E"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1.0358</w:t>
            </w:r>
          </w:p>
        </w:tc>
        <w:tc>
          <w:tcPr>
            <w:tcW w:w="1300" w:type="dxa"/>
            <w:tcBorders>
              <w:top w:val="nil"/>
              <w:left w:val="nil"/>
              <w:bottom w:val="nil"/>
              <w:right w:val="nil"/>
            </w:tcBorders>
            <w:shd w:val="clear" w:color="auto" w:fill="auto"/>
            <w:noWrap/>
            <w:vAlign w:val="bottom"/>
            <w:hideMark/>
          </w:tcPr>
          <w:p w14:paraId="01E311D0"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0.3827</w:t>
            </w:r>
          </w:p>
        </w:tc>
      </w:tr>
      <w:tr w:rsidR="00C258CB" w:rsidRPr="00C258CB" w14:paraId="535AF68E" w14:textId="77777777" w:rsidTr="00C258CB">
        <w:trPr>
          <w:trHeight w:val="380"/>
        </w:trPr>
        <w:tc>
          <w:tcPr>
            <w:tcW w:w="2780" w:type="dxa"/>
            <w:tcBorders>
              <w:top w:val="nil"/>
              <w:left w:val="nil"/>
              <w:bottom w:val="nil"/>
              <w:right w:val="nil"/>
            </w:tcBorders>
            <w:shd w:val="clear" w:color="auto" w:fill="auto"/>
            <w:noWrap/>
            <w:vAlign w:val="bottom"/>
            <w:hideMark/>
          </w:tcPr>
          <w:p w14:paraId="4ADF4DF4"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73BE6846"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0.0681</w:t>
            </w:r>
          </w:p>
        </w:tc>
        <w:tc>
          <w:tcPr>
            <w:tcW w:w="1300" w:type="dxa"/>
            <w:tcBorders>
              <w:top w:val="nil"/>
              <w:left w:val="nil"/>
              <w:bottom w:val="nil"/>
              <w:right w:val="nil"/>
            </w:tcBorders>
            <w:shd w:val="clear" w:color="auto" w:fill="auto"/>
            <w:noWrap/>
            <w:vAlign w:val="bottom"/>
            <w:hideMark/>
          </w:tcPr>
          <w:p w14:paraId="6AB32F14"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0.282256</w:t>
            </w:r>
          </w:p>
        </w:tc>
        <w:tc>
          <w:tcPr>
            <w:tcW w:w="1300" w:type="dxa"/>
            <w:tcBorders>
              <w:top w:val="nil"/>
              <w:left w:val="nil"/>
              <w:bottom w:val="nil"/>
              <w:right w:val="nil"/>
            </w:tcBorders>
            <w:shd w:val="clear" w:color="auto" w:fill="auto"/>
            <w:noWrap/>
            <w:vAlign w:val="bottom"/>
            <w:hideMark/>
          </w:tcPr>
          <w:p w14:paraId="7721F099"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0.040322</w:t>
            </w:r>
          </w:p>
        </w:tc>
        <w:tc>
          <w:tcPr>
            <w:tcW w:w="1300" w:type="dxa"/>
            <w:tcBorders>
              <w:top w:val="nil"/>
              <w:left w:val="nil"/>
              <w:bottom w:val="nil"/>
              <w:right w:val="nil"/>
            </w:tcBorders>
            <w:shd w:val="clear" w:color="auto" w:fill="auto"/>
            <w:noWrap/>
            <w:vAlign w:val="bottom"/>
            <w:hideMark/>
          </w:tcPr>
          <w:p w14:paraId="6C1811B8"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7</w:t>
            </w:r>
          </w:p>
        </w:tc>
        <w:tc>
          <w:tcPr>
            <w:tcW w:w="1300" w:type="dxa"/>
            <w:tcBorders>
              <w:top w:val="nil"/>
              <w:left w:val="nil"/>
              <w:bottom w:val="nil"/>
              <w:right w:val="nil"/>
            </w:tcBorders>
            <w:shd w:val="clear" w:color="auto" w:fill="auto"/>
            <w:noWrap/>
            <w:vAlign w:val="bottom"/>
            <w:hideMark/>
          </w:tcPr>
          <w:p w14:paraId="726CAEA9"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42.667</w:t>
            </w:r>
          </w:p>
        </w:tc>
        <w:tc>
          <w:tcPr>
            <w:tcW w:w="1300" w:type="dxa"/>
            <w:tcBorders>
              <w:top w:val="nil"/>
              <w:left w:val="nil"/>
              <w:bottom w:val="nil"/>
              <w:right w:val="nil"/>
            </w:tcBorders>
            <w:shd w:val="clear" w:color="auto" w:fill="auto"/>
            <w:noWrap/>
            <w:vAlign w:val="bottom"/>
            <w:hideMark/>
          </w:tcPr>
          <w:p w14:paraId="4E757C1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0.8376</w:t>
            </w:r>
          </w:p>
        </w:tc>
        <w:tc>
          <w:tcPr>
            <w:tcW w:w="1300" w:type="dxa"/>
            <w:tcBorders>
              <w:top w:val="nil"/>
              <w:left w:val="nil"/>
              <w:bottom w:val="nil"/>
              <w:right w:val="nil"/>
            </w:tcBorders>
            <w:shd w:val="clear" w:color="auto" w:fill="auto"/>
            <w:noWrap/>
            <w:vAlign w:val="bottom"/>
            <w:hideMark/>
          </w:tcPr>
          <w:p w14:paraId="0C271B9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0.5624</w:t>
            </w:r>
          </w:p>
        </w:tc>
      </w:tr>
      <w:tr w:rsidR="00C258CB" w:rsidRPr="00C258CB" w14:paraId="382BFD91" w14:textId="77777777" w:rsidTr="00C258CB">
        <w:trPr>
          <w:trHeight w:val="380"/>
        </w:trPr>
        <w:tc>
          <w:tcPr>
            <w:tcW w:w="2780" w:type="dxa"/>
            <w:tcBorders>
              <w:top w:val="nil"/>
              <w:left w:val="nil"/>
              <w:bottom w:val="nil"/>
              <w:right w:val="nil"/>
            </w:tcBorders>
            <w:shd w:val="clear" w:color="auto" w:fill="auto"/>
            <w:noWrap/>
            <w:vAlign w:val="bottom"/>
            <w:hideMark/>
          </w:tcPr>
          <w:p w14:paraId="63B178FB"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2A7B1565"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0.1018</w:t>
            </w:r>
          </w:p>
        </w:tc>
        <w:tc>
          <w:tcPr>
            <w:tcW w:w="1300" w:type="dxa"/>
            <w:tcBorders>
              <w:top w:val="nil"/>
              <w:left w:val="nil"/>
              <w:bottom w:val="nil"/>
              <w:right w:val="nil"/>
            </w:tcBorders>
            <w:shd w:val="clear" w:color="auto" w:fill="auto"/>
            <w:noWrap/>
            <w:vAlign w:val="bottom"/>
            <w:hideMark/>
          </w:tcPr>
          <w:p w14:paraId="4EF07FDC" w14:textId="77777777" w:rsidR="00C258CB" w:rsidRPr="00C258CB" w:rsidRDefault="00C258CB" w:rsidP="00C258CB">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7B65EF4A"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099D7F5"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8FE7F08"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65C5C7A"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05496DA" w14:textId="77777777" w:rsidR="00C258CB" w:rsidRPr="00C258CB" w:rsidRDefault="00C258CB" w:rsidP="00C258CB">
            <w:pPr>
              <w:rPr>
                <w:rFonts w:eastAsia="Times New Roman" w:cs="Times New Roman"/>
              </w:rPr>
            </w:pPr>
          </w:p>
        </w:tc>
      </w:tr>
      <w:tr w:rsidR="00C258CB" w:rsidRPr="00C258CB" w14:paraId="35451C46" w14:textId="77777777" w:rsidTr="00C258CB">
        <w:trPr>
          <w:trHeight w:val="380"/>
        </w:trPr>
        <w:tc>
          <w:tcPr>
            <w:tcW w:w="2780" w:type="dxa"/>
            <w:tcBorders>
              <w:top w:val="nil"/>
              <w:left w:val="nil"/>
              <w:bottom w:val="nil"/>
              <w:right w:val="nil"/>
            </w:tcBorders>
            <w:shd w:val="clear" w:color="auto" w:fill="auto"/>
            <w:noWrap/>
            <w:vAlign w:val="bottom"/>
            <w:hideMark/>
          </w:tcPr>
          <w:p w14:paraId="0AAB6B63"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D4361EB"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D1073F9"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B3DFE30"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44D2C09"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F9F42BC"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BD034F6"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D8C9537" w14:textId="77777777" w:rsidR="00C258CB" w:rsidRPr="00C258CB" w:rsidRDefault="00C258CB" w:rsidP="00C258CB">
            <w:pPr>
              <w:rPr>
                <w:rFonts w:eastAsia="Times New Roman" w:cs="Times New Roman"/>
              </w:rPr>
            </w:pPr>
          </w:p>
        </w:tc>
      </w:tr>
      <w:tr w:rsidR="00C258CB" w:rsidRPr="00C258CB" w14:paraId="3D0E7216" w14:textId="77777777" w:rsidTr="00C258CB">
        <w:trPr>
          <w:trHeight w:val="380"/>
        </w:trPr>
        <w:tc>
          <w:tcPr>
            <w:tcW w:w="2780" w:type="dxa"/>
            <w:tcBorders>
              <w:top w:val="nil"/>
              <w:left w:val="nil"/>
              <w:bottom w:val="nil"/>
              <w:right w:val="nil"/>
            </w:tcBorders>
            <w:shd w:val="clear" w:color="auto" w:fill="auto"/>
            <w:noWrap/>
            <w:vAlign w:val="bottom"/>
            <w:hideMark/>
          </w:tcPr>
          <w:p w14:paraId="375A733C" w14:textId="08345249" w:rsidR="00C258CB" w:rsidRPr="00C258CB" w:rsidRDefault="00C258CB" w:rsidP="00C258CB">
            <w:pPr>
              <w:rPr>
                <w:rFonts w:eastAsia="Times New Roman" w:cs="Times New Roman"/>
                <w:b/>
                <w:bCs/>
                <w:color w:val="000000"/>
              </w:rPr>
            </w:pPr>
            <w:r w:rsidRPr="00C258CB">
              <w:rPr>
                <w:rFonts w:eastAsia="Times New Roman" w:cs="Times New Roman"/>
                <w:b/>
                <w:bCs/>
                <w:color w:val="000000"/>
              </w:rPr>
              <w:t xml:space="preserve">Shannon </w:t>
            </w:r>
          </w:p>
        </w:tc>
        <w:tc>
          <w:tcPr>
            <w:tcW w:w="1300" w:type="dxa"/>
            <w:tcBorders>
              <w:top w:val="nil"/>
              <w:left w:val="nil"/>
              <w:bottom w:val="nil"/>
              <w:right w:val="nil"/>
            </w:tcBorders>
            <w:shd w:val="clear" w:color="auto" w:fill="auto"/>
            <w:noWrap/>
            <w:vAlign w:val="bottom"/>
            <w:hideMark/>
          </w:tcPr>
          <w:p w14:paraId="24039B6A" w14:textId="77777777" w:rsidR="00C258CB" w:rsidRPr="00C258CB" w:rsidRDefault="00C258CB" w:rsidP="00C258CB">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396E0A73"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D93A88E"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4B63411"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CF839E8"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9D248EE"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344AF86" w14:textId="77777777" w:rsidR="00C258CB" w:rsidRPr="00C258CB" w:rsidRDefault="00C258CB" w:rsidP="00C258CB">
            <w:pPr>
              <w:rPr>
                <w:rFonts w:eastAsia="Times New Roman" w:cs="Times New Roman"/>
              </w:rPr>
            </w:pPr>
          </w:p>
        </w:tc>
      </w:tr>
      <w:tr w:rsidR="00C258CB" w:rsidRPr="00C258CB" w14:paraId="552E03BE" w14:textId="77777777" w:rsidTr="00C258CB">
        <w:trPr>
          <w:trHeight w:val="380"/>
        </w:trPr>
        <w:tc>
          <w:tcPr>
            <w:tcW w:w="2780" w:type="dxa"/>
            <w:tcBorders>
              <w:top w:val="nil"/>
              <w:left w:val="nil"/>
              <w:bottom w:val="nil"/>
              <w:right w:val="nil"/>
            </w:tcBorders>
            <w:shd w:val="clear" w:color="auto" w:fill="auto"/>
            <w:noWrap/>
            <w:vAlign w:val="bottom"/>
            <w:hideMark/>
          </w:tcPr>
          <w:p w14:paraId="6E3B77A0"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7A6939D2"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0.013</w:t>
            </w:r>
          </w:p>
        </w:tc>
        <w:tc>
          <w:tcPr>
            <w:tcW w:w="1300" w:type="dxa"/>
            <w:tcBorders>
              <w:top w:val="nil"/>
              <w:left w:val="nil"/>
              <w:bottom w:val="nil"/>
              <w:right w:val="nil"/>
            </w:tcBorders>
            <w:shd w:val="clear" w:color="auto" w:fill="auto"/>
            <w:noWrap/>
            <w:vAlign w:val="bottom"/>
            <w:hideMark/>
          </w:tcPr>
          <w:p w14:paraId="31DC2181"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0.038741</w:t>
            </w:r>
          </w:p>
        </w:tc>
        <w:tc>
          <w:tcPr>
            <w:tcW w:w="1300" w:type="dxa"/>
            <w:tcBorders>
              <w:top w:val="nil"/>
              <w:left w:val="nil"/>
              <w:bottom w:val="nil"/>
              <w:right w:val="nil"/>
            </w:tcBorders>
            <w:shd w:val="clear" w:color="auto" w:fill="auto"/>
            <w:noWrap/>
            <w:vAlign w:val="bottom"/>
            <w:hideMark/>
          </w:tcPr>
          <w:p w14:paraId="64FE2136"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0.038741</w:t>
            </w:r>
          </w:p>
        </w:tc>
        <w:tc>
          <w:tcPr>
            <w:tcW w:w="1300" w:type="dxa"/>
            <w:tcBorders>
              <w:top w:val="nil"/>
              <w:left w:val="nil"/>
              <w:bottom w:val="nil"/>
              <w:right w:val="nil"/>
            </w:tcBorders>
            <w:shd w:val="clear" w:color="auto" w:fill="auto"/>
            <w:noWrap/>
            <w:vAlign w:val="bottom"/>
            <w:hideMark/>
          </w:tcPr>
          <w:p w14:paraId="044CFC2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1872D883"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67</w:t>
            </w:r>
          </w:p>
        </w:tc>
        <w:tc>
          <w:tcPr>
            <w:tcW w:w="1300" w:type="dxa"/>
            <w:tcBorders>
              <w:top w:val="nil"/>
              <w:left w:val="nil"/>
              <w:bottom w:val="nil"/>
              <w:right w:val="nil"/>
            </w:tcBorders>
            <w:shd w:val="clear" w:color="auto" w:fill="auto"/>
            <w:noWrap/>
            <w:vAlign w:val="bottom"/>
            <w:hideMark/>
          </w:tcPr>
          <w:p w14:paraId="08E8D9BB"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1.2375</w:t>
            </w:r>
          </w:p>
        </w:tc>
        <w:tc>
          <w:tcPr>
            <w:tcW w:w="1300" w:type="dxa"/>
            <w:tcBorders>
              <w:top w:val="nil"/>
              <w:left w:val="nil"/>
              <w:bottom w:val="nil"/>
              <w:right w:val="nil"/>
            </w:tcBorders>
            <w:shd w:val="clear" w:color="auto" w:fill="auto"/>
            <w:noWrap/>
            <w:vAlign w:val="bottom"/>
            <w:hideMark/>
          </w:tcPr>
          <w:p w14:paraId="67F5A0FD"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0.26992</w:t>
            </w:r>
          </w:p>
        </w:tc>
      </w:tr>
      <w:tr w:rsidR="00C258CB" w:rsidRPr="00C258CB" w14:paraId="2D9E986D" w14:textId="77777777" w:rsidTr="00C258CB">
        <w:trPr>
          <w:trHeight w:val="380"/>
        </w:trPr>
        <w:tc>
          <w:tcPr>
            <w:tcW w:w="2780" w:type="dxa"/>
            <w:tcBorders>
              <w:top w:val="nil"/>
              <w:left w:val="nil"/>
              <w:bottom w:val="nil"/>
              <w:right w:val="nil"/>
            </w:tcBorders>
            <w:shd w:val="clear" w:color="auto" w:fill="auto"/>
            <w:noWrap/>
            <w:vAlign w:val="bottom"/>
            <w:hideMark/>
          </w:tcPr>
          <w:p w14:paraId="61527733"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33B3BDF0"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0.04</w:t>
            </w:r>
          </w:p>
        </w:tc>
        <w:tc>
          <w:tcPr>
            <w:tcW w:w="1300" w:type="dxa"/>
            <w:tcBorders>
              <w:top w:val="nil"/>
              <w:left w:val="nil"/>
              <w:bottom w:val="nil"/>
              <w:right w:val="nil"/>
            </w:tcBorders>
            <w:shd w:val="clear" w:color="auto" w:fill="auto"/>
            <w:noWrap/>
            <w:vAlign w:val="bottom"/>
            <w:hideMark/>
          </w:tcPr>
          <w:p w14:paraId="118A74EF"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0.12742</w:t>
            </w:r>
          </w:p>
        </w:tc>
        <w:tc>
          <w:tcPr>
            <w:tcW w:w="1300" w:type="dxa"/>
            <w:tcBorders>
              <w:top w:val="nil"/>
              <w:left w:val="nil"/>
              <w:bottom w:val="nil"/>
              <w:right w:val="nil"/>
            </w:tcBorders>
            <w:shd w:val="clear" w:color="auto" w:fill="auto"/>
            <w:noWrap/>
            <w:vAlign w:val="bottom"/>
            <w:hideMark/>
          </w:tcPr>
          <w:p w14:paraId="07B4B903"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0.12742</w:t>
            </w:r>
          </w:p>
        </w:tc>
        <w:tc>
          <w:tcPr>
            <w:tcW w:w="1300" w:type="dxa"/>
            <w:tcBorders>
              <w:top w:val="nil"/>
              <w:left w:val="nil"/>
              <w:bottom w:val="nil"/>
              <w:right w:val="nil"/>
            </w:tcBorders>
            <w:shd w:val="clear" w:color="auto" w:fill="auto"/>
            <w:noWrap/>
            <w:vAlign w:val="bottom"/>
            <w:hideMark/>
          </w:tcPr>
          <w:p w14:paraId="3B2A66CE"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64B6C7F2"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67</w:t>
            </w:r>
          </w:p>
        </w:tc>
        <w:tc>
          <w:tcPr>
            <w:tcW w:w="1300" w:type="dxa"/>
            <w:tcBorders>
              <w:top w:val="nil"/>
              <w:left w:val="nil"/>
              <w:bottom w:val="nil"/>
              <w:right w:val="nil"/>
            </w:tcBorders>
            <w:shd w:val="clear" w:color="auto" w:fill="auto"/>
            <w:noWrap/>
            <w:vAlign w:val="bottom"/>
            <w:hideMark/>
          </w:tcPr>
          <w:p w14:paraId="53218A52"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4.0703</w:t>
            </w:r>
          </w:p>
        </w:tc>
        <w:tc>
          <w:tcPr>
            <w:tcW w:w="1300" w:type="dxa"/>
            <w:tcBorders>
              <w:top w:val="nil"/>
              <w:left w:val="nil"/>
              <w:bottom w:val="nil"/>
              <w:right w:val="nil"/>
            </w:tcBorders>
            <w:shd w:val="clear" w:color="auto" w:fill="auto"/>
            <w:noWrap/>
            <w:vAlign w:val="bottom"/>
            <w:hideMark/>
          </w:tcPr>
          <w:p w14:paraId="48C44BD9" w14:textId="77777777" w:rsidR="00C258CB" w:rsidRPr="00C258CB" w:rsidRDefault="00C258CB" w:rsidP="00C258CB">
            <w:pPr>
              <w:jc w:val="right"/>
              <w:rPr>
                <w:rFonts w:eastAsia="Times New Roman" w:cs="Times New Roman"/>
                <w:b/>
                <w:bCs/>
                <w:color w:val="000000"/>
              </w:rPr>
            </w:pPr>
            <w:r w:rsidRPr="00C258CB">
              <w:rPr>
                <w:rFonts w:eastAsia="Times New Roman" w:cs="Times New Roman"/>
                <w:b/>
                <w:bCs/>
                <w:color w:val="000000"/>
              </w:rPr>
              <w:t>0.04765</w:t>
            </w:r>
          </w:p>
        </w:tc>
      </w:tr>
      <w:tr w:rsidR="00C258CB" w:rsidRPr="00C258CB" w14:paraId="27798862" w14:textId="77777777" w:rsidTr="00C258CB">
        <w:trPr>
          <w:trHeight w:val="380"/>
        </w:trPr>
        <w:tc>
          <w:tcPr>
            <w:tcW w:w="2780" w:type="dxa"/>
            <w:tcBorders>
              <w:top w:val="nil"/>
              <w:left w:val="nil"/>
              <w:bottom w:val="nil"/>
              <w:right w:val="nil"/>
            </w:tcBorders>
            <w:shd w:val="clear" w:color="auto" w:fill="auto"/>
            <w:noWrap/>
            <w:vAlign w:val="bottom"/>
            <w:hideMark/>
          </w:tcPr>
          <w:p w14:paraId="384A6A36"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19D96094"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0.0246</w:t>
            </w:r>
          </w:p>
        </w:tc>
        <w:tc>
          <w:tcPr>
            <w:tcW w:w="1300" w:type="dxa"/>
            <w:tcBorders>
              <w:top w:val="nil"/>
              <w:left w:val="nil"/>
              <w:bottom w:val="nil"/>
              <w:right w:val="nil"/>
            </w:tcBorders>
            <w:shd w:val="clear" w:color="auto" w:fill="auto"/>
            <w:noWrap/>
            <w:vAlign w:val="bottom"/>
            <w:hideMark/>
          </w:tcPr>
          <w:p w14:paraId="435AC1C4"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0.073291</w:t>
            </w:r>
          </w:p>
        </w:tc>
        <w:tc>
          <w:tcPr>
            <w:tcW w:w="1300" w:type="dxa"/>
            <w:tcBorders>
              <w:top w:val="nil"/>
              <w:left w:val="nil"/>
              <w:bottom w:val="nil"/>
              <w:right w:val="nil"/>
            </w:tcBorders>
            <w:shd w:val="clear" w:color="auto" w:fill="auto"/>
            <w:noWrap/>
            <w:vAlign w:val="bottom"/>
            <w:hideMark/>
          </w:tcPr>
          <w:p w14:paraId="0BC8584B"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0.02443</w:t>
            </w:r>
          </w:p>
        </w:tc>
        <w:tc>
          <w:tcPr>
            <w:tcW w:w="1300" w:type="dxa"/>
            <w:tcBorders>
              <w:top w:val="nil"/>
              <w:left w:val="nil"/>
              <w:bottom w:val="nil"/>
              <w:right w:val="nil"/>
            </w:tcBorders>
            <w:shd w:val="clear" w:color="auto" w:fill="auto"/>
            <w:noWrap/>
            <w:vAlign w:val="bottom"/>
            <w:hideMark/>
          </w:tcPr>
          <w:p w14:paraId="1FEFF1CA"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531BA33B"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67</w:t>
            </w:r>
          </w:p>
        </w:tc>
        <w:tc>
          <w:tcPr>
            <w:tcW w:w="1300" w:type="dxa"/>
            <w:tcBorders>
              <w:top w:val="nil"/>
              <w:left w:val="nil"/>
              <w:bottom w:val="nil"/>
              <w:right w:val="nil"/>
            </w:tcBorders>
            <w:shd w:val="clear" w:color="auto" w:fill="auto"/>
            <w:noWrap/>
            <w:vAlign w:val="bottom"/>
            <w:hideMark/>
          </w:tcPr>
          <w:p w14:paraId="6651E7E5"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0.7804</w:t>
            </w:r>
          </w:p>
        </w:tc>
        <w:tc>
          <w:tcPr>
            <w:tcW w:w="1300" w:type="dxa"/>
            <w:tcBorders>
              <w:top w:val="nil"/>
              <w:left w:val="nil"/>
              <w:bottom w:val="nil"/>
              <w:right w:val="nil"/>
            </w:tcBorders>
            <w:shd w:val="clear" w:color="auto" w:fill="auto"/>
            <w:noWrap/>
            <w:vAlign w:val="bottom"/>
            <w:hideMark/>
          </w:tcPr>
          <w:p w14:paraId="6F3A37BF"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0.50904</w:t>
            </w:r>
          </w:p>
        </w:tc>
      </w:tr>
      <w:tr w:rsidR="00C258CB" w:rsidRPr="00C258CB" w14:paraId="56CD8FED" w14:textId="77777777" w:rsidTr="00C258CB">
        <w:trPr>
          <w:trHeight w:val="380"/>
        </w:trPr>
        <w:tc>
          <w:tcPr>
            <w:tcW w:w="2780" w:type="dxa"/>
            <w:tcBorders>
              <w:top w:val="nil"/>
              <w:left w:val="nil"/>
              <w:bottom w:val="nil"/>
              <w:right w:val="nil"/>
            </w:tcBorders>
            <w:shd w:val="clear" w:color="auto" w:fill="auto"/>
            <w:noWrap/>
            <w:vAlign w:val="bottom"/>
            <w:hideMark/>
          </w:tcPr>
          <w:p w14:paraId="7C71E3F3"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3842E501"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0.0492</w:t>
            </w:r>
          </w:p>
        </w:tc>
        <w:tc>
          <w:tcPr>
            <w:tcW w:w="1300" w:type="dxa"/>
            <w:tcBorders>
              <w:top w:val="nil"/>
              <w:left w:val="nil"/>
              <w:bottom w:val="nil"/>
              <w:right w:val="nil"/>
            </w:tcBorders>
            <w:shd w:val="clear" w:color="auto" w:fill="auto"/>
            <w:noWrap/>
            <w:vAlign w:val="bottom"/>
            <w:hideMark/>
          </w:tcPr>
          <w:p w14:paraId="7958176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0.146512</w:t>
            </w:r>
          </w:p>
        </w:tc>
        <w:tc>
          <w:tcPr>
            <w:tcW w:w="1300" w:type="dxa"/>
            <w:tcBorders>
              <w:top w:val="nil"/>
              <w:left w:val="nil"/>
              <w:bottom w:val="nil"/>
              <w:right w:val="nil"/>
            </w:tcBorders>
            <w:shd w:val="clear" w:color="auto" w:fill="auto"/>
            <w:noWrap/>
            <w:vAlign w:val="bottom"/>
            <w:hideMark/>
          </w:tcPr>
          <w:p w14:paraId="4387960D"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0.02093</w:t>
            </w:r>
          </w:p>
        </w:tc>
        <w:tc>
          <w:tcPr>
            <w:tcW w:w="1300" w:type="dxa"/>
            <w:tcBorders>
              <w:top w:val="nil"/>
              <w:left w:val="nil"/>
              <w:bottom w:val="nil"/>
              <w:right w:val="nil"/>
            </w:tcBorders>
            <w:shd w:val="clear" w:color="auto" w:fill="auto"/>
            <w:noWrap/>
            <w:vAlign w:val="bottom"/>
            <w:hideMark/>
          </w:tcPr>
          <w:p w14:paraId="43944877"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7</w:t>
            </w:r>
          </w:p>
        </w:tc>
        <w:tc>
          <w:tcPr>
            <w:tcW w:w="1300" w:type="dxa"/>
            <w:tcBorders>
              <w:top w:val="nil"/>
              <w:left w:val="nil"/>
              <w:bottom w:val="nil"/>
              <w:right w:val="nil"/>
            </w:tcBorders>
            <w:shd w:val="clear" w:color="auto" w:fill="auto"/>
            <w:noWrap/>
            <w:vAlign w:val="bottom"/>
            <w:hideMark/>
          </w:tcPr>
          <w:p w14:paraId="2AACCB9B"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67</w:t>
            </w:r>
          </w:p>
        </w:tc>
        <w:tc>
          <w:tcPr>
            <w:tcW w:w="1300" w:type="dxa"/>
            <w:tcBorders>
              <w:top w:val="nil"/>
              <w:left w:val="nil"/>
              <w:bottom w:val="nil"/>
              <w:right w:val="nil"/>
            </w:tcBorders>
            <w:shd w:val="clear" w:color="auto" w:fill="auto"/>
            <w:noWrap/>
            <w:vAlign w:val="bottom"/>
            <w:hideMark/>
          </w:tcPr>
          <w:p w14:paraId="420BD2FF"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0.6686</w:t>
            </w:r>
          </w:p>
        </w:tc>
        <w:tc>
          <w:tcPr>
            <w:tcW w:w="1300" w:type="dxa"/>
            <w:tcBorders>
              <w:top w:val="nil"/>
              <w:left w:val="nil"/>
              <w:bottom w:val="nil"/>
              <w:right w:val="nil"/>
            </w:tcBorders>
            <w:shd w:val="clear" w:color="auto" w:fill="auto"/>
            <w:noWrap/>
            <w:vAlign w:val="bottom"/>
            <w:hideMark/>
          </w:tcPr>
          <w:p w14:paraId="5AAA6AB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0.69774</w:t>
            </w:r>
          </w:p>
        </w:tc>
      </w:tr>
      <w:tr w:rsidR="00C258CB" w:rsidRPr="00C258CB" w14:paraId="57A11119" w14:textId="77777777" w:rsidTr="00C258CB">
        <w:trPr>
          <w:trHeight w:val="380"/>
        </w:trPr>
        <w:tc>
          <w:tcPr>
            <w:tcW w:w="2780" w:type="dxa"/>
            <w:tcBorders>
              <w:top w:val="nil"/>
              <w:left w:val="nil"/>
              <w:bottom w:val="nil"/>
              <w:right w:val="nil"/>
            </w:tcBorders>
            <w:shd w:val="clear" w:color="auto" w:fill="auto"/>
            <w:noWrap/>
            <w:vAlign w:val="bottom"/>
            <w:hideMark/>
          </w:tcPr>
          <w:p w14:paraId="27176AF0"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486E4BF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0.1703</w:t>
            </w:r>
          </w:p>
        </w:tc>
        <w:tc>
          <w:tcPr>
            <w:tcW w:w="1300" w:type="dxa"/>
            <w:tcBorders>
              <w:top w:val="nil"/>
              <w:left w:val="nil"/>
              <w:bottom w:val="nil"/>
              <w:right w:val="nil"/>
            </w:tcBorders>
            <w:shd w:val="clear" w:color="auto" w:fill="auto"/>
            <w:noWrap/>
            <w:vAlign w:val="bottom"/>
            <w:hideMark/>
          </w:tcPr>
          <w:p w14:paraId="4A65D15F" w14:textId="77777777" w:rsidR="00C258CB" w:rsidRPr="00C258CB" w:rsidRDefault="00C258CB" w:rsidP="00C258CB">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3F1E06A6"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DF1DFAC"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31ED3BA"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0AD655C"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7162547" w14:textId="77777777" w:rsidR="00C258CB" w:rsidRPr="00C258CB" w:rsidRDefault="00C258CB" w:rsidP="00C258CB">
            <w:pPr>
              <w:rPr>
                <w:rFonts w:eastAsia="Times New Roman" w:cs="Times New Roman"/>
              </w:rPr>
            </w:pPr>
          </w:p>
        </w:tc>
      </w:tr>
      <w:tr w:rsidR="00C258CB" w:rsidRPr="00C258CB" w14:paraId="476D4BD6" w14:textId="77777777" w:rsidTr="00C258CB">
        <w:trPr>
          <w:trHeight w:val="380"/>
        </w:trPr>
        <w:tc>
          <w:tcPr>
            <w:tcW w:w="2780" w:type="dxa"/>
            <w:tcBorders>
              <w:top w:val="nil"/>
              <w:left w:val="nil"/>
              <w:bottom w:val="nil"/>
              <w:right w:val="nil"/>
            </w:tcBorders>
            <w:shd w:val="clear" w:color="auto" w:fill="auto"/>
            <w:noWrap/>
            <w:vAlign w:val="bottom"/>
            <w:hideMark/>
          </w:tcPr>
          <w:p w14:paraId="5919D308"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EC1C9C6"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B669209"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8FD4CB2"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8741206"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7E41CFD"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538E137"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224C383" w14:textId="77777777" w:rsidR="00C258CB" w:rsidRPr="00C258CB" w:rsidRDefault="00C258CB" w:rsidP="00C258CB">
            <w:pPr>
              <w:rPr>
                <w:rFonts w:eastAsia="Times New Roman" w:cs="Times New Roman"/>
              </w:rPr>
            </w:pPr>
          </w:p>
        </w:tc>
      </w:tr>
      <w:tr w:rsidR="00C258CB" w:rsidRPr="00C258CB" w14:paraId="0E34412E" w14:textId="77777777" w:rsidTr="00C258CB">
        <w:trPr>
          <w:trHeight w:val="380"/>
        </w:trPr>
        <w:tc>
          <w:tcPr>
            <w:tcW w:w="4080" w:type="dxa"/>
            <w:gridSpan w:val="2"/>
            <w:tcBorders>
              <w:top w:val="nil"/>
              <w:left w:val="nil"/>
              <w:bottom w:val="nil"/>
              <w:right w:val="nil"/>
            </w:tcBorders>
            <w:shd w:val="clear" w:color="auto" w:fill="auto"/>
            <w:noWrap/>
            <w:vAlign w:val="bottom"/>
            <w:hideMark/>
          </w:tcPr>
          <w:p w14:paraId="41829043" w14:textId="77777777" w:rsidR="00D16018" w:rsidRDefault="00D16018" w:rsidP="00C258CB">
            <w:pPr>
              <w:rPr>
                <w:rFonts w:eastAsia="Times New Roman" w:cs="Times New Roman"/>
                <w:b/>
                <w:bCs/>
                <w:color w:val="000000"/>
              </w:rPr>
            </w:pPr>
          </w:p>
          <w:p w14:paraId="64733827" w14:textId="77777777" w:rsidR="00673E90" w:rsidRPr="00A53C1D" w:rsidRDefault="00673E90" w:rsidP="00C258CB">
            <w:pPr>
              <w:rPr>
                <w:rFonts w:eastAsia="Times New Roman" w:cs="Times New Roman"/>
                <w:b/>
                <w:bCs/>
                <w:color w:val="000000"/>
              </w:rPr>
            </w:pPr>
          </w:p>
          <w:p w14:paraId="19D673FE" w14:textId="77777777" w:rsidR="00D16018" w:rsidRPr="00A53C1D" w:rsidRDefault="00D16018" w:rsidP="00C258CB">
            <w:pPr>
              <w:rPr>
                <w:rFonts w:eastAsia="Times New Roman" w:cs="Times New Roman"/>
                <w:b/>
                <w:bCs/>
                <w:color w:val="000000"/>
              </w:rPr>
            </w:pPr>
          </w:p>
          <w:p w14:paraId="704F2859" w14:textId="77777777" w:rsidR="00D16018" w:rsidRPr="00A53C1D" w:rsidRDefault="00D16018" w:rsidP="00C258CB">
            <w:pPr>
              <w:rPr>
                <w:rFonts w:eastAsia="Times New Roman" w:cs="Times New Roman"/>
                <w:b/>
                <w:bCs/>
                <w:color w:val="000000"/>
              </w:rPr>
            </w:pPr>
          </w:p>
          <w:p w14:paraId="1A6AA478" w14:textId="77777777" w:rsidR="007D1020" w:rsidRDefault="007D1020" w:rsidP="00C258CB">
            <w:pPr>
              <w:rPr>
                <w:rFonts w:eastAsia="Times New Roman" w:cs="Times New Roman"/>
                <w:b/>
                <w:bCs/>
                <w:color w:val="000000"/>
              </w:rPr>
            </w:pPr>
          </w:p>
          <w:p w14:paraId="47032303" w14:textId="36C6164D" w:rsidR="00C258CB" w:rsidRPr="00C258CB" w:rsidRDefault="00C258CB" w:rsidP="00C258CB">
            <w:pPr>
              <w:rPr>
                <w:rFonts w:eastAsia="Times New Roman" w:cs="Times New Roman"/>
                <w:b/>
                <w:bCs/>
                <w:color w:val="000000"/>
              </w:rPr>
            </w:pPr>
            <w:r w:rsidRPr="00C258CB">
              <w:rPr>
                <w:rFonts w:eastAsia="Times New Roman" w:cs="Times New Roman"/>
                <w:b/>
                <w:bCs/>
                <w:color w:val="000000"/>
              </w:rPr>
              <w:lastRenderedPageBreak/>
              <w:t>Faith's</w:t>
            </w:r>
            <w:r w:rsidR="007D1020">
              <w:rPr>
                <w:rFonts w:eastAsia="Times New Roman" w:cs="Times New Roman"/>
                <w:b/>
                <w:bCs/>
                <w:color w:val="000000"/>
              </w:rPr>
              <w:t xml:space="preserve"> PD</w:t>
            </w:r>
          </w:p>
        </w:tc>
        <w:tc>
          <w:tcPr>
            <w:tcW w:w="1300" w:type="dxa"/>
            <w:tcBorders>
              <w:top w:val="nil"/>
              <w:left w:val="nil"/>
              <w:bottom w:val="nil"/>
              <w:right w:val="nil"/>
            </w:tcBorders>
            <w:shd w:val="clear" w:color="auto" w:fill="auto"/>
            <w:noWrap/>
            <w:vAlign w:val="bottom"/>
            <w:hideMark/>
          </w:tcPr>
          <w:p w14:paraId="5E6314DC" w14:textId="77777777" w:rsidR="00C258CB" w:rsidRPr="00C258CB" w:rsidRDefault="00C258CB" w:rsidP="00C258CB">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1A2435E8"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A34D407"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7B70D13"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47D678C"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9FA30EF" w14:textId="77777777" w:rsidR="00C258CB" w:rsidRPr="00C258CB" w:rsidRDefault="00C258CB" w:rsidP="00C258CB">
            <w:pPr>
              <w:rPr>
                <w:rFonts w:eastAsia="Times New Roman" w:cs="Times New Roman"/>
              </w:rPr>
            </w:pPr>
          </w:p>
        </w:tc>
      </w:tr>
      <w:tr w:rsidR="00C258CB" w:rsidRPr="00C258CB" w14:paraId="23DFBBD8" w14:textId="77777777" w:rsidTr="00C258CB">
        <w:trPr>
          <w:trHeight w:val="380"/>
        </w:trPr>
        <w:tc>
          <w:tcPr>
            <w:tcW w:w="2780" w:type="dxa"/>
            <w:tcBorders>
              <w:top w:val="nil"/>
              <w:left w:val="nil"/>
              <w:bottom w:val="nil"/>
              <w:right w:val="nil"/>
            </w:tcBorders>
            <w:shd w:val="clear" w:color="auto" w:fill="auto"/>
            <w:noWrap/>
            <w:vAlign w:val="bottom"/>
            <w:hideMark/>
          </w:tcPr>
          <w:p w14:paraId="05B53B09"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14A67A06"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0.0043</w:t>
            </w:r>
          </w:p>
        </w:tc>
        <w:tc>
          <w:tcPr>
            <w:tcW w:w="1300" w:type="dxa"/>
            <w:tcBorders>
              <w:top w:val="nil"/>
              <w:left w:val="nil"/>
              <w:bottom w:val="nil"/>
              <w:right w:val="nil"/>
            </w:tcBorders>
            <w:shd w:val="clear" w:color="auto" w:fill="auto"/>
            <w:noWrap/>
            <w:vAlign w:val="bottom"/>
            <w:hideMark/>
          </w:tcPr>
          <w:p w14:paraId="51A40308"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0.07532</w:t>
            </w:r>
          </w:p>
        </w:tc>
        <w:tc>
          <w:tcPr>
            <w:tcW w:w="1300" w:type="dxa"/>
            <w:tcBorders>
              <w:top w:val="nil"/>
              <w:left w:val="nil"/>
              <w:bottom w:val="nil"/>
              <w:right w:val="nil"/>
            </w:tcBorders>
            <w:shd w:val="clear" w:color="auto" w:fill="auto"/>
            <w:noWrap/>
            <w:vAlign w:val="bottom"/>
            <w:hideMark/>
          </w:tcPr>
          <w:p w14:paraId="1C15355B"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0.075317</w:t>
            </w:r>
          </w:p>
        </w:tc>
        <w:tc>
          <w:tcPr>
            <w:tcW w:w="1300" w:type="dxa"/>
            <w:tcBorders>
              <w:top w:val="nil"/>
              <w:left w:val="nil"/>
              <w:bottom w:val="nil"/>
              <w:right w:val="nil"/>
            </w:tcBorders>
            <w:shd w:val="clear" w:color="auto" w:fill="auto"/>
            <w:noWrap/>
            <w:vAlign w:val="bottom"/>
            <w:hideMark/>
          </w:tcPr>
          <w:p w14:paraId="74ACA9AA"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1EF5D526"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61.015</w:t>
            </w:r>
          </w:p>
        </w:tc>
        <w:tc>
          <w:tcPr>
            <w:tcW w:w="1300" w:type="dxa"/>
            <w:tcBorders>
              <w:top w:val="nil"/>
              <w:left w:val="nil"/>
              <w:bottom w:val="nil"/>
              <w:right w:val="nil"/>
            </w:tcBorders>
            <w:shd w:val="clear" w:color="auto" w:fill="auto"/>
            <w:noWrap/>
            <w:vAlign w:val="bottom"/>
            <w:hideMark/>
          </w:tcPr>
          <w:p w14:paraId="57FEC5FB"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1.5714</w:t>
            </w:r>
          </w:p>
        </w:tc>
        <w:tc>
          <w:tcPr>
            <w:tcW w:w="1300" w:type="dxa"/>
            <w:tcBorders>
              <w:top w:val="nil"/>
              <w:left w:val="nil"/>
              <w:bottom w:val="nil"/>
              <w:right w:val="nil"/>
            </w:tcBorders>
            <w:shd w:val="clear" w:color="auto" w:fill="auto"/>
            <w:noWrap/>
            <w:vAlign w:val="bottom"/>
            <w:hideMark/>
          </w:tcPr>
          <w:p w14:paraId="63FE0A58"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0.21478</w:t>
            </w:r>
          </w:p>
        </w:tc>
      </w:tr>
      <w:tr w:rsidR="00C258CB" w:rsidRPr="00C258CB" w14:paraId="4E3A257E" w14:textId="77777777" w:rsidTr="00C258CB">
        <w:trPr>
          <w:trHeight w:val="380"/>
        </w:trPr>
        <w:tc>
          <w:tcPr>
            <w:tcW w:w="2780" w:type="dxa"/>
            <w:tcBorders>
              <w:top w:val="nil"/>
              <w:left w:val="nil"/>
              <w:bottom w:val="nil"/>
              <w:right w:val="nil"/>
            </w:tcBorders>
            <w:shd w:val="clear" w:color="auto" w:fill="auto"/>
            <w:noWrap/>
            <w:vAlign w:val="bottom"/>
            <w:hideMark/>
          </w:tcPr>
          <w:p w14:paraId="59361A32"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0B97CA02"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0.0711</w:t>
            </w:r>
          </w:p>
        </w:tc>
        <w:tc>
          <w:tcPr>
            <w:tcW w:w="1300" w:type="dxa"/>
            <w:tcBorders>
              <w:top w:val="nil"/>
              <w:left w:val="nil"/>
              <w:bottom w:val="nil"/>
              <w:right w:val="nil"/>
            </w:tcBorders>
            <w:shd w:val="clear" w:color="auto" w:fill="auto"/>
            <w:noWrap/>
            <w:vAlign w:val="bottom"/>
            <w:hideMark/>
          </w:tcPr>
          <w:p w14:paraId="592D5A09"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0.24595</w:t>
            </w:r>
          </w:p>
        </w:tc>
        <w:tc>
          <w:tcPr>
            <w:tcW w:w="1300" w:type="dxa"/>
            <w:tcBorders>
              <w:top w:val="nil"/>
              <w:left w:val="nil"/>
              <w:bottom w:val="nil"/>
              <w:right w:val="nil"/>
            </w:tcBorders>
            <w:shd w:val="clear" w:color="auto" w:fill="auto"/>
            <w:noWrap/>
            <w:vAlign w:val="bottom"/>
            <w:hideMark/>
          </w:tcPr>
          <w:p w14:paraId="3BE3E4A9"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0.245952</w:t>
            </w:r>
          </w:p>
        </w:tc>
        <w:tc>
          <w:tcPr>
            <w:tcW w:w="1300" w:type="dxa"/>
            <w:tcBorders>
              <w:top w:val="nil"/>
              <w:left w:val="nil"/>
              <w:bottom w:val="nil"/>
              <w:right w:val="nil"/>
            </w:tcBorders>
            <w:shd w:val="clear" w:color="auto" w:fill="auto"/>
            <w:noWrap/>
            <w:vAlign w:val="bottom"/>
            <w:hideMark/>
          </w:tcPr>
          <w:p w14:paraId="30C7F59F"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0226A085"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4.062</w:t>
            </w:r>
          </w:p>
        </w:tc>
        <w:tc>
          <w:tcPr>
            <w:tcW w:w="1300" w:type="dxa"/>
            <w:tcBorders>
              <w:top w:val="nil"/>
              <w:left w:val="nil"/>
              <w:bottom w:val="nil"/>
              <w:right w:val="nil"/>
            </w:tcBorders>
            <w:shd w:val="clear" w:color="auto" w:fill="auto"/>
            <w:noWrap/>
            <w:vAlign w:val="bottom"/>
            <w:hideMark/>
          </w:tcPr>
          <w:p w14:paraId="1EE8B3EF"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5.1316</w:t>
            </w:r>
          </w:p>
        </w:tc>
        <w:tc>
          <w:tcPr>
            <w:tcW w:w="1300" w:type="dxa"/>
            <w:tcBorders>
              <w:top w:val="nil"/>
              <w:left w:val="nil"/>
              <w:bottom w:val="nil"/>
              <w:right w:val="nil"/>
            </w:tcBorders>
            <w:shd w:val="clear" w:color="auto" w:fill="auto"/>
            <w:noWrap/>
            <w:vAlign w:val="bottom"/>
            <w:hideMark/>
          </w:tcPr>
          <w:p w14:paraId="604B9258"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0.08515</w:t>
            </w:r>
          </w:p>
        </w:tc>
      </w:tr>
      <w:tr w:rsidR="00C258CB" w:rsidRPr="00C258CB" w14:paraId="37026906" w14:textId="77777777" w:rsidTr="00C258CB">
        <w:trPr>
          <w:trHeight w:val="380"/>
        </w:trPr>
        <w:tc>
          <w:tcPr>
            <w:tcW w:w="2780" w:type="dxa"/>
            <w:tcBorders>
              <w:top w:val="nil"/>
              <w:left w:val="nil"/>
              <w:bottom w:val="nil"/>
              <w:right w:val="nil"/>
            </w:tcBorders>
            <w:shd w:val="clear" w:color="auto" w:fill="auto"/>
            <w:noWrap/>
            <w:vAlign w:val="bottom"/>
            <w:hideMark/>
          </w:tcPr>
          <w:p w14:paraId="27BD1F5A"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1D688B9A"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0.0521</w:t>
            </w:r>
          </w:p>
        </w:tc>
        <w:tc>
          <w:tcPr>
            <w:tcW w:w="1300" w:type="dxa"/>
            <w:tcBorders>
              <w:top w:val="nil"/>
              <w:left w:val="nil"/>
              <w:bottom w:val="nil"/>
              <w:right w:val="nil"/>
            </w:tcBorders>
            <w:shd w:val="clear" w:color="auto" w:fill="auto"/>
            <w:noWrap/>
            <w:vAlign w:val="bottom"/>
            <w:hideMark/>
          </w:tcPr>
          <w:p w14:paraId="4EC0467F"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0.44489</w:t>
            </w:r>
          </w:p>
        </w:tc>
        <w:tc>
          <w:tcPr>
            <w:tcW w:w="1300" w:type="dxa"/>
            <w:tcBorders>
              <w:top w:val="nil"/>
              <w:left w:val="nil"/>
              <w:bottom w:val="nil"/>
              <w:right w:val="nil"/>
            </w:tcBorders>
            <w:shd w:val="clear" w:color="auto" w:fill="auto"/>
            <w:noWrap/>
            <w:vAlign w:val="bottom"/>
            <w:hideMark/>
          </w:tcPr>
          <w:p w14:paraId="415D4EC7"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0.148297</w:t>
            </w:r>
          </w:p>
        </w:tc>
        <w:tc>
          <w:tcPr>
            <w:tcW w:w="1300" w:type="dxa"/>
            <w:tcBorders>
              <w:top w:val="nil"/>
              <w:left w:val="nil"/>
              <w:bottom w:val="nil"/>
              <w:right w:val="nil"/>
            </w:tcBorders>
            <w:shd w:val="clear" w:color="auto" w:fill="auto"/>
            <w:noWrap/>
            <w:vAlign w:val="bottom"/>
            <w:hideMark/>
          </w:tcPr>
          <w:p w14:paraId="33A3FD90"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35434BEA"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61.734</w:t>
            </w:r>
          </w:p>
        </w:tc>
        <w:tc>
          <w:tcPr>
            <w:tcW w:w="1300" w:type="dxa"/>
            <w:tcBorders>
              <w:top w:val="nil"/>
              <w:left w:val="nil"/>
              <w:bottom w:val="nil"/>
              <w:right w:val="nil"/>
            </w:tcBorders>
            <w:shd w:val="clear" w:color="auto" w:fill="auto"/>
            <w:noWrap/>
            <w:vAlign w:val="bottom"/>
            <w:hideMark/>
          </w:tcPr>
          <w:p w14:paraId="71C4183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3.0941</w:t>
            </w:r>
          </w:p>
        </w:tc>
        <w:tc>
          <w:tcPr>
            <w:tcW w:w="1300" w:type="dxa"/>
            <w:tcBorders>
              <w:top w:val="nil"/>
              <w:left w:val="nil"/>
              <w:bottom w:val="nil"/>
              <w:right w:val="nil"/>
            </w:tcBorders>
            <w:shd w:val="clear" w:color="auto" w:fill="auto"/>
            <w:noWrap/>
            <w:vAlign w:val="bottom"/>
            <w:hideMark/>
          </w:tcPr>
          <w:p w14:paraId="0AE2B9E6" w14:textId="77777777" w:rsidR="00C258CB" w:rsidRPr="00C258CB" w:rsidRDefault="00C258CB" w:rsidP="00C258CB">
            <w:pPr>
              <w:jc w:val="right"/>
              <w:rPr>
                <w:rFonts w:eastAsia="Times New Roman" w:cs="Times New Roman"/>
                <w:b/>
                <w:bCs/>
                <w:color w:val="000000"/>
              </w:rPr>
            </w:pPr>
            <w:r w:rsidRPr="00C258CB">
              <w:rPr>
                <w:rFonts w:eastAsia="Times New Roman" w:cs="Times New Roman"/>
                <w:b/>
                <w:bCs/>
                <w:color w:val="000000"/>
              </w:rPr>
              <w:t>0.03331</w:t>
            </w:r>
          </w:p>
        </w:tc>
      </w:tr>
      <w:tr w:rsidR="00C258CB" w:rsidRPr="00C258CB" w14:paraId="2BC371A8" w14:textId="77777777" w:rsidTr="00C258CB">
        <w:trPr>
          <w:trHeight w:val="380"/>
        </w:trPr>
        <w:tc>
          <w:tcPr>
            <w:tcW w:w="2780" w:type="dxa"/>
            <w:tcBorders>
              <w:top w:val="nil"/>
              <w:left w:val="nil"/>
              <w:bottom w:val="nil"/>
              <w:right w:val="nil"/>
            </w:tcBorders>
            <w:shd w:val="clear" w:color="auto" w:fill="auto"/>
            <w:noWrap/>
            <w:vAlign w:val="bottom"/>
            <w:hideMark/>
          </w:tcPr>
          <w:p w14:paraId="7283D50E"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46917E09"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0.1908</w:t>
            </w:r>
          </w:p>
        </w:tc>
        <w:tc>
          <w:tcPr>
            <w:tcW w:w="1300" w:type="dxa"/>
            <w:tcBorders>
              <w:top w:val="nil"/>
              <w:left w:val="nil"/>
              <w:bottom w:val="nil"/>
              <w:right w:val="nil"/>
            </w:tcBorders>
            <w:shd w:val="clear" w:color="auto" w:fill="auto"/>
            <w:noWrap/>
            <w:vAlign w:val="bottom"/>
            <w:hideMark/>
          </w:tcPr>
          <w:p w14:paraId="569CF42A"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1.49533</w:t>
            </w:r>
          </w:p>
        </w:tc>
        <w:tc>
          <w:tcPr>
            <w:tcW w:w="1300" w:type="dxa"/>
            <w:tcBorders>
              <w:top w:val="nil"/>
              <w:left w:val="nil"/>
              <w:bottom w:val="nil"/>
              <w:right w:val="nil"/>
            </w:tcBorders>
            <w:shd w:val="clear" w:color="auto" w:fill="auto"/>
            <w:noWrap/>
            <w:vAlign w:val="bottom"/>
            <w:hideMark/>
          </w:tcPr>
          <w:p w14:paraId="5E4FC161"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0.213619</w:t>
            </w:r>
          </w:p>
        </w:tc>
        <w:tc>
          <w:tcPr>
            <w:tcW w:w="1300" w:type="dxa"/>
            <w:tcBorders>
              <w:top w:val="nil"/>
              <w:left w:val="nil"/>
              <w:bottom w:val="nil"/>
              <w:right w:val="nil"/>
            </w:tcBorders>
            <w:shd w:val="clear" w:color="auto" w:fill="auto"/>
            <w:noWrap/>
            <w:vAlign w:val="bottom"/>
            <w:hideMark/>
          </w:tcPr>
          <w:p w14:paraId="34BA8313"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7</w:t>
            </w:r>
          </w:p>
        </w:tc>
        <w:tc>
          <w:tcPr>
            <w:tcW w:w="1300" w:type="dxa"/>
            <w:tcBorders>
              <w:top w:val="nil"/>
              <w:left w:val="nil"/>
              <w:bottom w:val="nil"/>
              <w:right w:val="nil"/>
            </w:tcBorders>
            <w:shd w:val="clear" w:color="auto" w:fill="auto"/>
            <w:noWrap/>
            <w:vAlign w:val="bottom"/>
            <w:hideMark/>
          </w:tcPr>
          <w:p w14:paraId="72434BC3"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42.333</w:t>
            </w:r>
          </w:p>
        </w:tc>
        <w:tc>
          <w:tcPr>
            <w:tcW w:w="1300" w:type="dxa"/>
            <w:tcBorders>
              <w:top w:val="nil"/>
              <w:left w:val="nil"/>
              <w:bottom w:val="nil"/>
              <w:right w:val="nil"/>
            </w:tcBorders>
            <w:shd w:val="clear" w:color="auto" w:fill="auto"/>
            <w:noWrap/>
            <w:vAlign w:val="bottom"/>
            <w:hideMark/>
          </w:tcPr>
          <w:p w14:paraId="1ABE6C35"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4.457</w:t>
            </w:r>
          </w:p>
        </w:tc>
        <w:tc>
          <w:tcPr>
            <w:tcW w:w="1300" w:type="dxa"/>
            <w:tcBorders>
              <w:top w:val="nil"/>
              <w:left w:val="nil"/>
              <w:bottom w:val="nil"/>
              <w:right w:val="nil"/>
            </w:tcBorders>
            <w:shd w:val="clear" w:color="auto" w:fill="auto"/>
            <w:noWrap/>
            <w:vAlign w:val="bottom"/>
            <w:hideMark/>
          </w:tcPr>
          <w:p w14:paraId="1649E42E" w14:textId="77777777" w:rsidR="00C258CB" w:rsidRPr="00C258CB" w:rsidRDefault="00C258CB" w:rsidP="00C258CB">
            <w:pPr>
              <w:jc w:val="right"/>
              <w:rPr>
                <w:rFonts w:eastAsia="Times New Roman" w:cs="Times New Roman"/>
                <w:b/>
                <w:bCs/>
                <w:color w:val="000000"/>
              </w:rPr>
            </w:pPr>
            <w:r w:rsidRPr="00C258CB">
              <w:rPr>
                <w:rFonts w:eastAsia="Times New Roman" w:cs="Times New Roman"/>
                <w:b/>
                <w:bCs/>
                <w:color w:val="000000"/>
              </w:rPr>
              <w:t>0.00087</w:t>
            </w:r>
          </w:p>
        </w:tc>
      </w:tr>
      <w:tr w:rsidR="00C258CB" w:rsidRPr="00C258CB" w14:paraId="4BD04718" w14:textId="77777777" w:rsidTr="00C258CB">
        <w:trPr>
          <w:trHeight w:val="380"/>
        </w:trPr>
        <w:tc>
          <w:tcPr>
            <w:tcW w:w="2780" w:type="dxa"/>
            <w:tcBorders>
              <w:top w:val="nil"/>
              <w:left w:val="nil"/>
              <w:bottom w:val="nil"/>
              <w:right w:val="nil"/>
            </w:tcBorders>
            <w:shd w:val="clear" w:color="auto" w:fill="auto"/>
            <w:noWrap/>
            <w:vAlign w:val="bottom"/>
            <w:hideMark/>
          </w:tcPr>
          <w:p w14:paraId="03EC15AC"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13082095"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0.3351</w:t>
            </w:r>
          </w:p>
        </w:tc>
        <w:tc>
          <w:tcPr>
            <w:tcW w:w="1300" w:type="dxa"/>
            <w:tcBorders>
              <w:top w:val="nil"/>
              <w:left w:val="nil"/>
              <w:bottom w:val="nil"/>
              <w:right w:val="nil"/>
            </w:tcBorders>
            <w:shd w:val="clear" w:color="auto" w:fill="auto"/>
            <w:noWrap/>
            <w:vAlign w:val="bottom"/>
            <w:hideMark/>
          </w:tcPr>
          <w:p w14:paraId="39D6B757" w14:textId="77777777" w:rsidR="00C258CB" w:rsidRPr="00C258CB" w:rsidRDefault="00C258CB" w:rsidP="00C258CB">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7D445BD2"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283719D"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7AA6449"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ED60C99"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4AE3FBF" w14:textId="77777777" w:rsidR="00C258CB" w:rsidRPr="00C258CB" w:rsidRDefault="00C258CB" w:rsidP="00C258CB">
            <w:pPr>
              <w:rPr>
                <w:rFonts w:eastAsia="Times New Roman" w:cs="Times New Roman"/>
              </w:rPr>
            </w:pPr>
          </w:p>
        </w:tc>
      </w:tr>
      <w:tr w:rsidR="00C258CB" w:rsidRPr="00C258CB" w14:paraId="75824EAB" w14:textId="77777777" w:rsidTr="00C258CB">
        <w:trPr>
          <w:trHeight w:val="380"/>
        </w:trPr>
        <w:tc>
          <w:tcPr>
            <w:tcW w:w="2780" w:type="dxa"/>
            <w:tcBorders>
              <w:top w:val="nil"/>
              <w:left w:val="nil"/>
              <w:bottom w:val="nil"/>
              <w:right w:val="nil"/>
            </w:tcBorders>
            <w:shd w:val="clear" w:color="auto" w:fill="auto"/>
            <w:noWrap/>
            <w:vAlign w:val="bottom"/>
            <w:hideMark/>
          </w:tcPr>
          <w:p w14:paraId="10445337"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839233F"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309FF8E"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19DB1FF"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9C23B16"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B617E5A"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63927DA"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9BA9211" w14:textId="77777777" w:rsidR="00C258CB" w:rsidRPr="00C258CB" w:rsidRDefault="00C258CB" w:rsidP="00C258CB">
            <w:pPr>
              <w:rPr>
                <w:rFonts w:eastAsia="Times New Roman" w:cs="Times New Roman"/>
              </w:rPr>
            </w:pPr>
          </w:p>
        </w:tc>
      </w:tr>
      <w:tr w:rsidR="00C258CB" w:rsidRPr="00C258CB" w14:paraId="2E7AA3FF" w14:textId="77777777" w:rsidTr="00C258CB">
        <w:trPr>
          <w:trHeight w:val="380"/>
        </w:trPr>
        <w:tc>
          <w:tcPr>
            <w:tcW w:w="2780" w:type="dxa"/>
            <w:tcBorders>
              <w:top w:val="nil"/>
              <w:left w:val="nil"/>
              <w:bottom w:val="nil"/>
              <w:right w:val="nil"/>
            </w:tcBorders>
            <w:shd w:val="clear" w:color="auto" w:fill="auto"/>
            <w:noWrap/>
            <w:vAlign w:val="bottom"/>
            <w:hideMark/>
          </w:tcPr>
          <w:p w14:paraId="2310F4AD" w14:textId="24625571" w:rsidR="00C258CB" w:rsidRPr="00C258CB" w:rsidRDefault="007D1020" w:rsidP="00C258CB">
            <w:pPr>
              <w:rPr>
                <w:rFonts w:eastAsia="Times New Roman" w:cs="Times New Roman"/>
                <w:b/>
                <w:bCs/>
                <w:color w:val="000000"/>
              </w:rPr>
            </w:pPr>
            <w:r>
              <w:rPr>
                <w:rFonts w:eastAsia="Times New Roman" w:cs="Times New Roman"/>
                <w:b/>
                <w:bCs/>
                <w:color w:val="000000"/>
              </w:rPr>
              <w:t>E</w:t>
            </w:r>
            <w:r w:rsidR="00C258CB" w:rsidRPr="00C258CB">
              <w:rPr>
                <w:rFonts w:eastAsia="Times New Roman" w:cs="Times New Roman"/>
                <w:b/>
                <w:bCs/>
                <w:color w:val="000000"/>
              </w:rPr>
              <w:t>venness</w:t>
            </w:r>
          </w:p>
        </w:tc>
        <w:tc>
          <w:tcPr>
            <w:tcW w:w="1300" w:type="dxa"/>
            <w:tcBorders>
              <w:top w:val="nil"/>
              <w:left w:val="nil"/>
              <w:bottom w:val="nil"/>
              <w:right w:val="nil"/>
            </w:tcBorders>
            <w:shd w:val="clear" w:color="auto" w:fill="auto"/>
            <w:noWrap/>
            <w:vAlign w:val="bottom"/>
            <w:hideMark/>
          </w:tcPr>
          <w:p w14:paraId="5C8762BE" w14:textId="77777777" w:rsidR="00C258CB" w:rsidRPr="00C258CB" w:rsidRDefault="00C258CB" w:rsidP="00C258CB">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50E40151"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61368A6"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1A29B8B"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6360B46"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25B45DC"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293E30F" w14:textId="77777777" w:rsidR="00C258CB" w:rsidRPr="00C258CB" w:rsidRDefault="00C258CB" w:rsidP="00C258CB">
            <w:pPr>
              <w:rPr>
                <w:rFonts w:eastAsia="Times New Roman" w:cs="Times New Roman"/>
              </w:rPr>
            </w:pPr>
          </w:p>
        </w:tc>
      </w:tr>
      <w:tr w:rsidR="00C258CB" w:rsidRPr="00C258CB" w14:paraId="11D99571" w14:textId="77777777" w:rsidTr="00C258CB">
        <w:trPr>
          <w:trHeight w:val="380"/>
        </w:trPr>
        <w:tc>
          <w:tcPr>
            <w:tcW w:w="2780" w:type="dxa"/>
            <w:tcBorders>
              <w:top w:val="nil"/>
              <w:left w:val="nil"/>
              <w:bottom w:val="nil"/>
              <w:right w:val="nil"/>
            </w:tcBorders>
            <w:shd w:val="clear" w:color="auto" w:fill="auto"/>
            <w:noWrap/>
            <w:vAlign w:val="bottom"/>
            <w:hideMark/>
          </w:tcPr>
          <w:p w14:paraId="31F236B1"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Age group</w:t>
            </w:r>
          </w:p>
        </w:tc>
        <w:tc>
          <w:tcPr>
            <w:tcW w:w="1300" w:type="dxa"/>
            <w:tcBorders>
              <w:top w:val="nil"/>
              <w:left w:val="nil"/>
              <w:bottom w:val="nil"/>
              <w:right w:val="nil"/>
            </w:tcBorders>
            <w:shd w:val="clear" w:color="auto" w:fill="auto"/>
            <w:noWrap/>
            <w:vAlign w:val="bottom"/>
            <w:hideMark/>
          </w:tcPr>
          <w:p w14:paraId="342901F6"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0.001</w:t>
            </w:r>
          </w:p>
        </w:tc>
        <w:tc>
          <w:tcPr>
            <w:tcW w:w="1300" w:type="dxa"/>
            <w:tcBorders>
              <w:top w:val="nil"/>
              <w:left w:val="nil"/>
              <w:bottom w:val="nil"/>
              <w:right w:val="nil"/>
            </w:tcBorders>
            <w:shd w:val="clear" w:color="auto" w:fill="auto"/>
            <w:noWrap/>
            <w:vAlign w:val="bottom"/>
            <w:hideMark/>
          </w:tcPr>
          <w:p w14:paraId="243D1628"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0.000742</w:t>
            </w:r>
          </w:p>
        </w:tc>
        <w:tc>
          <w:tcPr>
            <w:tcW w:w="1300" w:type="dxa"/>
            <w:tcBorders>
              <w:top w:val="nil"/>
              <w:left w:val="nil"/>
              <w:bottom w:val="nil"/>
              <w:right w:val="nil"/>
            </w:tcBorders>
            <w:shd w:val="clear" w:color="auto" w:fill="auto"/>
            <w:noWrap/>
            <w:vAlign w:val="bottom"/>
            <w:hideMark/>
          </w:tcPr>
          <w:p w14:paraId="5687C390"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0.000742</w:t>
            </w:r>
          </w:p>
        </w:tc>
        <w:tc>
          <w:tcPr>
            <w:tcW w:w="1300" w:type="dxa"/>
            <w:tcBorders>
              <w:top w:val="nil"/>
              <w:left w:val="nil"/>
              <w:bottom w:val="nil"/>
              <w:right w:val="nil"/>
            </w:tcBorders>
            <w:shd w:val="clear" w:color="auto" w:fill="auto"/>
            <w:noWrap/>
            <w:vAlign w:val="bottom"/>
            <w:hideMark/>
          </w:tcPr>
          <w:p w14:paraId="31664CA5"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3C972DE8"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67</w:t>
            </w:r>
          </w:p>
        </w:tc>
        <w:tc>
          <w:tcPr>
            <w:tcW w:w="1300" w:type="dxa"/>
            <w:tcBorders>
              <w:top w:val="nil"/>
              <w:left w:val="nil"/>
              <w:bottom w:val="nil"/>
              <w:right w:val="nil"/>
            </w:tcBorders>
            <w:shd w:val="clear" w:color="auto" w:fill="auto"/>
            <w:noWrap/>
            <w:vAlign w:val="bottom"/>
            <w:hideMark/>
          </w:tcPr>
          <w:p w14:paraId="0EC90091"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0.0892</w:t>
            </w:r>
          </w:p>
        </w:tc>
        <w:tc>
          <w:tcPr>
            <w:tcW w:w="1300" w:type="dxa"/>
            <w:tcBorders>
              <w:top w:val="nil"/>
              <w:left w:val="nil"/>
              <w:bottom w:val="nil"/>
              <w:right w:val="nil"/>
            </w:tcBorders>
            <w:shd w:val="clear" w:color="auto" w:fill="auto"/>
            <w:noWrap/>
            <w:vAlign w:val="bottom"/>
            <w:hideMark/>
          </w:tcPr>
          <w:p w14:paraId="502761A3"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0.7661</w:t>
            </w:r>
          </w:p>
        </w:tc>
      </w:tr>
      <w:tr w:rsidR="00C258CB" w:rsidRPr="00C258CB" w14:paraId="60076DCE" w14:textId="77777777" w:rsidTr="00C258CB">
        <w:trPr>
          <w:trHeight w:val="380"/>
        </w:trPr>
        <w:tc>
          <w:tcPr>
            <w:tcW w:w="2780" w:type="dxa"/>
            <w:tcBorders>
              <w:top w:val="nil"/>
              <w:left w:val="nil"/>
              <w:bottom w:val="nil"/>
              <w:right w:val="nil"/>
            </w:tcBorders>
            <w:shd w:val="clear" w:color="auto" w:fill="auto"/>
            <w:noWrap/>
            <w:vAlign w:val="bottom"/>
            <w:hideMark/>
          </w:tcPr>
          <w:p w14:paraId="6346C0C1"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2C5D8880"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0.0139</w:t>
            </w:r>
          </w:p>
        </w:tc>
        <w:tc>
          <w:tcPr>
            <w:tcW w:w="1300" w:type="dxa"/>
            <w:tcBorders>
              <w:top w:val="nil"/>
              <w:left w:val="nil"/>
              <w:bottom w:val="nil"/>
              <w:right w:val="nil"/>
            </w:tcBorders>
            <w:shd w:val="clear" w:color="auto" w:fill="auto"/>
            <w:noWrap/>
            <w:vAlign w:val="bottom"/>
            <w:hideMark/>
          </w:tcPr>
          <w:p w14:paraId="1B4A6EEB"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0.010763</w:t>
            </w:r>
          </w:p>
        </w:tc>
        <w:tc>
          <w:tcPr>
            <w:tcW w:w="1300" w:type="dxa"/>
            <w:tcBorders>
              <w:top w:val="nil"/>
              <w:left w:val="nil"/>
              <w:bottom w:val="nil"/>
              <w:right w:val="nil"/>
            </w:tcBorders>
            <w:shd w:val="clear" w:color="auto" w:fill="auto"/>
            <w:noWrap/>
            <w:vAlign w:val="bottom"/>
            <w:hideMark/>
          </w:tcPr>
          <w:p w14:paraId="118DEDBD"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0.010763</w:t>
            </w:r>
          </w:p>
        </w:tc>
        <w:tc>
          <w:tcPr>
            <w:tcW w:w="1300" w:type="dxa"/>
            <w:tcBorders>
              <w:top w:val="nil"/>
              <w:left w:val="nil"/>
              <w:bottom w:val="nil"/>
              <w:right w:val="nil"/>
            </w:tcBorders>
            <w:shd w:val="clear" w:color="auto" w:fill="auto"/>
            <w:noWrap/>
            <w:vAlign w:val="bottom"/>
            <w:hideMark/>
          </w:tcPr>
          <w:p w14:paraId="0CE62043"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w:t>
            </w:r>
          </w:p>
        </w:tc>
        <w:tc>
          <w:tcPr>
            <w:tcW w:w="1300" w:type="dxa"/>
            <w:tcBorders>
              <w:top w:val="nil"/>
              <w:left w:val="nil"/>
              <w:bottom w:val="nil"/>
              <w:right w:val="nil"/>
            </w:tcBorders>
            <w:shd w:val="clear" w:color="auto" w:fill="auto"/>
            <w:noWrap/>
            <w:vAlign w:val="bottom"/>
            <w:hideMark/>
          </w:tcPr>
          <w:p w14:paraId="73707172"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67</w:t>
            </w:r>
          </w:p>
        </w:tc>
        <w:tc>
          <w:tcPr>
            <w:tcW w:w="1300" w:type="dxa"/>
            <w:tcBorders>
              <w:top w:val="nil"/>
              <w:left w:val="nil"/>
              <w:bottom w:val="nil"/>
              <w:right w:val="nil"/>
            </w:tcBorders>
            <w:shd w:val="clear" w:color="auto" w:fill="auto"/>
            <w:noWrap/>
            <w:vAlign w:val="bottom"/>
            <w:hideMark/>
          </w:tcPr>
          <w:p w14:paraId="3BBD0AB7"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1.2941</w:t>
            </w:r>
          </w:p>
        </w:tc>
        <w:tc>
          <w:tcPr>
            <w:tcW w:w="1300" w:type="dxa"/>
            <w:tcBorders>
              <w:top w:val="nil"/>
              <w:left w:val="nil"/>
              <w:bottom w:val="nil"/>
              <w:right w:val="nil"/>
            </w:tcBorders>
            <w:shd w:val="clear" w:color="auto" w:fill="auto"/>
            <w:noWrap/>
            <w:vAlign w:val="bottom"/>
            <w:hideMark/>
          </w:tcPr>
          <w:p w14:paraId="5E50E253"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0.2593</w:t>
            </w:r>
          </w:p>
        </w:tc>
      </w:tr>
      <w:tr w:rsidR="00C258CB" w:rsidRPr="00C258CB" w14:paraId="343E48B8" w14:textId="77777777" w:rsidTr="00C258CB">
        <w:trPr>
          <w:trHeight w:val="380"/>
        </w:trPr>
        <w:tc>
          <w:tcPr>
            <w:tcW w:w="2780" w:type="dxa"/>
            <w:tcBorders>
              <w:top w:val="nil"/>
              <w:left w:val="nil"/>
              <w:bottom w:val="nil"/>
              <w:right w:val="nil"/>
            </w:tcBorders>
            <w:shd w:val="clear" w:color="auto" w:fill="auto"/>
            <w:noWrap/>
            <w:vAlign w:val="bottom"/>
            <w:hideMark/>
          </w:tcPr>
          <w:p w14:paraId="180C6802"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2EFEC4FB"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0.0481</w:t>
            </w:r>
          </w:p>
        </w:tc>
        <w:tc>
          <w:tcPr>
            <w:tcW w:w="1300" w:type="dxa"/>
            <w:tcBorders>
              <w:top w:val="nil"/>
              <w:left w:val="nil"/>
              <w:bottom w:val="nil"/>
              <w:right w:val="nil"/>
            </w:tcBorders>
            <w:shd w:val="clear" w:color="auto" w:fill="auto"/>
            <w:noWrap/>
            <w:vAlign w:val="bottom"/>
            <w:hideMark/>
          </w:tcPr>
          <w:p w14:paraId="7ED7AA1F"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0.037206</w:t>
            </w:r>
          </w:p>
        </w:tc>
        <w:tc>
          <w:tcPr>
            <w:tcW w:w="1300" w:type="dxa"/>
            <w:tcBorders>
              <w:top w:val="nil"/>
              <w:left w:val="nil"/>
              <w:bottom w:val="nil"/>
              <w:right w:val="nil"/>
            </w:tcBorders>
            <w:shd w:val="clear" w:color="auto" w:fill="auto"/>
            <w:noWrap/>
            <w:vAlign w:val="bottom"/>
            <w:hideMark/>
          </w:tcPr>
          <w:p w14:paraId="32A65868"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0.012402</w:t>
            </w:r>
          </w:p>
        </w:tc>
        <w:tc>
          <w:tcPr>
            <w:tcW w:w="1300" w:type="dxa"/>
            <w:tcBorders>
              <w:top w:val="nil"/>
              <w:left w:val="nil"/>
              <w:bottom w:val="nil"/>
              <w:right w:val="nil"/>
            </w:tcBorders>
            <w:shd w:val="clear" w:color="auto" w:fill="auto"/>
            <w:noWrap/>
            <w:vAlign w:val="bottom"/>
            <w:hideMark/>
          </w:tcPr>
          <w:p w14:paraId="329A4C0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64644006"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67</w:t>
            </w:r>
          </w:p>
        </w:tc>
        <w:tc>
          <w:tcPr>
            <w:tcW w:w="1300" w:type="dxa"/>
            <w:tcBorders>
              <w:top w:val="nil"/>
              <w:left w:val="nil"/>
              <w:bottom w:val="nil"/>
              <w:right w:val="nil"/>
            </w:tcBorders>
            <w:shd w:val="clear" w:color="auto" w:fill="auto"/>
            <w:noWrap/>
            <w:vAlign w:val="bottom"/>
            <w:hideMark/>
          </w:tcPr>
          <w:p w14:paraId="74F913F2"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1.4913</w:t>
            </w:r>
          </w:p>
        </w:tc>
        <w:tc>
          <w:tcPr>
            <w:tcW w:w="1300" w:type="dxa"/>
            <w:tcBorders>
              <w:top w:val="nil"/>
              <w:left w:val="nil"/>
              <w:bottom w:val="nil"/>
              <w:right w:val="nil"/>
            </w:tcBorders>
            <w:shd w:val="clear" w:color="auto" w:fill="auto"/>
            <w:noWrap/>
            <w:vAlign w:val="bottom"/>
            <w:hideMark/>
          </w:tcPr>
          <w:p w14:paraId="127F2F17"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0.2249</w:t>
            </w:r>
          </w:p>
        </w:tc>
      </w:tr>
      <w:tr w:rsidR="00C258CB" w:rsidRPr="00C258CB" w14:paraId="522AE177" w14:textId="77777777" w:rsidTr="00C258CB">
        <w:trPr>
          <w:trHeight w:val="380"/>
        </w:trPr>
        <w:tc>
          <w:tcPr>
            <w:tcW w:w="2780" w:type="dxa"/>
            <w:tcBorders>
              <w:top w:val="nil"/>
              <w:left w:val="nil"/>
              <w:bottom w:val="nil"/>
              <w:right w:val="nil"/>
            </w:tcBorders>
            <w:shd w:val="clear" w:color="auto" w:fill="auto"/>
            <w:noWrap/>
            <w:vAlign w:val="bottom"/>
            <w:hideMark/>
          </w:tcPr>
          <w:p w14:paraId="547879A2"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2CDF1DEF"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0.0841</w:t>
            </w:r>
          </w:p>
        </w:tc>
        <w:tc>
          <w:tcPr>
            <w:tcW w:w="1300" w:type="dxa"/>
            <w:tcBorders>
              <w:top w:val="nil"/>
              <w:left w:val="nil"/>
              <w:bottom w:val="nil"/>
              <w:right w:val="nil"/>
            </w:tcBorders>
            <w:shd w:val="clear" w:color="auto" w:fill="auto"/>
            <w:noWrap/>
            <w:vAlign w:val="bottom"/>
            <w:hideMark/>
          </w:tcPr>
          <w:p w14:paraId="068C2AC0"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0.065115</w:t>
            </w:r>
          </w:p>
        </w:tc>
        <w:tc>
          <w:tcPr>
            <w:tcW w:w="1300" w:type="dxa"/>
            <w:tcBorders>
              <w:top w:val="nil"/>
              <w:left w:val="nil"/>
              <w:bottom w:val="nil"/>
              <w:right w:val="nil"/>
            </w:tcBorders>
            <w:shd w:val="clear" w:color="auto" w:fill="auto"/>
            <w:noWrap/>
            <w:vAlign w:val="bottom"/>
            <w:hideMark/>
          </w:tcPr>
          <w:p w14:paraId="4A50C1D2"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0.009302</w:t>
            </w:r>
          </w:p>
        </w:tc>
        <w:tc>
          <w:tcPr>
            <w:tcW w:w="1300" w:type="dxa"/>
            <w:tcBorders>
              <w:top w:val="nil"/>
              <w:left w:val="nil"/>
              <w:bottom w:val="nil"/>
              <w:right w:val="nil"/>
            </w:tcBorders>
            <w:shd w:val="clear" w:color="auto" w:fill="auto"/>
            <w:noWrap/>
            <w:vAlign w:val="bottom"/>
            <w:hideMark/>
          </w:tcPr>
          <w:p w14:paraId="1728665D"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7</w:t>
            </w:r>
          </w:p>
        </w:tc>
        <w:tc>
          <w:tcPr>
            <w:tcW w:w="1300" w:type="dxa"/>
            <w:tcBorders>
              <w:top w:val="nil"/>
              <w:left w:val="nil"/>
              <w:bottom w:val="nil"/>
              <w:right w:val="nil"/>
            </w:tcBorders>
            <w:shd w:val="clear" w:color="auto" w:fill="auto"/>
            <w:noWrap/>
            <w:vAlign w:val="bottom"/>
            <w:hideMark/>
          </w:tcPr>
          <w:p w14:paraId="03EBC5CC"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67</w:t>
            </w:r>
          </w:p>
        </w:tc>
        <w:tc>
          <w:tcPr>
            <w:tcW w:w="1300" w:type="dxa"/>
            <w:tcBorders>
              <w:top w:val="nil"/>
              <w:left w:val="nil"/>
              <w:bottom w:val="nil"/>
              <w:right w:val="nil"/>
            </w:tcBorders>
            <w:shd w:val="clear" w:color="auto" w:fill="auto"/>
            <w:noWrap/>
            <w:vAlign w:val="bottom"/>
            <w:hideMark/>
          </w:tcPr>
          <w:p w14:paraId="070FC595"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1.1185</w:t>
            </w:r>
          </w:p>
        </w:tc>
        <w:tc>
          <w:tcPr>
            <w:tcW w:w="1300" w:type="dxa"/>
            <w:tcBorders>
              <w:top w:val="nil"/>
              <w:left w:val="nil"/>
              <w:bottom w:val="nil"/>
              <w:right w:val="nil"/>
            </w:tcBorders>
            <w:shd w:val="clear" w:color="auto" w:fill="auto"/>
            <w:noWrap/>
            <w:vAlign w:val="bottom"/>
            <w:hideMark/>
          </w:tcPr>
          <w:p w14:paraId="031B8786"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0.3621</w:t>
            </w:r>
          </w:p>
        </w:tc>
      </w:tr>
      <w:tr w:rsidR="00C258CB" w:rsidRPr="00C258CB" w14:paraId="57E91D67" w14:textId="77777777" w:rsidTr="00C258CB">
        <w:trPr>
          <w:trHeight w:val="380"/>
        </w:trPr>
        <w:tc>
          <w:tcPr>
            <w:tcW w:w="2780" w:type="dxa"/>
            <w:tcBorders>
              <w:top w:val="nil"/>
              <w:left w:val="nil"/>
              <w:bottom w:val="nil"/>
              <w:right w:val="nil"/>
            </w:tcBorders>
            <w:shd w:val="clear" w:color="auto" w:fill="auto"/>
            <w:noWrap/>
            <w:vAlign w:val="bottom"/>
            <w:hideMark/>
          </w:tcPr>
          <w:p w14:paraId="52187E81" w14:textId="77777777" w:rsidR="00C258CB" w:rsidRPr="00C258CB" w:rsidRDefault="00C258CB" w:rsidP="00C258CB">
            <w:pPr>
              <w:rPr>
                <w:rFonts w:eastAsia="Times New Roman" w:cs="Times New Roman"/>
                <w:color w:val="000000"/>
              </w:rPr>
            </w:pPr>
            <w:r w:rsidRPr="00C258CB">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10B9F767" w14:textId="77777777" w:rsidR="00C258CB" w:rsidRPr="00C258CB" w:rsidRDefault="00C258CB" w:rsidP="00C258CB">
            <w:pPr>
              <w:jc w:val="right"/>
              <w:rPr>
                <w:rFonts w:eastAsia="Times New Roman" w:cs="Times New Roman"/>
                <w:color w:val="000000"/>
              </w:rPr>
            </w:pPr>
            <w:r w:rsidRPr="00C258CB">
              <w:rPr>
                <w:rFonts w:eastAsia="Times New Roman" w:cs="Times New Roman"/>
                <w:color w:val="000000"/>
              </w:rPr>
              <w:t>0.1514</w:t>
            </w:r>
          </w:p>
        </w:tc>
        <w:tc>
          <w:tcPr>
            <w:tcW w:w="1300" w:type="dxa"/>
            <w:tcBorders>
              <w:top w:val="nil"/>
              <w:left w:val="nil"/>
              <w:bottom w:val="nil"/>
              <w:right w:val="nil"/>
            </w:tcBorders>
            <w:shd w:val="clear" w:color="auto" w:fill="auto"/>
            <w:noWrap/>
            <w:vAlign w:val="bottom"/>
            <w:hideMark/>
          </w:tcPr>
          <w:p w14:paraId="4954EA68" w14:textId="77777777" w:rsidR="00C258CB" w:rsidRPr="00C258CB" w:rsidRDefault="00C258CB" w:rsidP="00C258CB">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59B17644"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812EA6B"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8B7CAEF"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DF11848" w14:textId="77777777" w:rsidR="00C258CB" w:rsidRPr="00C258CB" w:rsidRDefault="00C258CB" w:rsidP="00C258CB">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53D3362" w14:textId="77777777" w:rsidR="00C258CB" w:rsidRPr="00C258CB" w:rsidRDefault="00C258CB" w:rsidP="00C258CB">
            <w:pPr>
              <w:rPr>
                <w:rFonts w:eastAsia="Times New Roman" w:cs="Times New Roman"/>
              </w:rPr>
            </w:pPr>
          </w:p>
        </w:tc>
      </w:tr>
    </w:tbl>
    <w:p w14:paraId="7BEA4355" w14:textId="77777777" w:rsidR="00C258CB" w:rsidRPr="00A53C1D" w:rsidRDefault="00C258CB">
      <w:pPr>
        <w:rPr>
          <w:rFonts w:cs="Times New Roman"/>
          <w:b/>
          <w:bCs/>
        </w:rPr>
      </w:pPr>
    </w:p>
    <w:p w14:paraId="7EA6F4ED" w14:textId="77777777" w:rsidR="00A7461E" w:rsidRPr="00A53C1D" w:rsidRDefault="00A7461E">
      <w:pPr>
        <w:rPr>
          <w:rFonts w:cs="Times New Roman"/>
          <w:b/>
          <w:bCs/>
        </w:rPr>
      </w:pPr>
    </w:p>
    <w:p w14:paraId="6BBE23FF" w14:textId="77777777" w:rsidR="00A7461E" w:rsidRPr="00A53C1D" w:rsidRDefault="00A7461E">
      <w:pPr>
        <w:rPr>
          <w:rFonts w:cs="Times New Roman"/>
          <w:b/>
          <w:bCs/>
        </w:rPr>
      </w:pPr>
    </w:p>
    <w:p w14:paraId="6D37E18B" w14:textId="26BEFE8C" w:rsidR="00A7461E" w:rsidRPr="00A53C1D" w:rsidRDefault="00A7461E">
      <w:pPr>
        <w:rPr>
          <w:rFonts w:cs="Times New Roman"/>
          <w:b/>
          <w:bCs/>
        </w:rPr>
      </w:pPr>
      <w:r w:rsidRPr="00A53C1D">
        <w:rPr>
          <w:rFonts w:cs="Times New Roman"/>
          <w:b/>
          <w:bCs/>
        </w:rPr>
        <w:br w:type="page"/>
      </w:r>
    </w:p>
    <w:p w14:paraId="083815E8" w14:textId="537A57A4" w:rsidR="003E70E9" w:rsidRPr="00A53C1D" w:rsidRDefault="003E70E9">
      <w:pPr>
        <w:rPr>
          <w:rFonts w:cs="Times New Roman"/>
          <w:b/>
          <w:bCs/>
        </w:rPr>
        <w:sectPr w:rsidR="003E70E9" w:rsidRPr="00A53C1D" w:rsidSect="006D7554">
          <w:pgSz w:w="15840" w:h="12240" w:orient="landscape"/>
          <w:pgMar w:top="1440" w:right="1440" w:bottom="1440" w:left="1440" w:header="720" w:footer="720" w:gutter="0"/>
          <w:cols w:space="720"/>
          <w:docGrid w:linePitch="360"/>
        </w:sectPr>
      </w:pPr>
    </w:p>
    <w:p w14:paraId="7CFFB387" w14:textId="7AEFA754" w:rsidR="00673E90" w:rsidRPr="00673E90" w:rsidRDefault="00673E90" w:rsidP="00673E90">
      <w:pPr>
        <w:rPr>
          <w:rFonts w:cs="Times New Roman"/>
          <w:b/>
          <w:bCs/>
        </w:rPr>
      </w:pPr>
      <w:r w:rsidRPr="00673E90">
        <w:rPr>
          <w:rFonts w:cs="Times New Roman"/>
          <w:b/>
          <w:bCs/>
        </w:rPr>
        <w:lastRenderedPageBreak/>
        <w:t xml:space="preserve">Table </w:t>
      </w:r>
      <w:r w:rsidR="00FD07E9">
        <w:rPr>
          <w:rFonts w:cs="Times New Roman"/>
          <w:b/>
          <w:bCs/>
        </w:rPr>
        <w:t>3.</w:t>
      </w:r>
      <w:r w:rsidRPr="00673E90">
        <w:rPr>
          <w:rFonts w:cs="Times New Roman"/>
          <w:b/>
          <w:bCs/>
        </w:rPr>
        <w:t>6 Pairwise Wilcoxon rank-sum test comparisons of four different alpha diversity metrics across samples from pasture palms</w:t>
      </w:r>
    </w:p>
    <w:p w14:paraId="4669CDD1" w14:textId="789735BB" w:rsidR="00F7780D" w:rsidRDefault="00673E90" w:rsidP="00673E90">
      <w:pPr>
        <w:rPr>
          <w:rFonts w:cs="Times New Roman"/>
        </w:rPr>
      </w:pPr>
      <w:r w:rsidRPr="00673E90">
        <w:rPr>
          <w:rFonts w:cs="Times New Roman"/>
        </w:rPr>
        <w:t>Results highlighted in boldface indicate p-values of less than 0.05. All p-values were corrected with Benjamini-Hochberg adjustments.</w:t>
      </w:r>
    </w:p>
    <w:p w14:paraId="5E726EF8" w14:textId="77777777" w:rsidR="007D1020" w:rsidRPr="00673E90" w:rsidRDefault="007D1020" w:rsidP="00673E90">
      <w:pPr>
        <w:rPr>
          <w:rFonts w:cs="Times New Roman"/>
        </w:rPr>
      </w:pPr>
    </w:p>
    <w:p w14:paraId="1E34C794" w14:textId="77777777" w:rsidR="003E70E9" w:rsidRPr="00A53C1D" w:rsidRDefault="003E70E9">
      <w:pPr>
        <w:rPr>
          <w:rFonts w:cs="Times New Roman"/>
          <w:b/>
          <w:bCs/>
        </w:rPr>
      </w:pPr>
    </w:p>
    <w:tbl>
      <w:tblPr>
        <w:tblW w:w="8800" w:type="dxa"/>
        <w:tblLook w:val="04A0" w:firstRow="1" w:lastRow="0" w:firstColumn="1" w:lastColumn="0" w:noHBand="0" w:noVBand="1"/>
      </w:tblPr>
      <w:tblGrid>
        <w:gridCol w:w="2200"/>
        <w:gridCol w:w="2200"/>
        <w:gridCol w:w="2200"/>
        <w:gridCol w:w="2200"/>
      </w:tblGrid>
      <w:tr w:rsidR="003E70E9" w:rsidRPr="003E70E9" w14:paraId="1752C013" w14:textId="77777777" w:rsidTr="003E70E9">
        <w:trPr>
          <w:trHeight w:val="38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3D086" w14:textId="77777777" w:rsidR="003E70E9" w:rsidRPr="003E70E9" w:rsidRDefault="003E70E9" w:rsidP="003E70E9">
            <w:pPr>
              <w:rPr>
                <w:rFonts w:eastAsia="Times New Roman" w:cs="Times New Roman"/>
                <w:color w:val="000000"/>
              </w:rPr>
            </w:pPr>
            <w:r w:rsidRPr="003E70E9">
              <w:rPr>
                <w:rFonts w:eastAsia="Times New Roman" w:cs="Times New Roman"/>
                <w:color w:val="000000"/>
              </w:rPr>
              <w:t>Pasture Samples</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15E347AD" w14:textId="77777777" w:rsidR="003E70E9" w:rsidRPr="003E70E9" w:rsidRDefault="003E70E9" w:rsidP="003E70E9">
            <w:pPr>
              <w:rPr>
                <w:rFonts w:eastAsia="Times New Roman" w:cs="Times New Roman"/>
                <w:color w:val="000000"/>
              </w:rPr>
            </w:pPr>
            <w:r w:rsidRPr="003E70E9">
              <w:rPr>
                <w:rFonts w:eastAsia="Times New Roman" w:cs="Times New Roman"/>
                <w:color w:val="000000"/>
              </w:rPr>
              <w:t>Capira:Chorrera</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4B4164A8" w14:textId="77777777" w:rsidR="003E70E9" w:rsidRPr="003E70E9" w:rsidRDefault="003E70E9" w:rsidP="003E70E9">
            <w:pPr>
              <w:rPr>
                <w:rFonts w:eastAsia="Times New Roman" w:cs="Times New Roman"/>
                <w:color w:val="000000"/>
              </w:rPr>
            </w:pPr>
            <w:r w:rsidRPr="003E70E9">
              <w:rPr>
                <w:rFonts w:eastAsia="Times New Roman" w:cs="Times New Roman"/>
                <w:color w:val="000000"/>
              </w:rPr>
              <w:t>Capira:Veraguas</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26BF6357" w14:textId="77777777" w:rsidR="003E70E9" w:rsidRPr="003E70E9" w:rsidRDefault="003E70E9" w:rsidP="003E70E9">
            <w:pPr>
              <w:rPr>
                <w:rFonts w:eastAsia="Times New Roman" w:cs="Times New Roman"/>
                <w:color w:val="000000"/>
              </w:rPr>
            </w:pPr>
            <w:r w:rsidRPr="003E70E9">
              <w:rPr>
                <w:rFonts w:eastAsia="Times New Roman" w:cs="Times New Roman"/>
                <w:color w:val="000000"/>
              </w:rPr>
              <w:t>Veraguas:Chorrera</w:t>
            </w:r>
          </w:p>
        </w:tc>
      </w:tr>
      <w:tr w:rsidR="003E70E9" w:rsidRPr="003E70E9" w14:paraId="2C5BE97A" w14:textId="77777777" w:rsidTr="003E70E9">
        <w:trPr>
          <w:trHeight w:val="38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C9F469B" w14:textId="77777777" w:rsidR="003E70E9" w:rsidRPr="003E70E9" w:rsidRDefault="003E70E9" w:rsidP="003E70E9">
            <w:pPr>
              <w:rPr>
                <w:rFonts w:eastAsia="Times New Roman" w:cs="Times New Roman"/>
                <w:color w:val="000000"/>
              </w:rPr>
            </w:pPr>
            <w:r w:rsidRPr="003E70E9">
              <w:rPr>
                <w:rFonts w:eastAsia="Times New Roman" w:cs="Times New Roman"/>
                <w:color w:val="000000"/>
              </w:rPr>
              <w:t>Richness</w:t>
            </w:r>
          </w:p>
        </w:tc>
        <w:tc>
          <w:tcPr>
            <w:tcW w:w="2200" w:type="dxa"/>
            <w:tcBorders>
              <w:top w:val="nil"/>
              <w:left w:val="nil"/>
              <w:bottom w:val="single" w:sz="4" w:space="0" w:color="auto"/>
              <w:right w:val="single" w:sz="4" w:space="0" w:color="auto"/>
            </w:tcBorders>
            <w:shd w:val="clear" w:color="auto" w:fill="auto"/>
            <w:noWrap/>
            <w:vAlign w:val="bottom"/>
            <w:hideMark/>
          </w:tcPr>
          <w:p w14:paraId="6564A0DE" w14:textId="77777777" w:rsidR="003E70E9" w:rsidRPr="003E70E9" w:rsidRDefault="003E70E9" w:rsidP="003E70E9">
            <w:pPr>
              <w:jc w:val="right"/>
              <w:rPr>
                <w:rFonts w:eastAsia="Times New Roman" w:cs="Times New Roman"/>
                <w:b/>
                <w:bCs/>
                <w:color w:val="000000"/>
              </w:rPr>
            </w:pPr>
            <w:r w:rsidRPr="003E70E9">
              <w:rPr>
                <w:rFonts w:eastAsia="Times New Roman" w:cs="Times New Roman"/>
                <w:b/>
                <w:bCs/>
                <w:color w:val="000000"/>
              </w:rPr>
              <w:t>0.0173</w:t>
            </w:r>
          </w:p>
        </w:tc>
        <w:tc>
          <w:tcPr>
            <w:tcW w:w="2200" w:type="dxa"/>
            <w:tcBorders>
              <w:top w:val="nil"/>
              <w:left w:val="nil"/>
              <w:bottom w:val="single" w:sz="4" w:space="0" w:color="auto"/>
              <w:right w:val="single" w:sz="4" w:space="0" w:color="auto"/>
            </w:tcBorders>
            <w:shd w:val="clear" w:color="auto" w:fill="auto"/>
            <w:noWrap/>
            <w:vAlign w:val="bottom"/>
            <w:hideMark/>
          </w:tcPr>
          <w:p w14:paraId="607C4874" w14:textId="77777777" w:rsidR="003E70E9" w:rsidRPr="003E70E9" w:rsidRDefault="003E70E9" w:rsidP="003E70E9">
            <w:pPr>
              <w:jc w:val="right"/>
              <w:rPr>
                <w:rFonts w:eastAsia="Times New Roman" w:cs="Times New Roman"/>
                <w:color w:val="000000"/>
              </w:rPr>
            </w:pPr>
            <w:r w:rsidRPr="003E70E9">
              <w:rPr>
                <w:rFonts w:eastAsia="Times New Roman" w:cs="Times New Roman"/>
                <w:color w:val="000000"/>
              </w:rPr>
              <w:t>0.2253</w:t>
            </w:r>
          </w:p>
        </w:tc>
        <w:tc>
          <w:tcPr>
            <w:tcW w:w="2200" w:type="dxa"/>
            <w:tcBorders>
              <w:top w:val="nil"/>
              <w:left w:val="nil"/>
              <w:bottom w:val="single" w:sz="4" w:space="0" w:color="auto"/>
              <w:right w:val="single" w:sz="4" w:space="0" w:color="auto"/>
            </w:tcBorders>
            <w:shd w:val="clear" w:color="auto" w:fill="auto"/>
            <w:noWrap/>
            <w:vAlign w:val="bottom"/>
            <w:hideMark/>
          </w:tcPr>
          <w:p w14:paraId="1AF461E2" w14:textId="77777777" w:rsidR="003E70E9" w:rsidRPr="003E70E9" w:rsidRDefault="003E70E9" w:rsidP="003E70E9">
            <w:pPr>
              <w:jc w:val="right"/>
              <w:rPr>
                <w:rFonts w:eastAsia="Times New Roman" w:cs="Times New Roman"/>
                <w:b/>
                <w:bCs/>
                <w:color w:val="000000"/>
              </w:rPr>
            </w:pPr>
            <w:r w:rsidRPr="003E70E9">
              <w:rPr>
                <w:rFonts w:eastAsia="Times New Roman" w:cs="Times New Roman"/>
                <w:b/>
                <w:bCs/>
                <w:color w:val="000000"/>
              </w:rPr>
              <w:t>0.00190</w:t>
            </w:r>
          </w:p>
        </w:tc>
      </w:tr>
      <w:tr w:rsidR="003E70E9" w:rsidRPr="003E70E9" w14:paraId="5E0EB76E" w14:textId="77777777" w:rsidTr="003E70E9">
        <w:trPr>
          <w:trHeight w:val="38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D18C702" w14:textId="77777777" w:rsidR="003E70E9" w:rsidRPr="003E70E9" w:rsidRDefault="003E70E9" w:rsidP="003E70E9">
            <w:pPr>
              <w:rPr>
                <w:rFonts w:eastAsia="Times New Roman" w:cs="Times New Roman"/>
                <w:color w:val="000000"/>
              </w:rPr>
            </w:pPr>
            <w:r w:rsidRPr="003E70E9">
              <w:rPr>
                <w:rFonts w:eastAsia="Times New Roman" w:cs="Times New Roman"/>
                <w:color w:val="000000"/>
              </w:rPr>
              <w:t>Shannon</w:t>
            </w:r>
          </w:p>
        </w:tc>
        <w:tc>
          <w:tcPr>
            <w:tcW w:w="2200" w:type="dxa"/>
            <w:tcBorders>
              <w:top w:val="nil"/>
              <w:left w:val="nil"/>
              <w:bottom w:val="single" w:sz="4" w:space="0" w:color="auto"/>
              <w:right w:val="single" w:sz="4" w:space="0" w:color="auto"/>
            </w:tcBorders>
            <w:shd w:val="clear" w:color="auto" w:fill="auto"/>
            <w:noWrap/>
            <w:vAlign w:val="bottom"/>
            <w:hideMark/>
          </w:tcPr>
          <w:p w14:paraId="1A9781D4" w14:textId="77777777" w:rsidR="003E70E9" w:rsidRPr="003E70E9" w:rsidRDefault="003E70E9" w:rsidP="003E70E9">
            <w:pPr>
              <w:jc w:val="right"/>
              <w:rPr>
                <w:rFonts w:eastAsia="Times New Roman" w:cs="Times New Roman"/>
                <w:b/>
                <w:bCs/>
                <w:color w:val="000000"/>
              </w:rPr>
            </w:pPr>
            <w:r w:rsidRPr="003E70E9">
              <w:rPr>
                <w:rFonts w:eastAsia="Times New Roman" w:cs="Times New Roman"/>
                <w:b/>
                <w:bCs/>
                <w:color w:val="000000"/>
              </w:rPr>
              <w:t>0.019</w:t>
            </w:r>
          </w:p>
        </w:tc>
        <w:tc>
          <w:tcPr>
            <w:tcW w:w="2200" w:type="dxa"/>
            <w:tcBorders>
              <w:top w:val="nil"/>
              <w:left w:val="nil"/>
              <w:bottom w:val="single" w:sz="4" w:space="0" w:color="auto"/>
              <w:right w:val="single" w:sz="4" w:space="0" w:color="auto"/>
            </w:tcBorders>
            <w:shd w:val="clear" w:color="auto" w:fill="auto"/>
            <w:noWrap/>
            <w:vAlign w:val="bottom"/>
            <w:hideMark/>
          </w:tcPr>
          <w:p w14:paraId="415C5D49" w14:textId="77777777" w:rsidR="003E70E9" w:rsidRPr="003E70E9" w:rsidRDefault="003E70E9" w:rsidP="003E70E9">
            <w:pPr>
              <w:jc w:val="right"/>
              <w:rPr>
                <w:rFonts w:eastAsia="Times New Roman" w:cs="Times New Roman"/>
                <w:b/>
                <w:bCs/>
                <w:color w:val="000000"/>
              </w:rPr>
            </w:pPr>
            <w:r w:rsidRPr="003E70E9">
              <w:rPr>
                <w:rFonts w:eastAsia="Times New Roman" w:cs="Times New Roman"/>
                <w:b/>
                <w:bCs/>
                <w:color w:val="000000"/>
              </w:rPr>
              <w:t>0.019</w:t>
            </w:r>
          </w:p>
        </w:tc>
        <w:tc>
          <w:tcPr>
            <w:tcW w:w="2200" w:type="dxa"/>
            <w:tcBorders>
              <w:top w:val="nil"/>
              <w:left w:val="nil"/>
              <w:bottom w:val="single" w:sz="4" w:space="0" w:color="auto"/>
              <w:right w:val="single" w:sz="4" w:space="0" w:color="auto"/>
            </w:tcBorders>
            <w:shd w:val="clear" w:color="auto" w:fill="auto"/>
            <w:noWrap/>
            <w:vAlign w:val="bottom"/>
            <w:hideMark/>
          </w:tcPr>
          <w:p w14:paraId="0F738700" w14:textId="77777777" w:rsidR="003E70E9" w:rsidRPr="003E70E9" w:rsidRDefault="003E70E9" w:rsidP="003E70E9">
            <w:pPr>
              <w:jc w:val="right"/>
              <w:rPr>
                <w:rFonts w:eastAsia="Times New Roman" w:cs="Times New Roman"/>
                <w:b/>
                <w:bCs/>
                <w:color w:val="000000"/>
              </w:rPr>
            </w:pPr>
            <w:r w:rsidRPr="003E70E9">
              <w:rPr>
                <w:rFonts w:eastAsia="Times New Roman" w:cs="Times New Roman"/>
                <w:b/>
                <w:bCs/>
                <w:color w:val="000000"/>
              </w:rPr>
              <w:t>0.000380</w:t>
            </w:r>
          </w:p>
        </w:tc>
      </w:tr>
      <w:tr w:rsidR="003E70E9" w:rsidRPr="003E70E9" w14:paraId="0E89BCA3" w14:textId="77777777" w:rsidTr="003E70E9">
        <w:trPr>
          <w:trHeight w:val="38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59FEC25" w14:textId="77777777" w:rsidR="003E70E9" w:rsidRPr="003E70E9" w:rsidRDefault="003E70E9" w:rsidP="003E70E9">
            <w:pPr>
              <w:rPr>
                <w:rFonts w:eastAsia="Times New Roman" w:cs="Times New Roman"/>
                <w:color w:val="000000"/>
              </w:rPr>
            </w:pPr>
            <w:r w:rsidRPr="003E70E9">
              <w:rPr>
                <w:rFonts w:eastAsia="Times New Roman" w:cs="Times New Roman"/>
                <w:color w:val="000000"/>
              </w:rPr>
              <w:t>Faith</w:t>
            </w:r>
          </w:p>
        </w:tc>
        <w:tc>
          <w:tcPr>
            <w:tcW w:w="2200" w:type="dxa"/>
            <w:tcBorders>
              <w:top w:val="nil"/>
              <w:left w:val="nil"/>
              <w:bottom w:val="single" w:sz="4" w:space="0" w:color="auto"/>
              <w:right w:val="single" w:sz="4" w:space="0" w:color="auto"/>
            </w:tcBorders>
            <w:shd w:val="clear" w:color="auto" w:fill="auto"/>
            <w:noWrap/>
            <w:vAlign w:val="bottom"/>
            <w:hideMark/>
          </w:tcPr>
          <w:p w14:paraId="13334AF2" w14:textId="77777777" w:rsidR="003E70E9" w:rsidRPr="003E70E9" w:rsidRDefault="003E70E9" w:rsidP="003E70E9">
            <w:pPr>
              <w:jc w:val="right"/>
              <w:rPr>
                <w:rFonts w:eastAsia="Times New Roman" w:cs="Times New Roman"/>
                <w:color w:val="000000"/>
              </w:rPr>
            </w:pPr>
            <w:r w:rsidRPr="003E70E9">
              <w:rPr>
                <w:rFonts w:eastAsia="Times New Roman" w:cs="Times New Roman"/>
                <w:color w:val="000000"/>
              </w:rPr>
              <w:t>0.267</w:t>
            </w:r>
          </w:p>
        </w:tc>
        <w:tc>
          <w:tcPr>
            <w:tcW w:w="2200" w:type="dxa"/>
            <w:tcBorders>
              <w:top w:val="nil"/>
              <w:left w:val="nil"/>
              <w:bottom w:val="single" w:sz="4" w:space="0" w:color="auto"/>
              <w:right w:val="single" w:sz="4" w:space="0" w:color="auto"/>
            </w:tcBorders>
            <w:shd w:val="clear" w:color="auto" w:fill="auto"/>
            <w:noWrap/>
            <w:vAlign w:val="bottom"/>
            <w:hideMark/>
          </w:tcPr>
          <w:p w14:paraId="31CED100" w14:textId="77777777" w:rsidR="003E70E9" w:rsidRPr="003E70E9" w:rsidRDefault="003E70E9" w:rsidP="003E70E9">
            <w:pPr>
              <w:jc w:val="right"/>
              <w:rPr>
                <w:rFonts w:eastAsia="Times New Roman" w:cs="Times New Roman"/>
                <w:color w:val="000000"/>
              </w:rPr>
            </w:pPr>
            <w:r w:rsidRPr="003E70E9">
              <w:rPr>
                <w:rFonts w:eastAsia="Times New Roman" w:cs="Times New Roman"/>
                <w:color w:val="000000"/>
              </w:rPr>
              <w:t>0.783</w:t>
            </w:r>
          </w:p>
        </w:tc>
        <w:tc>
          <w:tcPr>
            <w:tcW w:w="2200" w:type="dxa"/>
            <w:tcBorders>
              <w:top w:val="nil"/>
              <w:left w:val="nil"/>
              <w:bottom w:val="single" w:sz="4" w:space="0" w:color="auto"/>
              <w:right w:val="single" w:sz="4" w:space="0" w:color="auto"/>
            </w:tcBorders>
            <w:shd w:val="clear" w:color="auto" w:fill="auto"/>
            <w:noWrap/>
            <w:vAlign w:val="bottom"/>
            <w:hideMark/>
          </w:tcPr>
          <w:p w14:paraId="6634B17C" w14:textId="77777777" w:rsidR="003E70E9" w:rsidRPr="003E70E9" w:rsidRDefault="003E70E9" w:rsidP="003E70E9">
            <w:pPr>
              <w:jc w:val="right"/>
              <w:rPr>
                <w:rFonts w:eastAsia="Times New Roman" w:cs="Times New Roman"/>
                <w:color w:val="000000"/>
              </w:rPr>
            </w:pPr>
            <w:r w:rsidRPr="003E70E9">
              <w:rPr>
                <w:rFonts w:eastAsia="Times New Roman" w:cs="Times New Roman"/>
                <w:color w:val="000000"/>
              </w:rPr>
              <w:t>0.083</w:t>
            </w:r>
          </w:p>
        </w:tc>
      </w:tr>
      <w:tr w:rsidR="003E70E9" w:rsidRPr="003E70E9" w14:paraId="24223739" w14:textId="77777777" w:rsidTr="003E70E9">
        <w:trPr>
          <w:trHeight w:val="38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51683D8" w14:textId="77777777" w:rsidR="003E70E9" w:rsidRPr="003E70E9" w:rsidRDefault="003E70E9" w:rsidP="003E70E9">
            <w:pPr>
              <w:rPr>
                <w:rFonts w:eastAsia="Times New Roman" w:cs="Times New Roman"/>
                <w:color w:val="000000"/>
              </w:rPr>
            </w:pPr>
            <w:r w:rsidRPr="003E70E9">
              <w:rPr>
                <w:rFonts w:eastAsia="Times New Roman" w:cs="Times New Roman"/>
                <w:color w:val="000000"/>
              </w:rPr>
              <w:t>Evenness</w:t>
            </w:r>
          </w:p>
        </w:tc>
        <w:tc>
          <w:tcPr>
            <w:tcW w:w="2200" w:type="dxa"/>
            <w:tcBorders>
              <w:top w:val="nil"/>
              <w:left w:val="nil"/>
              <w:bottom w:val="single" w:sz="4" w:space="0" w:color="auto"/>
              <w:right w:val="single" w:sz="4" w:space="0" w:color="auto"/>
            </w:tcBorders>
            <w:shd w:val="clear" w:color="auto" w:fill="auto"/>
            <w:noWrap/>
            <w:vAlign w:val="bottom"/>
            <w:hideMark/>
          </w:tcPr>
          <w:p w14:paraId="5BCCCC02" w14:textId="77777777" w:rsidR="003E70E9" w:rsidRPr="003E70E9" w:rsidRDefault="003E70E9" w:rsidP="003E70E9">
            <w:pPr>
              <w:jc w:val="right"/>
              <w:rPr>
                <w:rFonts w:eastAsia="Times New Roman" w:cs="Times New Roman"/>
                <w:color w:val="000000"/>
              </w:rPr>
            </w:pPr>
            <w:r w:rsidRPr="003E70E9">
              <w:rPr>
                <w:rFonts w:eastAsia="Times New Roman" w:cs="Times New Roman"/>
                <w:color w:val="000000"/>
              </w:rPr>
              <w:t>0.353</w:t>
            </w:r>
          </w:p>
        </w:tc>
        <w:tc>
          <w:tcPr>
            <w:tcW w:w="2200" w:type="dxa"/>
            <w:tcBorders>
              <w:top w:val="nil"/>
              <w:left w:val="nil"/>
              <w:bottom w:val="single" w:sz="4" w:space="0" w:color="auto"/>
              <w:right w:val="single" w:sz="4" w:space="0" w:color="auto"/>
            </w:tcBorders>
            <w:shd w:val="clear" w:color="auto" w:fill="auto"/>
            <w:noWrap/>
            <w:vAlign w:val="bottom"/>
            <w:hideMark/>
          </w:tcPr>
          <w:p w14:paraId="5ABB610F" w14:textId="77777777" w:rsidR="003E70E9" w:rsidRPr="003E70E9" w:rsidRDefault="003E70E9" w:rsidP="003E70E9">
            <w:pPr>
              <w:jc w:val="right"/>
              <w:rPr>
                <w:rFonts w:eastAsia="Times New Roman" w:cs="Times New Roman"/>
                <w:color w:val="000000"/>
              </w:rPr>
            </w:pPr>
            <w:r w:rsidRPr="003E70E9">
              <w:rPr>
                <w:rFonts w:eastAsia="Times New Roman" w:cs="Times New Roman"/>
                <w:color w:val="000000"/>
              </w:rPr>
              <w:t>0.103</w:t>
            </w:r>
          </w:p>
        </w:tc>
        <w:tc>
          <w:tcPr>
            <w:tcW w:w="2200" w:type="dxa"/>
            <w:tcBorders>
              <w:top w:val="nil"/>
              <w:left w:val="nil"/>
              <w:bottom w:val="single" w:sz="4" w:space="0" w:color="auto"/>
              <w:right w:val="single" w:sz="4" w:space="0" w:color="auto"/>
            </w:tcBorders>
            <w:shd w:val="clear" w:color="auto" w:fill="auto"/>
            <w:noWrap/>
            <w:vAlign w:val="bottom"/>
            <w:hideMark/>
          </w:tcPr>
          <w:p w14:paraId="618771B6" w14:textId="77777777" w:rsidR="003E70E9" w:rsidRPr="003E70E9" w:rsidRDefault="003E70E9" w:rsidP="003E70E9">
            <w:pPr>
              <w:jc w:val="right"/>
              <w:rPr>
                <w:rFonts w:eastAsia="Times New Roman" w:cs="Times New Roman"/>
                <w:color w:val="000000"/>
              </w:rPr>
            </w:pPr>
            <w:r w:rsidRPr="003E70E9">
              <w:rPr>
                <w:rFonts w:eastAsia="Times New Roman" w:cs="Times New Roman"/>
                <w:color w:val="000000"/>
              </w:rPr>
              <w:t>0.074</w:t>
            </w:r>
          </w:p>
        </w:tc>
      </w:tr>
    </w:tbl>
    <w:p w14:paraId="4AED9EEB" w14:textId="77777777" w:rsidR="003E70E9" w:rsidRPr="00A53C1D" w:rsidRDefault="003E70E9">
      <w:pPr>
        <w:rPr>
          <w:rFonts w:cs="Times New Roman"/>
          <w:b/>
          <w:bCs/>
        </w:rPr>
      </w:pPr>
    </w:p>
    <w:p w14:paraId="6CDAE632" w14:textId="77777777" w:rsidR="003E70E9" w:rsidRPr="00A53C1D" w:rsidRDefault="003E70E9">
      <w:pPr>
        <w:rPr>
          <w:rFonts w:cs="Times New Roman"/>
          <w:b/>
          <w:bCs/>
        </w:rPr>
      </w:pPr>
    </w:p>
    <w:p w14:paraId="26EAE68E" w14:textId="77777777" w:rsidR="003E70E9" w:rsidRPr="00A53C1D" w:rsidRDefault="003E70E9">
      <w:pPr>
        <w:rPr>
          <w:rFonts w:cs="Times New Roman"/>
          <w:b/>
          <w:bCs/>
        </w:rPr>
      </w:pPr>
    </w:p>
    <w:p w14:paraId="1B695CFD" w14:textId="77777777" w:rsidR="003E70E9" w:rsidRPr="00A53C1D" w:rsidRDefault="003E70E9">
      <w:pPr>
        <w:rPr>
          <w:rFonts w:cs="Times New Roman"/>
          <w:b/>
          <w:bCs/>
        </w:rPr>
      </w:pPr>
    </w:p>
    <w:p w14:paraId="73D93C78" w14:textId="440A4CD7" w:rsidR="003E70E9" w:rsidRPr="00A53C1D" w:rsidRDefault="003E70E9">
      <w:pPr>
        <w:rPr>
          <w:rFonts w:cs="Times New Roman"/>
          <w:b/>
          <w:bCs/>
        </w:rPr>
      </w:pPr>
    </w:p>
    <w:p w14:paraId="16C61ADC" w14:textId="5E2E3393" w:rsidR="00673E90" w:rsidRPr="00673E90" w:rsidRDefault="00673E90" w:rsidP="00673E90">
      <w:pPr>
        <w:rPr>
          <w:rFonts w:cs="Times New Roman"/>
          <w:b/>
          <w:bCs/>
        </w:rPr>
      </w:pPr>
      <w:r w:rsidRPr="00673E90">
        <w:rPr>
          <w:rFonts w:cs="Times New Roman"/>
          <w:b/>
          <w:bCs/>
        </w:rPr>
        <w:t xml:space="preserve">Table </w:t>
      </w:r>
      <w:r w:rsidR="00FD07E9">
        <w:rPr>
          <w:rFonts w:cs="Times New Roman"/>
          <w:b/>
          <w:bCs/>
        </w:rPr>
        <w:t>3.</w:t>
      </w:r>
      <w:r w:rsidRPr="00673E90">
        <w:rPr>
          <w:rFonts w:cs="Times New Roman"/>
          <w:b/>
          <w:bCs/>
        </w:rPr>
        <w:t>7 Pairwise Wilcoxon rank-sum test comparisons of four different alpha diversity metrics across samples from peridomestic palms</w:t>
      </w:r>
    </w:p>
    <w:p w14:paraId="59CB4D7F" w14:textId="4E3BA405" w:rsidR="00673E90" w:rsidRDefault="00673E90" w:rsidP="00673E90">
      <w:pPr>
        <w:rPr>
          <w:rFonts w:cs="Times New Roman"/>
        </w:rPr>
      </w:pPr>
      <w:r w:rsidRPr="00673E90">
        <w:rPr>
          <w:rFonts w:cs="Times New Roman"/>
        </w:rPr>
        <w:t>Results highlighted in boldface indicate p-values of less than 0.05. All p-values were corrected with Benjamini-Hochberg adjustments.</w:t>
      </w:r>
    </w:p>
    <w:p w14:paraId="29050BAE" w14:textId="77777777" w:rsidR="007D1020" w:rsidRDefault="007D1020" w:rsidP="00673E90">
      <w:pPr>
        <w:rPr>
          <w:rFonts w:cs="Times New Roman"/>
        </w:rPr>
      </w:pPr>
    </w:p>
    <w:p w14:paraId="61560D53" w14:textId="77777777" w:rsidR="007D1020" w:rsidRPr="007D1020" w:rsidRDefault="007D1020" w:rsidP="00673E90">
      <w:pPr>
        <w:rPr>
          <w:rFonts w:cs="Times New Roman"/>
        </w:rPr>
      </w:pPr>
    </w:p>
    <w:p w14:paraId="19A08E6E" w14:textId="77777777" w:rsidR="00710506" w:rsidRPr="00A53C1D" w:rsidRDefault="00710506">
      <w:pPr>
        <w:rPr>
          <w:rFonts w:cs="Times New Roman"/>
          <w:b/>
          <w:bCs/>
        </w:rPr>
      </w:pPr>
    </w:p>
    <w:tbl>
      <w:tblPr>
        <w:tblW w:w="9920" w:type="dxa"/>
        <w:tblLook w:val="04A0" w:firstRow="1" w:lastRow="0" w:firstColumn="1" w:lastColumn="0" w:noHBand="0" w:noVBand="1"/>
      </w:tblPr>
      <w:tblGrid>
        <w:gridCol w:w="2960"/>
        <w:gridCol w:w="2320"/>
        <w:gridCol w:w="2320"/>
        <w:gridCol w:w="2320"/>
      </w:tblGrid>
      <w:tr w:rsidR="00710506" w:rsidRPr="00710506" w14:paraId="494B838D" w14:textId="77777777" w:rsidTr="00710506">
        <w:trPr>
          <w:trHeight w:val="380"/>
        </w:trPr>
        <w:tc>
          <w:tcPr>
            <w:tcW w:w="29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5932AC4" w14:textId="77777777" w:rsidR="00710506" w:rsidRPr="00710506" w:rsidRDefault="00710506" w:rsidP="00710506">
            <w:pPr>
              <w:rPr>
                <w:rFonts w:eastAsia="Times New Roman" w:cs="Times New Roman"/>
                <w:color w:val="000000"/>
              </w:rPr>
            </w:pPr>
            <w:r w:rsidRPr="00710506">
              <w:rPr>
                <w:rFonts w:eastAsia="Times New Roman" w:cs="Times New Roman"/>
                <w:color w:val="000000"/>
              </w:rPr>
              <w:t>Peridomestic Samples</w:t>
            </w:r>
          </w:p>
        </w:tc>
        <w:tc>
          <w:tcPr>
            <w:tcW w:w="2320" w:type="dxa"/>
            <w:tcBorders>
              <w:top w:val="single" w:sz="4" w:space="0" w:color="auto"/>
              <w:left w:val="nil"/>
              <w:bottom w:val="single" w:sz="4" w:space="0" w:color="auto"/>
              <w:right w:val="single" w:sz="4" w:space="0" w:color="auto"/>
            </w:tcBorders>
            <w:shd w:val="clear" w:color="000000" w:fill="E7E6E6"/>
            <w:noWrap/>
            <w:vAlign w:val="bottom"/>
            <w:hideMark/>
          </w:tcPr>
          <w:p w14:paraId="79DC4324" w14:textId="77777777" w:rsidR="00710506" w:rsidRPr="00710506" w:rsidRDefault="00710506" w:rsidP="00710506">
            <w:pPr>
              <w:rPr>
                <w:rFonts w:eastAsia="Times New Roman" w:cs="Times New Roman"/>
                <w:color w:val="000000"/>
              </w:rPr>
            </w:pPr>
            <w:r w:rsidRPr="00710506">
              <w:rPr>
                <w:rFonts w:eastAsia="Times New Roman" w:cs="Times New Roman"/>
                <w:color w:val="000000"/>
              </w:rPr>
              <w:t>Capira:Chorrera</w:t>
            </w:r>
          </w:p>
        </w:tc>
        <w:tc>
          <w:tcPr>
            <w:tcW w:w="2320" w:type="dxa"/>
            <w:tcBorders>
              <w:top w:val="single" w:sz="4" w:space="0" w:color="auto"/>
              <w:left w:val="nil"/>
              <w:bottom w:val="single" w:sz="4" w:space="0" w:color="auto"/>
              <w:right w:val="single" w:sz="4" w:space="0" w:color="auto"/>
            </w:tcBorders>
            <w:shd w:val="clear" w:color="000000" w:fill="E7E6E6"/>
            <w:noWrap/>
            <w:vAlign w:val="bottom"/>
            <w:hideMark/>
          </w:tcPr>
          <w:p w14:paraId="1208C726" w14:textId="77777777" w:rsidR="00710506" w:rsidRPr="00710506" w:rsidRDefault="00710506" w:rsidP="00710506">
            <w:pPr>
              <w:rPr>
                <w:rFonts w:eastAsia="Times New Roman" w:cs="Times New Roman"/>
                <w:color w:val="000000"/>
              </w:rPr>
            </w:pPr>
            <w:r w:rsidRPr="00710506">
              <w:rPr>
                <w:rFonts w:eastAsia="Times New Roman" w:cs="Times New Roman"/>
                <w:color w:val="000000"/>
              </w:rPr>
              <w:t>Capira:Veraguas</w:t>
            </w:r>
          </w:p>
        </w:tc>
        <w:tc>
          <w:tcPr>
            <w:tcW w:w="2320" w:type="dxa"/>
            <w:tcBorders>
              <w:top w:val="single" w:sz="4" w:space="0" w:color="auto"/>
              <w:left w:val="nil"/>
              <w:bottom w:val="single" w:sz="4" w:space="0" w:color="auto"/>
              <w:right w:val="single" w:sz="4" w:space="0" w:color="auto"/>
            </w:tcBorders>
            <w:shd w:val="clear" w:color="000000" w:fill="E7E6E6"/>
            <w:noWrap/>
            <w:vAlign w:val="bottom"/>
            <w:hideMark/>
          </w:tcPr>
          <w:p w14:paraId="75CCB513" w14:textId="77777777" w:rsidR="00710506" w:rsidRPr="00710506" w:rsidRDefault="00710506" w:rsidP="00710506">
            <w:pPr>
              <w:rPr>
                <w:rFonts w:eastAsia="Times New Roman" w:cs="Times New Roman"/>
                <w:color w:val="000000"/>
              </w:rPr>
            </w:pPr>
            <w:r w:rsidRPr="00710506">
              <w:rPr>
                <w:rFonts w:eastAsia="Times New Roman" w:cs="Times New Roman"/>
                <w:color w:val="000000"/>
              </w:rPr>
              <w:t>Veraguas:Chorrera</w:t>
            </w:r>
          </w:p>
        </w:tc>
      </w:tr>
      <w:tr w:rsidR="00710506" w:rsidRPr="00710506" w14:paraId="20714BAF" w14:textId="77777777" w:rsidTr="00710506">
        <w:trPr>
          <w:trHeight w:val="380"/>
        </w:trPr>
        <w:tc>
          <w:tcPr>
            <w:tcW w:w="2960" w:type="dxa"/>
            <w:tcBorders>
              <w:top w:val="nil"/>
              <w:left w:val="single" w:sz="4" w:space="0" w:color="auto"/>
              <w:bottom w:val="single" w:sz="4" w:space="0" w:color="auto"/>
              <w:right w:val="single" w:sz="4" w:space="0" w:color="auto"/>
            </w:tcBorders>
            <w:shd w:val="clear" w:color="000000" w:fill="E7E6E6"/>
            <w:noWrap/>
            <w:vAlign w:val="bottom"/>
            <w:hideMark/>
          </w:tcPr>
          <w:p w14:paraId="7102968E" w14:textId="77777777" w:rsidR="00710506" w:rsidRPr="00710506" w:rsidRDefault="00710506" w:rsidP="00710506">
            <w:pPr>
              <w:rPr>
                <w:rFonts w:eastAsia="Times New Roman" w:cs="Times New Roman"/>
                <w:color w:val="000000"/>
              </w:rPr>
            </w:pPr>
            <w:r w:rsidRPr="00710506">
              <w:rPr>
                <w:rFonts w:eastAsia="Times New Roman" w:cs="Times New Roman"/>
                <w:color w:val="000000"/>
              </w:rPr>
              <w:t>Richness</w:t>
            </w:r>
          </w:p>
        </w:tc>
        <w:tc>
          <w:tcPr>
            <w:tcW w:w="2320" w:type="dxa"/>
            <w:tcBorders>
              <w:top w:val="nil"/>
              <w:left w:val="nil"/>
              <w:bottom w:val="single" w:sz="4" w:space="0" w:color="auto"/>
              <w:right w:val="single" w:sz="4" w:space="0" w:color="auto"/>
            </w:tcBorders>
            <w:shd w:val="clear" w:color="auto" w:fill="auto"/>
            <w:noWrap/>
            <w:vAlign w:val="bottom"/>
            <w:hideMark/>
          </w:tcPr>
          <w:p w14:paraId="0B56B9BA" w14:textId="77777777" w:rsidR="00710506" w:rsidRPr="00710506" w:rsidRDefault="00710506" w:rsidP="00710506">
            <w:pPr>
              <w:jc w:val="right"/>
              <w:rPr>
                <w:rFonts w:eastAsia="Times New Roman" w:cs="Times New Roman"/>
                <w:color w:val="000000"/>
              </w:rPr>
            </w:pPr>
            <w:r w:rsidRPr="00710506">
              <w:rPr>
                <w:rFonts w:eastAsia="Times New Roman" w:cs="Times New Roman"/>
                <w:color w:val="000000"/>
              </w:rPr>
              <w:t>0.45746</w:t>
            </w:r>
          </w:p>
        </w:tc>
        <w:tc>
          <w:tcPr>
            <w:tcW w:w="2320" w:type="dxa"/>
            <w:tcBorders>
              <w:top w:val="nil"/>
              <w:left w:val="nil"/>
              <w:bottom w:val="single" w:sz="4" w:space="0" w:color="auto"/>
              <w:right w:val="single" w:sz="4" w:space="0" w:color="auto"/>
            </w:tcBorders>
            <w:shd w:val="clear" w:color="000000" w:fill="FFFFFF"/>
            <w:noWrap/>
            <w:vAlign w:val="bottom"/>
            <w:hideMark/>
          </w:tcPr>
          <w:p w14:paraId="191FDD07" w14:textId="77777777" w:rsidR="00710506" w:rsidRPr="00710506" w:rsidRDefault="00710506" w:rsidP="00710506">
            <w:pPr>
              <w:jc w:val="right"/>
              <w:rPr>
                <w:rFonts w:eastAsia="Times New Roman" w:cs="Times New Roman"/>
                <w:b/>
                <w:bCs/>
                <w:color w:val="000000"/>
              </w:rPr>
            </w:pPr>
            <w:r w:rsidRPr="00710506">
              <w:rPr>
                <w:rFonts w:eastAsia="Times New Roman" w:cs="Times New Roman"/>
                <w:b/>
                <w:bCs/>
                <w:color w:val="000000"/>
              </w:rPr>
              <w:t>2.50E-04</w:t>
            </w:r>
          </w:p>
        </w:tc>
        <w:tc>
          <w:tcPr>
            <w:tcW w:w="2320" w:type="dxa"/>
            <w:tcBorders>
              <w:top w:val="nil"/>
              <w:left w:val="nil"/>
              <w:bottom w:val="single" w:sz="4" w:space="0" w:color="auto"/>
              <w:right w:val="single" w:sz="4" w:space="0" w:color="auto"/>
            </w:tcBorders>
            <w:shd w:val="clear" w:color="000000" w:fill="FFFFFF"/>
            <w:noWrap/>
            <w:vAlign w:val="bottom"/>
            <w:hideMark/>
          </w:tcPr>
          <w:p w14:paraId="766F21D1" w14:textId="77777777" w:rsidR="00710506" w:rsidRPr="00710506" w:rsidRDefault="00710506" w:rsidP="00710506">
            <w:pPr>
              <w:jc w:val="right"/>
              <w:rPr>
                <w:rFonts w:eastAsia="Times New Roman" w:cs="Times New Roman"/>
                <w:b/>
                <w:bCs/>
                <w:color w:val="000000"/>
              </w:rPr>
            </w:pPr>
            <w:r w:rsidRPr="00710506">
              <w:rPr>
                <w:rFonts w:eastAsia="Times New Roman" w:cs="Times New Roman"/>
                <w:b/>
                <w:bCs/>
                <w:color w:val="000000"/>
              </w:rPr>
              <w:t>2.60E-05</w:t>
            </w:r>
          </w:p>
        </w:tc>
      </w:tr>
      <w:tr w:rsidR="00710506" w:rsidRPr="00710506" w14:paraId="4A0D443A" w14:textId="77777777" w:rsidTr="00710506">
        <w:trPr>
          <w:trHeight w:val="380"/>
        </w:trPr>
        <w:tc>
          <w:tcPr>
            <w:tcW w:w="2960" w:type="dxa"/>
            <w:tcBorders>
              <w:top w:val="nil"/>
              <w:left w:val="single" w:sz="4" w:space="0" w:color="auto"/>
              <w:bottom w:val="single" w:sz="4" w:space="0" w:color="auto"/>
              <w:right w:val="single" w:sz="4" w:space="0" w:color="auto"/>
            </w:tcBorders>
            <w:shd w:val="clear" w:color="000000" w:fill="E7E6E6"/>
            <w:noWrap/>
            <w:vAlign w:val="bottom"/>
            <w:hideMark/>
          </w:tcPr>
          <w:p w14:paraId="35713CAF" w14:textId="77777777" w:rsidR="00710506" w:rsidRPr="00710506" w:rsidRDefault="00710506" w:rsidP="00710506">
            <w:pPr>
              <w:rPr>
                <w:rFonts w:eastAsia="Times New Roman" w:cs="Times New Roman"/>
                <w:color w:val="000000"/>
              </w:rPr>
            </w:pPr>
            <w:r w:rsidRPr="00710506">
              <w:rPr>
                <w:rFonts w:eastAsia="Times New Roman" w:cs="Times New Roman"/>
                <w:color w:val="000000"/>
              </w:rPr>
              <w:t>Shannon</w:t>
            </w:r>
          </w:p>
        </w:tc>
        <w:tc>
          <w:tcPr>
            <w:tcW w:w="2320" w:type="dxa"/>
            <w:tcBorders>
              <w:top w:val="nil"/>
              <w:left w:val="nil"/>
              <w:bottom w:val="single" w:sz="4" w:space="0" w:color="auto"/>
              <w:right w:val="single" w:sz="4" w:space="0" w:color="auto"/>
            </w:tcBorders>
            <w:shd w:val="clear" w:color="auto" w:fill="auto"/>
            <w:noWrap/>
            <w:vAlign w:val="bottom"/>
            <w:hideMark/>
          </w:tcPr>
          <w:p w14:paraId="5431E3AF" w14:textId="77777777" w:rsidR="00710506" w:rsidRPr="00710506" w:rsidRDefault="00710506" w:rsidP="00710506">
            <w:pPr>
              <w:jc w:val="right"/>
              <w:rPr>
                <w:rFonts w:eastAsia="Times New Roman" w:cs="Times New Roman"/>
                <w:color w:val="000000"/>
              </w:rPr>
            </w:pPr>
            <w:r w:rsidRPr="00710506">
              <w:rPr>
                <w:rFonts w:eastAsia="Times New Roman" w:cs="Times New Roman"/>
                <w:color w:val="000000"/>
              </w:rPr>
              <w:t>0.3904</w:t>
            </w:r>
          </w:p>
        </w:tc>
        <w:tc>
          <w:tcPr>
            <w:tcW w:w="2320" w:type="dxa"/>
            <w:tcBorders>
              <w:top w:val="nil"/>
              <w:left w:val="nil"/>
              <w:bottom w:val="single" w:sz="4" w:space="0" w:color="auto"/>
              <w:right w:val="single" w:sz="4" w:space="0" w:color="auto"/>
            </w:tcBorders>
            <w:shd w:val="clear" w:color="000000" w:fill="FFFFFF"/>
            <w:noWrap/>
            <w:vAlign w:val="bottom"/>
            <w:hideMark/>
          </w:tcPr>
          <w:p w14:paraId="18F88FD0" w14:textId="77777777" w:rsidR="00710506" w:rsidRPr="00710506" w:rsidRDefault="00710506" w:rsidP="00710506">
            <w:pPr>
              <w:jc w:val="right"/>
              <w:rPr>
                <w:rFonts w:eastAsia="Times New Roman" w:cs="Times New Roman"/>
                <w:b/>
                <w:bCs/>
                <w:color w:val="000000"/>
              </w:rPr>
            </w:pPr>
            <w:r w:rsidRPr="00710506">
              <w:rPr>
                <w:rFonts w:eastAsia="Times New Roman" w:cs="Times New Roman"/>
                <w:b/>
                <w:bCs/>
                <w:color w:val="000000"/>
              </w:rPr>
              <w:t>0.0015</w:t>
            </w:r>
          </w:p>
        </w:tc>
        <w:tc>
          <w:tcPr>
            <w:tcW w:w="2320" w:type="dxa"/>
            <w:tcBorders>
              <w:top w:val="nil"/>
              <w:left w:val="nil"/>
              <w:bottom w:val="single" w:sz="4" w:space="0" w:color="auto"/>
              <w:right w:val="single" w:sz="4" w:space="0" w:color="auto"/>
            </w:tcBorders>
            <w:shd w:val="clear" w:color="000000" w:fill="FFFFFF"/>
            <w:noWrap/>
            <w:vAlign w:val="bottom"/>
            <w:hideMark/>
          </w:tcPr>
          <w:p w14:paraId="12B1CCDF" w14:textId="77777777" w:rsidR="00710506" w:rsidRPr="00710506" w:rsidRDefault="00710506" w:rsidP="00710506">
            <w:pPr>
              <w:jc w:val="right"/>
              <w:rPr>
                <w:rFonts w:eastAsia="Times New Roman" w:cs="Times New Roman"/>
                <w:b/>
                <w:bCs/>
                <w:color w:val="000000"/>
              </w:rPr>
            </w:pPr>
            <w:r w:rsidRPr="00710506">
              <w:rPr>
                <w:rFonts w:eastAsia="Times New Roman" w:cs="Times New Roman"/>
                <w:b/>
                <w:bCs/>
                <w:color w:val="000000"/>
              </w:rPr>
              <w:t>1.40E-05</w:t>
            </w:r>
          </w:p>
        </w:tc>
      </w:tr>
      <w:tr w:rsidR="00710506" w:rsidRPr="00710506" w14:paraId="52B94A74" w14:textId="77777777" w:rsidTr="00710506">
        <w:trPr>
          <w:trHeight w:val="380"/>
        </w:trPr>
        <w:tc>
          <w:tcPr>
            <w:tcW w:w="2960" w:type="dxa"/>
            <w:tcBorders>
              <w:top w:val="nil"/>
              <w:left w:val="single" w:sz="4" w:space="0" w:color="auto"/>
              <w:bottom w:val="single" w:sz="4" w:space="0" w:color="auto"/>
              <w:right w:val="single" w:sz="4" w:space="0" w:color="auto"/>
            </w:tcBorders>
            <w:shd w:val="clear" w:color="000000" w:fill="E7E6E6"/>
            <w:noWrap/>
            <w:vAlign w:val="bottom"/>
            <w:hideMark/>
          </w:tcPr>
          <w:p w14:paraId="79FF4E44" w14:textId="77777777" w:rsidR="00710506" w:rsidRPr="00710506" w:rsidRDefault="00710506" w:rsidP="00710506">
            <w:pPr>
              <w:rPr>
                <w:rFonts w:eastAsia="Times New Roman" w:cs="Times New Roman"/>
                <w:color w:val="000000"/>
              </w:rPr>
            </w:pPr>
            <w:r w:rsidRPr="00710506">
              <w:rPr>
                <w:rFonts w:eastAsia="Times New Roman" w:cs="Times New Roman"/>
                <w:color w:val="000000"/>
              </w:rPr>
              <w:t>Faith</w:t>
            </w:r>
          </w:p>
        </w:tc>
        <w:tc>
          <w:tcPr>
            <w:tcW w:w="2320" w:type="dxa"/>
            <w:tcBorders>
              <w:top w:val="nil"/>
              <w:left w:val="nil"/>
              <w:bottom w:val="single" w:sz="4" w:space="0" w:color="auto"/>
              <w:right w:val="single" w:sz="4" w:space="0" w:color="auto"/>
            </w:tcBorders>
            <w:shd w:val="clear" w:color="auto" w:fill="auto"/>
            <w:noWrap/>
            <w:vAlign w:val="bottom"/>
            <w:hideMark/>
          </w:tcPr>
          <w:p w14:paraId="526A87CE" w14:textId="77777777" w:rsidR="00710506" w:rsidRPr="00710506" w:rsidRDefault="00710506" w:rsidP="00710506">
            <w:pPr>
              <w:jc w:val="right"/>
              <w:rPr>
                <w:rFonts w:eastAsia="Times New Roman" w:cs="Times New Roman"/>
                <w:color w:val="000000"/>
              </w:rPr>
            </w:pPr>
            <w:r w:rsidRPr="00710506">
              <w:rPr>
                <w:rFonts w:eastAsia="Times New Roman" w:cs="Times New Roman"/>
                <w:color w:val="000000"/>
              </w:rPr>
              <w:t>0.2</w:t>
            </w:r>
          </w:p>
        </w:tc>
        <w:tc>
          <w:tcPr>
            <w:tcW w:w="2320" w:type="dxa"/>
            <w:tcBorders>
              <w:top w:val="nil"/>
              <w:left w:val="nil"/>
              <w:bottom w:val="single" w:sz="4" w:space="0" w:color="auto"/>
              <w:right w:val="single" w:sz="4" w:space="0" w:color="auto"/>
            </w:tcBorders>
            <w:shd w:val="clear" w:color="000000" w:fill="FFFFFF"/>
            <w:noWrap/>
            <w:vAlign w:val="bottom"/>
            <w:hideMark/>
          </w:tcPr>
          <w:p w14:paraId="5BE8C27A" w14:textId="77777777" w:rsidR="00710506" w:rsidRPr="00710506" w:rsidRDefault="00710506" w:rsidP="00710506">
            <w:pPr>
              <w:jc w:val="right"/>
              <w:rPr>
                <w:rFonts w:eastAsia="Times New Roman" w:cs="Times New Roman"/>
                <w:b/>
                <w:bCs/>
                <w:color w:val="000000"/>
              </w:rPr>
            </w:pPr>
            <w:r w:rsidRPr="00710506">
              <w:rPr>
                <w:rFonts w:eastAsia="Times New Roman" w:cs="Times New Roman"/>
                <w:b/>
                <w:bCs/>
                <w:color w:val="000000"/>
              </w:rPr>
              <w:t>1.10E-05</w:t>
            </w:r>
          </w:p>
        </w:tc>
        <w:tc>
          <w:tcPr>
            <w:tcW w:w="2320" w:type="dxa"/>
            <w:tcBorders>
              <w:top w:val="nil"/>
              <w:left w:val="nil"/>
              <w:bottom w:val="single" w:sz="4" w:space="0" w:color="auto"/>
              <w:right w:val="single" w:sz="4" w:space="0" w:color="auto"/>
            </w:tcBorders>
            <w:shd w:val="clear" w:color="000000" w:fill="FFFFFF"/>
            <w:noWrap/>
            <w:vAlign w:val="bottom"/>
            <w:hideMark/>
          </w:tcPr>
          <w:p w14:paraId="0B799798" w14:textId="77777777" w:rsidR="00710506" w:rsidRPr="00710506" w:rsidRDefault="00710506" w:rsidP="00710506">
            <w:pPr>
              <w:jc w:val="right"/>
              <w:rPr>
                <w:rFonts w:eastAsia="Times New Roman" w:cs="Times New Roman"/>
                <w:b/>
                <w:bCs/>
                <w:color w:val="000000"/>
              </w:rPr>
            </w:pPr>
            <w:r w:rsidRPr="00710506">
              <w:rPr>
                <w:rFonts w:eastAsia="Times New Roman" w:cs="Times New Roman"/>
                <w:b/>
                <w:bCs/>
                <w:color w:val="000000"/>
              </w:rPr>
              <w:t>2.70E-05</w:t>
            </w:r>
          </w:p>
        </w:tc>
      </w:tr>
      <w:tr w:rsidR="00710506" w:rsidRPr="00710506" w14:paraId="12EFCED5" w14:textId="77777777" w:rsidTr="00710506">
        <w:trPr>
          <w:trHeight w:val="380"/>
        </w:trPr>
        <w:tc>
          <w:tcPr>
            <w:tcW w:w="2960" w:type="dxa"/>
            <w:tcBorders>
              <w:top w:val="nil"/>
              <w:left w:val="single" w:sz="4" w:space="0" w:color="auto"/>
              <w:bottom w:val="single" w:sz="4" w:space="0" w:color="auto"/>
              <w:right w:val="single" w:sz="4" w:space="0" w:color="auto"/>
            </w:tcBorders>
            <w:shd w:val="clear" w:color="000000" w:fill="E7E6E6"/>
            <w:noWrap/>
            <w:vAlign w:val="bottom"/>
            <w:hideMark/>
          </w:tcPr>
          <w:p w14:paraId="296A32BD" w14:textId="77777777" w:rsidR="00710506" w:rsidRPr="00710506" w:rsidRDefault="00710506" w:rsidP="00710506">
            <w:pPr>
              <w:rPr>
                <w:rFonts w:eastAsia="Times New Roman" w:cs="Times New Roman"/>
                <w:color w:val="000000"/>
              </w:rPr>
            </w:pPr>
            <w:r w:rsidRPr="00710506">
              <w:rPr>
                <w:rFonts w:eastAsia="Times New Roman" w:cs="Times New Roman"/>
                <w:color w:val="000000"/>
              </w:rPr>
              <w:t>Evenness</w:t>
            </w:r>
          </w:p>
        </w:tc>
        <w:tc>
          <w:tcPr>
            <w:tcW w:w="2320" w:type="dxa"/>
            <w:tcBorders>
              <w:top w:val="nil"/>
              <w:left w:val="nil"/>
              <w:bottom w:val="single" w:sz="4" w:space="0" w:color="auto"/>
              <w:right w:val="single" w:sz="4" w:space="0" w:color="auto"/>
            </w:tcBorders>
            <w:shd w:val="clear" w:color="auto" w:fill="auto"/>
            <w:noWrap/>
            <w:vAlign w:val="bottom"/>
            <w:hideMark/>
          </w:tcPr>
          <w:p w14:paraId="6A293408" w14:textId="77777777" w:rsidR="00710506" w:rsidRPr="00710506" w:rsidRDefault="00710506" w:rsidP="00710506">
            <w:pPr>
              <w:jc w:val="right"/>
              <w:rPr>
                <w:rFonts w:eastAsia="Times New Roman" w:cs="Times New Roman"/>
                <w:color w:val="000000"/>
              </w:rPr>
            </w:pPr>
            <w:r w:rsidRPr="00710506">
              <w:rPr>
                <w:rFonts w:eastAsia="Times New Roman" w:cs="Times New Roman"/>
                <w:color w:val="000000"/>
              </w:rPr>
              <w:t>0.32</w:t>
            </w:r>
          </w:p>
        </w:tc>
        <w:tc>
          <w:tcPr>
            <w:tcW w:w="2320" w:type="dxa"/>
            <w:tcBorders>
              <w:top w:val="nil"/>
              <w:left w:val="nil"/>
              <w:bottom w:val="single" w:sz="4" w:space="0" w:color="auto"/>
              <w:right w:val="single" w:sz="4" w:space="0" w:color="auto"/>
            </w:tcBorders>
            <w:shd w:val="clear" w:color="auto" w:fill="auto"/>
            <w:noWrap/>
            <w:vAlign w:val="bottom"/>
            <w:hideMark/>
          </w:tcPr>
          <w:p w14:paraId="49BDF9A9" w14:textId="77777777" w:rsidR="00710506" w:rsidRPr="00710506" w:rsidRDefault="00710506" w:rsidP="00710506">
            <w:pPr>
              <w:jc w:val="right"/>
              <w:rPr>
                <w:rFonts w:eastAsia="Times New Roman" w:cs="Times New Roman"/>
                <w:color w:val="000000"/>
              </w:rPr>
            </w:pPr>
            <w:r w:rsidRPr="00710506">
              <w:rPr>
                <w:rFonts w:eastAsia="Times New Roman" w:cs="Times New Roman"/>
                <w:color w:val="000000"/>
              </w:rPr>
              <w:t>0.32</w:t>
            </w:r>
          </w:p>
        </w:tc>
        <w:tc>
          <w:tcPr>
            <w:tcW w:w="2320" w:type="dxa"/>
            <w:tcBorders>
              <w:top w:val="nil"/>
              <w:left w:val="nil"/>
              <w:bottom w:val="single" w:sz="4" w:space="0" w:color="auto"/>
              <w:right w:val="single" w:sz="4" w:space="0" w:color="auto"/>
            </w:tcBorders>
            <w:shd w:val="clear" w:color="auto" w:fill="auto"/>
            <w:noWrap/>
            <w:vAlign w:val="bottom"/>
            <w:hideMark/>
          </w:tcPr>
          <w:p w14:paraId="181FB1AC" w14:textId="77777777" w:rsidR="00710506" w:rsidRPr="00710506" w:rsidRDefault="00710506" w:rsidP="00710506">
            <w:pPr>
              <w:jc w:val="right"/>
              <w:rPr>
                <w:rFonts w:eastAsia="Times New Roman" w:cs="Times New Roman"/>
                <w:color w:val="000000"/>
              </w:rPr>
            </w:pPr>
            <w:r w:rsidRPr="00710506">
              <w:rPr>
                <w:rFonts w:eastAsia="Times New Roman" w:cs="Times New Roman"/>
                <w:color w:val="000000"/>
              </w:rPr>
              <w:t>0.51</w:t>
            </w:r>
          </w:p>
        </w:tc>
      </w:tr>
    </w:tbl>
    <w:p w14:paraId="64B3BE8E" w14:textId="77777777" w:rsidR="00710506" w:rsidRPr="00A53C1D" w:rsidRDefault="00710506">
      <w:pPr>
        <w:rPr>
          <w:rFonts w:cs="Times New Roman"/>
          <w:b/>
          <w:bCs/>
        </w:rPr>
      </w:pPr>
    </w:p>
    <w:p w14:paraId="6968A37A" w14:textId="77777777" w:rsidR="00710506" w:rsidRPr="00A53C1D" w:rsidRDefault="00710506">
      <w:pPr>
        <w:rPr>
          <w:rFonts w:cs="Times New Roman"/>
          <w:b/>
          <w:bCs/>
        </w:rPr>
      </w:pPr>
    </w:p>
    <w:p w14:paraId="50B687E3" w14:textId="77777777" w:rsidR="001A41F9" w:rsidRPr="00A53C1D" w:rsidRDefault="00710506">
      <w:pPr>
        <w:rPr>
          <w:rFonts w:cs="Times New Roman"/>
          <w:b/>
          <w:bCs/>
        </w:rPr>
        <w:sectPr w:rsidR="001A41F9" w:rsidRPr="00A53C1D" w:rsidSect="006742BC">
          <w:pgSz w:w="12240" w:h="15840"/>
          <w:pgMar w:top="1440" w:right="1440" w:bottom="1440" w:left="1440" w:header="720" w:footer="720" w:gutter="0"/>
          <w:cols w:space="720"/>
          <w:docGrid w:linePitch="360"/>
        </w:sectPr>
      </w:pPr>
      <w:r w:rsidRPr="00A53C1D">
        <w:rPr>
          <w:rFonts w:cs="Times New Roman"/>
          <w:b/>
          <w:bCs/>
        </w:rPr>
        <w:br w:type="page"/>
      </w:r>
    </w:p>
    <w:p w14:paraId="3AE3A6E5" w14:textId="23933CF1" w:rsidR="00710506" w:rsidRPr="00A53C1D" w:rsidRDefault="00710506">
      <w:pPr>
        <w:rPr>
          <w:rFonts w:cs="Times New Roman"/>
          <w:b/>
          <w:bCs/>
        </w:rPr>
      </w:pPr>
    </w:p>
    <w:p w14:paraId="55CF3BE0" w14:textId="2D7D6698" w:rsidR="00A02BC1" w:rsidRPr="00A02BC1" w:rsidRDefault="00A02BC1" w:rsidP="00A02BC1">
      <w:pPr>
        <w:rPr>
          <w:rFonts w:cs="Times New Roman"/>
          <w:b/>
          <w:bCs/>
        </w:rPr>
      </w:pPr>
      <w:r w:rsidRPr="00A02BC1">
        <w:rPr>
          <w:rFonts w:cs="Times New Roman"/>
          <w:b/>
          <w:bCs/>
        </w:rPr>
        <w:t>Table 3.8 PERMANOVA and beta-dispersion results of pasture palms with unweighted and weighted UniFrac distance matrix</w:t>
      </w:r>
    </w:p>
    <w:p w14:paraId="4347C0D1" w14:textId="0A38EA54" w:rsidR="001A41F9" w:rsidRPr="00A02BC1" w:rsidRDefault="00A02BC1" w:rsidP="00A02BC1">
      <w:pPr>
        <w:rPr>
          <w:rFonts w:cs="Times New Roman"/>
        </w:rPr>
      </w:pPr>
      <w:r w:rsidRPr="00A02BC1">
        <w:rPr>
          <w:rFonts w:cs="Times New Roman"/>
        </w:rPr>
        <w:t>Results highlighted in boldface indicate p-values of less than 0.05.</w:t>
      </w:r>
    </w:p>
    <w:p w14:paraId="13EA18AC" w14:textId="77777777" w:rsidR="00D056A4" w:rsidRPr="00A53C1D" w:rsidRDefault="00D056A4">
      <w:pPr>
        <w:rPr>
          <w:rFonts w:cs="Times New Roman"/>
          <w:b/>
          <w:bCs/>
        </w:rPr>
      </w:pPr>
    </w:p>
    <w:p w14:paraId="0E55A8A5" w14:textId="77777777" w:rsidR="00D056A4" w:rsidRDefault="00D056A4">
      <w:pPr>
        <w:rPr>
          <w:rFonts w:cs="Times New Roman"/>
          <w:b/>
          <w:bCs/>
        </w:rPr>
      </w:pPr>
    </w:p>
    <w:p w14:paraId="73FF76EE" w14:textId="77777777" w:rsidR="00A02BC1" w:rsidRDefault="00A02BC1">
      <w:pPr>
        <w:rPr>
          <w:rFonts w:cs="Times New Roman"/>
          <w:b/>
          <w:bCs/>
        </w:rPr>
      </w:pPr>
    </w:p>
    <w:p w14:paraId="6DAD68E6" w14:textId="77777777" w:rsidR="00A02BC1" w:rsidRPr="00A53C1D" w:rsidRDefault="00A02BC1">
      <w:pPr>
        <w:rPr>
          <w:rFonts w:cs="Times New Roman"/>
          <w:b/>
          <w:bCs/>
        </w:rPr>
      </w:pPr>
    </w:p>
    <w:tbl>
      <w:tblPr>
        <w:tblW w:w="12020" w:type="dxa"/>
        <w:tblLook w:val="04A0" w:firstRow="1" w:lastRow="0" w:firstColumn="1" w:lastColumn="0" w:noHBand="0" w:noVBand="1"/>
      </w:tblPr>
      <w:tblGrid>
        <w:gridCol w:w="3980"/>
        <w:gridCol w:w="3620"/>
        <w:gridCol w:w="4420"/>
      </w:tblGrid>
      <w:tr w:rsidR="00D056A4" w:rsidRPr="00D056A4" w14:paraId="01E63318" w14:textId="77777777" w:rsidTr="00D056A4">
        <w:trPr>
          <w:trHeight w:val="380"/>
        </w:trPr>
        <w:tc>
          <w:tcPr>
            <w:tcW w:w="3980" w:type="dxa"/>
            <w:tcBorders>
              <w:top w:val="nil"/>
              <w:left w:val="nil"/>
              <w:bottom w:val="nil"/>
              <w:right w:val="single" w:sz="4" w:space="0" w:color="auto"/>
            </w:tcBorders>
            <w:shd w:val="clear" w:color="auto" w:fill="auto"/>
            <w:noWrap/>
            <w:vAlign w:val="bottom"/>
            <w:hideMark/>
          </w:tcPr>
          <w:p w14:paraId="56EBA867" w14:textId="77777777" w:rsidR="00D056A4" w:rsidRPr="00D056A4" w:rsidRDefault="00D056A4" w:rsidP="00D056A4">
            <w:pPr>
              <w:jc w:val="center"/>
              <w:rPr>
                <w:rFonts w:eastAsia="Times New Roman" w:cs="Times New Roman"/>
                <w:b/>
                <w:bCs/>
              </w:rPr>
            </w:pPr>
            <w:r w:rsidRPr="00D056A4">
              <w:rPr>
                <w:rFonts w:eastAsia="Times New Roman" w:cs="Times New Roman"/>
                <w:b/>
                <w:bCs/>
              </w:rPr>
              <w:t>PERMANOVA results</w:t>
            </w:r>
          </w:p>
        </w:tc>
        <w:tc>
          <w:tcPr>
            <w:tcW w:w="3620" w:type="dxa"/>
            <w:tcBorders>
              <w:top w:val="nil"/>
              <w:left w:val="nil"/>
              <w:bottom w:val="nil"/>
              <w:right w:val="nil"/>
            </w:tcBorders>
            <w:shd w:val="clear" w:color="auto" w:fill="auto"/>
            <w:noWrap/>
            <w:vAlign w:val="bottom"/>
            <w:hideMark/>
          </w:tcPr>
          <w:p w14:paraId="29A85887" w14:textId="77777777" w:rsidR="00D056A4" w:rsidRPr="00D056A4" w:rsidRDefault="00D056A4" w:rsidP="00D056A4">
            <w:pPr>
              <w:jc w:val="center"/>
              <w:rPr>
                <w:rFonts w:eastAsia="Times New Roman" w:cs="Times New Roman"/>
                <w:b/>
                <w:bCs/>
              </w:rPr>
            </w:pPr>
          </w:p>
        </w:tc>
        <w:tc>
          <w:tcPr>
            <w:tcW w:w="4420" w:type="dxa"/>
            <w:tcBorders>
              <w:top w:val="nil"/>
              <w:left w:val="nil"/>
              <w:bottom w:val="nil"/>
              <w:right w:val="nil"/>
            </w:tcBorders>
            <w:shd w:val="clear" w:color="auto" w:fill="auto"/>
            <w:noWrap/>
            <w:vAlign w:val="bottom"/>
            <w:hideMark/>
          </w:tcPr>
          <w:p w14:paraId="3A58F61B" w14:textId="77777777" w:rsidR="00D056A4" w:rsidRPr="00D056A4" w:rsidRDefault="00D056A4" w:rsidP="00D056A4">
            <w:pPr>
              <w:rPr>
                <w:rFonts w:eastAsia="Times New Roman" w:cs="Times New Roman"/>
              </w:rPr>
            </w:pPr>
          </w:p>
        </w:tc>
      </w:tr>
      <w:tr w:rsidR="00D056A4" w:rsidRPr="00D056A4" w14:paraId="74E4BED7" w14:textId="77777777" w:rsidTr="00D056A4">
        <w:trPr>
          <w:trHeight w:val="380"/>
        </w:trPr>
        <w:tc>
          <w:tcPr>
            <w:tcW w:w="3980" w:type="dxa"/>
            <w:tcBorders>
              <w:top w:val="nil"/>
              <w:left w:val="nil"/>
              <w:bottom w:val="single" w:sz="4" w:space="0" w:color="auto"/>
              <w:right w:val="single" w:sz="4" w:space="0" w:color="auto"/>
            </w:tcBorders>
            <w:shd w:val="clear" w:color="auto" w:fill="auto"/>
            <w:noWrap/>
            <w:vAlign w:val="bottom"/>
            <w:hideMark/>
          </w:tcPr>
          <w:p w14:paraId="7742C58E" w14:textId="77777777" w:rsidR="00D056A4" w:rsidRPr="00D056A4" w:rsidRDefault="00D056A4" w:rsidP="00D056A4">
            <w:pPr>
              <w:jc w:val="center"/>
              <w:rPr>
                <w:rFonts w:eastAsia="Times New Roman" w:cs="Times New Roman"/>
                <w:b/>
                <w:bCs/>
              </w:rPr>
            </w:pPr>
            <w:r w:rsidRPr="00D056A4">
              <w:rPr>
                <w:rFonts w:eastAsia="Times New Roman" w:cs="Times New Roman"/>
                <w:b/>
                <w:bCs/>
              </w:rPr>
              <w:t>Distance matrix</w:t>
            </w:r>
          </w:p>
        </w:tc>
        <w:tc>
          <w:tcPr>
            <w:tcW w:w="3620" w:type="dxa"/>
            <w:tcBorders>
              <w:top w:val="nil"/>
              <w:left w:val="nil"/>
              <w:bottom w:val="single" w:sz="4" w:space="0" w:color="auto"/>
              <w:right w:val="nil"/>
            </w:tcBorders>
            <w:shd w:val="clear" w:color="auto" w:fill="auto"/>
            <w:noWrap/>
            <w:vAlign w:val="bottom"/>
            <w:hideMark/>
          </w:tcPr>
          <w:p w14:paraId="57A1CE60" w14:textId="77777777" w:rsidR="00D056A4" w:rsidRPr="00D056A4" w:rsidRDefault="00D056A4" w:rsidP="00D056A4">
            <w:pPr>
              <w:jc w:val="center"/>
              <w:rPr>
                <w:rFonts w:eastAsia="Times New Roman" w:cs="Times New Roman"/>
              </w:rPr>
            </w:pPr>
            <w:r w:rsidRPr="00D056A4">
              <w:rPr>
                <w:rFonts w:eastAsia="Times New Roman" w:cs="Times New Roman"/>
              </w:rPr>
              <w:t>Unweighted UniFrac</w:t>
            </w:r>
          </w:p>
        </w:tc>
        <w:tc>
          <w:tcPr>
            <w:tcW w:w="4420" w:type="dxa"/>
            <w:tcBorders>
              <w:top w:val="nil"/>
              <w:left w:val="nil"/>
              <w:bottom w:val="single" w:sz="4" w:space="0" w:color="auto"/>
              <w:right w:val="nil"/>
            </w:tcBorders>
            <w:shd w:val="clear" w:color="auto" w:fill="auto"/>
            <w:noWrap/>
            <w:vAlign w:val="bottom"/>
            <w:hideMark/>
          </w:tcPr>
          <w:p w14:paraId="7577181B" w14:textId="77777777" w:rsidR="00D056A4" w:rsidRPr="00D056A4" w:rsidRDefault="00D056A4" w:rsidP="00D056A4">
            <w:pPr>
              <w:jc w:val="center"/>
              <w:rPr>
                <w:rFonts w:eastAsia="Times New Roman" w:cs="Times New Roman"/>
              </w:rPr>
            </w:pPr>
            <w:r w:rsidRPr="00D056A4">
              <w:rPr>
                <w:rFonts w:eastAsia="Times New Roman" w:cs="Times New Roman"/>
              </w:rPr>
              <w:t>Weighted UniFrac</w:t>
            </w:r>
          </w:p>
        </w:tc>
      </w:tr>
      <w:tr w:rsidR="00D056A4" w:rsidRPr="00D056A4" w14:paraId="0F5A87FC" w14:textId="77777777" w:rsidTr="00D056A4">
        <w:trPr>
          <w:trHeight w:val="380"/>
        </w:trPr>
        <w:tc>
          <w:tcPr>
            <w:tcW w:w="3980" w:type="dxa"/>
            <w:tcBorders>
              <w:top w:val="nil"/>
              <w:left w:val="nil"/>
              <w:bottom w:val="nil"/>
              <w:right w:val="single" w:sz="4" w:space="0" w:color="auto"/>
            </w:tcBorders>
            <w:shd w:val="clear" w:color="auto" w:fill="auto"/>
            <w:noWrap/>
            <w:vAlign w:val="bottom"/>
            <w:hideMark/>
          </w:tcPr>
          <w:p w14:paraId="067A21D7" w14:textId="77777777" w:rsidR="00D056A4" w:rsidRPr="00D056A4" w:rsidRDefault="00D056A4" w:rsidP="00D056A4">
            <w:pPr>
              <w:jc w:val="center"/>
              <w:rPr>
                <w:rFonts w:eastAsia="Times New Roman" w:cs="Times New Roman"/>
                <w:b/>
                <w:bCs/>
              </w:rPr>
            </w:pPr>
            <w:r w:rsidRPr="00D056A4">
              <w:rPr>
                <w:rFonts w:eastAsia="Times New Roman" w:cs="Times New Roman"/>
                <w:b/>
                <w:bCs/>
              </w:rPr>
              <w:t>test statistic name</w:t>
            </w:r>
          </w:p>
        </w:tc>
        <w:tc>
          <w:tcPr>
            <w:tcW w:w="3620" w:type="dxa"/>
            <w:tcBorders>
              <w:top w:val="nil"/>
              <w:left w:val="nil"/>
              <w:bottom w:val="nil"/>
              <w:right w:val="nil"/>
            </w:tcBorders>
            <w:shd w:val="clear" w:color="auto" w:fill="auto"/>
            <w:noWrap/>
            <w:vAlign w:val="bottom"/>
            <w:hideMark/>
          </w:tcPr>
          <w:p w14:paraId="1670DF98" w14:textId="77777777" w:rsidR="00D056A4" w:rsidRPr="00D056A4" w:rsidRDefault="00D056A4" w:rsidP="00D056A4">
            <w:pPr>
              <w:jc w:val="center"/>
              <w:rPr>
                <w:rFonts w:eastAsia="Times New Roman" w:cs="Times New Roman"/>
              </w:rPr>
            </w:pPr>
            <w:r w:rsidRPr="00D056A4">
              <w:rPr>
                <w:rFonts w:eastAsia="Times New Roman" w:cs="Times New Roman"/>
              </w:rPr>
              <w:t>pseudo-F</w:t>
            </w:r>
          </w:p>
        </w:tc>
        <w:tc>
          <w:tcPr>
            <w:tcW w:w="4420" w:type="dxa"/>
            <w:tcBorders>
              <w:top w:val="nil"/>
              <w:left w:val="nil"/>
              <w:bottom w:val="nil"/>
              <w:right w:val="nil"/>
            </w:tcBorders>
            <w:shd w:val="clear" w:color="auto" w:fill="auto"/>
            <w:noWrap/>
            <w:vAlign w:val="bottom"/>
            <w:hideMark/>
          </w:tcPr>
          <w:p w14:paraId="033E7D53" w14:textId="77777777" w:rsidR="00D056A4" w:rsidRPr="00D056A4" w:rsidRDefault="00D056A4" w:rsidP="00D056A4">
            <w:pPr>
              <w:jc w:val="center"/>
              <w:rPr>
                <w:rFonts w:eastAsia="Times New Roman" w:cs="Times New Roman"/>
              </w:rPr>
            </w:pPr>
            <w:r w:rsidRPr="00D056A4">
              <w:rPr>
                <w:rFonts w:eastAsia="Times New Roman" w:cs="Times New Roman"/>
              </w:rPr>
              <w:t>pseudo-F</w:t>
            </w:r>
          </w:p>
        </w:tc>
      </w:tr>
      <w:tr w:rsidR="00D056A4" w:rsidRPr="00D056A4" w14:paraId="37F2B8B2" w14:textId="77777777" w:rsidTr="00D056A4">
        <w:trPr>
          <w:trHeight w:val="380"/>
        </w:trPr>
        <w:tc>
          <w:tcPr>
            <w:tcW w:w="3980" w:type="dxa"/>
            <w:tcBorders>
              <w:top w:val="nil"/>
              <w:left w:val="nil"/>
              <w:bottom w:val="nil"/>
              <w:right w:val="single" w:sz="4" w:space="0" w:color="auto"/>
            </w:tcBorders>
            <w:shd w:val="clear" w:color="auto" w:fill="auto"/>
            <w:noWrap/>
            <w:vAlign w:val="bottom"/>
            <w:hideMark/>
          </w:tcPr>
          <w:p w14:paraId="1F1F962F" w14:textId="77777777" w:rsidR="00D056A4" w:rsidRPr="00D056A4" w:rsidRDefault="00D056A4" w:rsidP="00D056A4">
            <w:pPr>
              <w:jc w:val="center"/>
              <w:rPr>
                <w:rFonts w:eastAsia="Times New Roman" w:cs="Times New Roman"/>
                <w:b/>
                <w:bCs/>
              </w:rPr>
            </w:pPr>
            <w:r w:rsidRPr="00D056A4">
              <w:rPr>
                <w:rFonts w:eastAsia="Times New Roman" w:cs="Times New Roman"/>
                <w:b/>
                <w:bCs/>
              </w:rPr>
              <w:t>sample size</w:t>
            </w:r>
          </w:p>
        </w:tc>
        <w:tc>
          <w:tcPr>
            <w:tcW w:w="3620" w:type="dxa"/>
            <w:tcBorders>
              <w:top w:val="nil"/>
              <w:left w:val="nil"/>
              <w:bottom w:val="nil"/>
              <w:right w:val="nil"/>
            </w:tcBorders>
            <w:shd w:val="clear" w:color="auto" w:fill="auto"/>
            <w:noWrap/>
            <w:vAlign w:val="bottom"/>
            <w:hideMark/>
          </w:tcPr>
          <w:p w14:paraId="19D14612" w14:textId="77777777" w:rsidR="00D056A4" w:rsidRPr="00D056A4" w:rsidRDefault="00D056A4" w:rsidP="00D056A4">
            <w:pPr>
              <w:jc w:val="right"/>
              <w:rPr>
                <w:rFonts w:eastAsia="Times New Roman" w:cs="Times New Roman"/>
              </w:rPr>
            </w:pPr>
            <w:r w:rsidRPr="00D056A4">
              <w:rPr>
                <w:rFonts w:eastAsia="Times New Roman" w:cs="Times New Roman"/>
              </w:rPr>
              <w:t>164</w:t>
            </w:r>
          </w:p>
        </w:tc>
        <w:tc>
          <w:tcPr>
            <w:tcW w:w="4420" w:type="dxa"/>
            <w:tcBorders>
              <w:top w:val="nil"/>
              <w:left w:val="nil"/>
              <w:bottom w:val="nil"/>
              <w:right w:val="nil"/>
            </w:tcBorders>
            <w:shd w:val="clear" w:color="auto" w:fill="auto"/>
            <w:noWrap/>
            <w:vAlign w:val="bottom"/>
            <w:hideMark/>
          </w:tcPr>
          <w:p w14:paraId="0C79CE79" w14:textId="77777777" w:rsidR="00D056A4" w:rsidRPr="00D056A4" w:rsidRDefault="00D056A4" w:rsidP="00D056A4">
            <w:pPr>
              <w:jc w:val="right"/>
              <w:rPr>
                <w:rFonts w:eastAsia="Times New Roman" w:cs="Times New Roman"/>
              </w:rPr>
            </w:pPr>
            <w:r w:rsidRPr="00D056A4">
              <w:rPr>
                <w:rFonts w:eastAsia="Times New Roman" w:cs="Times New Roman"/>
              </w:rPr>
              <w:t>164</w:t>
            </w:r>
          </w:p>
        </w:tc>
      </w:tr>
      <w:tr w:rsidR="00D056A4" w:rsidRPr="00D056A4" w14:paraId="13069560" w14:textId="77777777" w:rsidTr="00D056A4">
        <w:trPr>
          <w:trHeight w:val="380"/>
        </w:trPr>
        <w:tc>
          <w:tcPr>
            <w:tcW w:w="3980" w:type="dxa"/>
            <w:tcBorders>
              <w:top w:val="nil"/>
              <w:left w:val="nil"/>
              <w:bottom w:val="nil"/>
              <w:right w:val="single" w:sz="4" w:space="0" w:color="auto"/>
            </w:tcBorders>
            <w:shd w:val="clear" w:color="auto" w:fill="auto"/>
            <w:noWrap/>
            <w:vAlign w:val="bottom"/>
            <w:hideMark/>
          </w:tcPr>
          <w:p w14:paraId="75A45C1A" w14:textId="77777777" w:rsidR="00D056A4" w:rsidRPr="00D056A4" w:rsidRDefault="00D056A4" w:rsidP="00D056A4">
            <w:pPr>
              <w:jc w:val="center"/>
              <w:rPr>
                <w:rFonts w:eastAsia="Times New Roman" w:cs="Times New Roman"/>
                <w:b/>
                <w:bCs/>
              </w:rPr>
            </w:pPr>
            <w:r w:rsidRPr="00D056A4">
              <w:rPr>
                <w:rFonts w:eastAsia="Times New Roman" w:cs="Times New Roman"/>
                <w:b/>
                <w:bCs/>
              </w:rPr>
              <w:t>number of groups</w:t>
            </w:r>
          </w:p>
        </w:tc>
        <w:tc>
          <w:tcPr>
            <w:tcW w:w="3620" w:type="dxa"/>
            <w:tcBorders>
              <w:top w:val="nil"/>
              <w:left w:val="nil"/>
              <w:bottom w:val="nil"/>
              <w:right w:val="nil"/>
            </w:tcBorders>
            <w:shd w:val="clear" w:color="auto" w:fill="auto"/>
            <w:noWrap/>
            <w:vAlign w:val="bottom"/>
            <w:hideMark/>
          </w:tcPr>
          <w:p w14:paraId="3D6E50AD" w14:textId="77777777" w:rsidR="00D056A4" w:rsidRPr="00D056A4" w:rsidRDefault="00D056A4" w:rsidP="00D056A4">
            <w:pPr>
              <w:jc w:val="right"/>
              <w:rPr>
                <w:rFonts w:eastAsia="Times New Roman" w:cs="Times New Roman"/>
              </w:rPr>
            </w:pPr>
            <w:r w:rsidRPr="00D056A4">
              <w:rPr>
                <w:rFonts w:eastAsia="Times New Roman" w:cs="Times New Roman"/>
              </w:rPr>
              <w:t>3</w:t>
            </w:r>
          </w:p>
        </w:tc>
        <w:tc>
          <w:tcPr>
            <w:tcW w:w="4420" w:type="dxa"/>
            <w:tcBorders>
              <w:top w:val="nil"/>
              <w:left w:val="nil"/>
              <w:bottom w:val="nil"/>
              <w:right w:val="nil"/>
            </w:tcBorders>
            <w:shd w:val="clear" w:color="auto" w:fill="auto"/>
            <w:noWrap/>
            <w:vAlign w:val="bottom"/>
            <w:hideMark/>
          </w:tcPr>
          <w:p w14:paraId="4C19C0CF" w14:textId="77777777" w:rsidR="00D056A4" w:rsidRPr="00D056A4" w:rsidRDefault="00D056A4" w:rsidP="00D056A4">
            <w:pPr>
              <w:jc w:val="right"/>
              <w:rPr>
                <w:rFonts w:eastAsia="Times New Roman" w:cs="Times New Roman"/>
              </w:rPr>
            </w:pPr>
            <w:r w:rsidRPr="00D056A4">
              <w:rPr>
                <w:rFonts w:eastAsia="Times New Roman" w:cs="Times New Roman"/>
              </w:rPr>
              <w:t>3</w:t>
            </w:r>
          </w:p>
        </w:tc>
      </w:tr>
      <w:tr w:rsidR="00D056A4" w:rsidRPr="00D056A4" w14:paraId="51ECA556" w14:textId="77777777" w:rsidTr="00D056A4">
        <w:trPr>
          <w:trHeight w:val="380"/>
        </w:trPr>
        <w:tc>
          <w:tcPr>
            <w:tcW w:w="3980" w:type="dxa"/>
            <w:tcBorders>
              <w:top w:val="nil"/>
              <w:left w:val="nil"/>
              <w:bottom w:val="nil"/>
              <w:right w:val="single" w:sz="4" w:space="0" w:color="auto"/>
            </w:tcBorders>
            <w:shd w:val="clear" w:color="auto" w:fill="auto"/>
            <w:noWrap/>
            <w:vAlign w:val="bottom"/>
            <w:hideMark/>
          </w:tcPr>
          <w:p w14:paraId="7E9D44FC" w14:textId="77777777" w:rsidR="00D056A4" w:rsidRPr="00D056A4" w:rsidRDefault="00D056A4" w:rsidP="00D056A4">
            <w:pPr>
              <w:jc w:val="center"/>
              <w:rPr>
                <w:rFonts w:eastAsia="Times New Roman" w:cs="Times New Roman"/>
                <w:b/>
                <w:bCs/>
              </w:rPr>
            </w:pPr>
            <w:r w:rsidRPr="00D056A4">
              <w:rPr>
                <w:rFonts w:eastAsia="Times New Roman" w:cs="Times New Roman"/>
                <w:b/>
                <w:bCs/>
              </w:rPr>
              <w:t>test statistic</w:t>
            </w:r>
          </w:p>
        </w:tc>
        <w:tc>
          <w:tcPr>
            <w:tcW w:w="3620" w:type="dxa"/>
            <w:tcBorders>
              <w:top w:val="nil"/>
              <w:left w:val="nil"/>
              <w:bottom w:val="nil"/>
              <w:right w:val="nil"/>
            </w:tcBorders>
            <w:shd w:val="clear" w:color="auto" w:fill="auto"/>
            <w:noWrap/>
            <w:vAlign w:val="bottom"/>
            <w:hideMark/>
          </w:tcPr>
          <w:p w14:paraId="726C71D4" w14:textId="77777777" w:rsidR="00D056A4" w:rsidRPr="00D056A4" w:rsidRDefault="00D056A4" w:rsidP="00D056A4">
            <w:pPr>
              <w:jc w:val="right"/>
              <w:rPr>
                <w:rFonts w:eastAsia="Times New Roman" w:cs="Times New Roman"/>
              </w:rPr>
            </w:pPr>
            <w:r w:rsidRPr="00D056A4">
              <w:rPr>
                <w:rFonts w:eastAsia="Times New Roman" w:cs="Times New Roman"/>
              </w:rPr>
              <w:t>9.195085</w:t>
            </w:r>
          </w:p>
        </w:tc>
        <w:tc>
          <w:tcPr>
            <w:tcW w:w="4420" w:type="dxa"/>
            <w:tcBorders>
              <w:top w:val="nil"/>
              <w:left w:val="nil"/>
              <w:bottom w:val="nil"/>
              <w:right w:val="nil"/>
            </w:tcBorders>
            <w:shd w:val="clear" w:color="auto" w:fill="auto"/>
            <w:noWrap/>
            <w:vAlign w:val="bottom"/>
            <w:hideMark/>
          </w:tcPr>
          <w:p w14:paraId="4557BCA3" w14:textId="77777777" w:rsidR="00D056A4" w:rsidRPr="00D056A4" w:rsidRDefault="00D056A4" w:rsidP="00D056A4">
            <w:pPr>
              <w:jc w:val="right"/>
              <w:rPr>
                <w:rFonts w:eastAsia="Times New Roman" w:cs="Times New Roman"/>
              </w:rPr>
            </w:pPr>
            <w:r w:rsidRPr="00D056A4">
              <w:rPr>
                <w:rFonts w:eastAsia="Times New Roman" w:cs="Times New Roman"/>
              </w:rPr>
              <w:t>13.223361</w:t>
            </w:r>
          </w:p>
        </w:tc>
      </w:tr>
      <w:tr w:rsidR="00D056A4" w:rsidRPr="00D056A4" w14:paraId="3BB32509" w14:textId="77777777" w:rsidTr="00D056A4">
        <w:trPr>
          <w:trHeight w:val="380"/>
        </w:trPr>
        <w:tc>
          <w:tcPr>
            <w:tcW w:w="3980" w:type="dxa"/>
            <w:tcBorders>
              <w:top w:val="nil"/>
              <w:left w:val="nil"/>
              <w:bottom w:val="nil"/>
              <w:right w:val="single" w:sz="4" w:space="0" w:color="auto"/>
            </w:tcBorders>
            <w:shd w:val="clear" w:color="auto" w:fill="auto"/>
            <w:noWrap/>
            <w:vAlign w:val="bottom"/>
            <w:hideMark/>
          </w:tcPr>
          <w:p w14:paraId="7E8FB233" w14:textId="77777777" w:rsidR="00D056A4" w:rsidRPr="00D056A4" w:rsidRDefault="00D056A4" w:rsidP="00D056A4">
            <w:pPr>
              <w:jc w:val="center"/>
              <w:rPr>
                <w:rFonts w:eastAsia="Times New Roman" w:cs="Times New Roman"/>
                <w:b/>
                <w:bCs/>
              </w:rPr>
            </w:pPr>
            <w:r w:rsidRPr="00D056A4">
              <w:rPr>
                <w:rFonts w:eastAsia="Times New Roman" w:cs="Times New Roman"/>
                <w:b/>
                <w:bCs/>
              </w:rPr>
              <w:t>PERMANOVA p-value</w:t>
            </w:r>
          </w:p>
        </w:tc>
        <w:tc>
          <w:tcPr>
            <w:tcW w:w="3620" w:type="dxa"/>
            <w:tcBorders>
              <w:top w:val="nil"/>
              <w:left w:val="nil"/>
              <w:bottom w:val="nil"/>
              <w:right w:val="nil"/>
            </w:tcBorders>
            <w:shd w:val="clear" w:color="auto" w:fill="auto"/>
            <w:noWrap/>
            <w:vAlign w:val="bottom"/>
            <w:hideMark/>
          </w:tcPr>
          <w:p w14:paraId="69B44630" w14:textId="77777777" w:rsidR="00D056A4" w:rsidRPr="00D056A4" w:rsidRDefault="00D056A4" w:rsidP="00D056A4">
            <w:pPr>
              <w:jc w:val="right"/>
              <w:rPr>
                <w:rFonts w:eastAsia="Times New Roman" w:cs="Times New Roman"/>
              </w:rPr>
            </w:pPr>
            <w:r w:rsidRPr="00D056A4">
              <w:rPr>
                <w:rFonts w:eastAsia="Times New Roman" w:cs="Times New Roman"/>
              </w:rPr>
              <w:t>0.001</w:t>
            </w:r>
          </w:p>
        </w:tc>
        <w:tc>
          <w:tcPr>
            <w:tcW w:w="4420" w:type="dxa"/>
            <w:tcBorders>
              <w:top w:val="nil"/>
              <w:left w:val="nil"/>
              <w:bottom w:val="nil"/>
              <w:right w:val="nil"/>
            </w:tcBorders>
            <w:shd w:val="clear" w:color="auto" w:fill="auto"/>
            <w:noWrap/>
            <w:vAlign w:val="bottom"/>
            <w:hideMark/>
          </w:tcPr>
          <w:p w14:paraId="43F57C6C" w14:textId="77777777" w:rsidR="00D056A4" w:rsidRPr="00D056A4" w:rsidRDefault="00D056A4" w:rsidP="00D056A4">
            <w:pPr>
              <w:jc w:val="right"/>
              <w:rPr>
                <w:rFonts w:eastAsia="Times New Roman" w:cs="Times New Roman"/>
                <w:b/>
                <w:bCs/>
              </w:rPr>
            </w:pPr>
            <w:r w:rsidRPr="00D056A4">
              <w:rPr>
                <w:rFonts w:eastAsia="Times New Roman" w:cs="Times New Roman"/>
                <w:b/>
                <w:bCs/>
              </w:rPr>
              <w:t>0.001</w:t>
            </w:r>
          </w:p>
        </w:tc>
      </w:tr>
      <w:tr w:rsidR="00D056A4" w:rsidRPr="00D056A4" w14:paraId="62B659CE" w14:textId="77777777" w:rsidTr="00D056A4">
        <w:trPr>
          <w:trHeight w:val="380"/>
        </w:trPr>
        <w:tc>
          <w:tcPr>
            <w:tcW w:w="3980" w:type="dxa"/>
            <w:tcBorders>
              <w:top w:val="nil"/>
              <w:left w:val="nil"/>
              <w:bottom w:val="nil"/>
              <w:right w:val="single" w:sz="4" w:space="0" w:color="auto"/>
            </w:tcBorders>
            <w:shd w:val="clear" w:color="auto" w:fill="auto"/>
            <w:noWrap/>
            <w:vAlign w:val="bottom"/>
            <w:hideMark/>
          </w:tcPr>
          <w:p w14:paraId="62A09007" w14:textId="77777777" w:rsidR="00D056A4" w:rsidRPr="00D056A4" w:rsidRDefault="00D056A4" w:rsidP="00D056A4">
            <w:pPr>
              <w:jc w:val="center"/>
              <w:rPr>
                <w:rFonts w:eastAsia="Times New Roman" w:cs="Times New Roman"/>
                <w:b/>
                <w:bCs/>
              </w:rPr>
            </w:pPr>
            <w:r w:rsidRPr="00D056A4">
              <w:rPr>
                <w:rFonts w:eastAsia="Times New Roman" w:cs="Times New Roman"/>
                <w:b/>
                <w:bCs/>
              </w:rPr>
              <w:t>Beta-dispersion p-value</w:t>
            </w:r>
          </w:p>
        </w:tc>
        <w:tc>
          <w:tcPr>
            <w:tcW w:w="3620" w:type="dxa"/>
            <w:tcBorders>
              <w:top w:val="nil"/>
              <w:left w:val="nil"/>
              <w:bottom w:val="nil"/>
              <w:right w:val="nil"/>
            </w:tcBorders>
            <w:shd w:val="clear" w:color="auto" w:fill="auto"/>
            <w:noWrap/>
            <w:vAlign w:val="bottom"/>
            <w:hideMark/>
          </w:tcPr>
          <w:p w14:paraId="44C23A81" w14:textId="77777777" w:rsidR="00D056A4" w:rsidRPr="00D056A4" w:rsidRDefault="00D056A4" w:rsidP="00D056A4">
            <w:pPr>
              <w:jc w:val="right"/>
              <w:rPr>
                <w:rFonts w:eastAsia="Times New Roman" w:cs="Times New Roman"/>
              </w:rPr>
            </w:pPr>
            <w:r w:rsidRPr="00D056A4">
              <w:rPr>
                <w:rFonts w:eastAsia="Times New Roman" w:cs="Times New Roman"/>
              </w:rPr>
              <w:t>0.127</w:t>
            </w:r>
          </w:p>
        </w:tc>
        <w:tc>
          <w:tcPr>
            <w:tcW w:w="4420" w:type="dxa"/>
            <w:tcBorders>
              <w:top w:val="nil"/>
              <w:left w:val="nil"/>
              <w:bottom w:val="nil"/>
              <w:right w:val="nil"/>
            </w:tcBorders>
            <w:shd w:val="clear" w:color="auto" w:fill="auto"/>
            <w:noWrap/>
            <w:vAlign w:val="bottom"/>
            <w:hideMark/>
          </w:tcPr>
          <w:p w14:paraId="6A4B3829" w14:textId="77777777" w:rsidR="00D056A4" w:rsidRPr="00D056A4" w:rsidRDefault="00D056A4" w:rsidP="00D056A4">
            <w:pPr>
              <w:jc w:val="right"/>
              <w:rPr>
                <w:rFonts w:eastAsia="Times New Roman" w:cs="Times New Roman"/>
                <w:b/>
                <w:bCs/>
              </w:rPr>
            </w:pPr>
            <w:r w:rsidRPr="00D056A4">
              <w:rPr>
                <w:rFonts w:eastAsia="Times New Roman" w:cs="Times New Roman"/>
                <w:b/>
                <w:bCs/>
              </w:rPr>
              <w:t>0.019</w:t>
            </w:r>
          </w:p>
        </w:tc>
      </w:tr>
      <w:tr w:rsidR="00D056A4" w:rsidRPr="00D056A4" w14:paraId="7959404F" w14:textId="77777777" w:rsidTr="00D056A4">
        <w:trPr>
          <w:trHeight w:val="380"/>
        </w:trPr>
        <w:tc>
          <w:tcPr>
            <w:tcW w:w="3980" w:type="dxa"/>
            <w:tcBorders>
              <w:top w:val="nil"/>
              <w:left w:val="nil"/>
              <w:bottom w:val="nil"/>
              <w:right w:val="single" w:sz="4" w:space="0" w:color="auto"/>
            </w:tcBorders>
            <w:shd w:val="clear" w:color="auto" w:fill="auto"/>
            <w:noWrap/>
            <w:vAlign w:val="bottom"/>
            <w:hideMark/>
          </w:tcPr>
          <w:p w14:paraId="08A016AC" w14:textId="77777777" w:rsidR="00D056A4" w:rsidRPr="00D056A4" w:rsidRDefault="00D056A4" w:rsidP="00D056A4">
            <w:pPr>
              <w:jc w:val="center"/>
              <w:rPr>
                <w:rFonts w:eastAsia="Times New Roman" w:cs="Times New Roman"/>
                <w:b/>
                <w:bCs/>
              </w:rPr>
            </w:pPr>
            <w:r w:rsidRPr="00D056A4">
              <w:rPr>
                <w:rFonts w:eastAsia="Times New Roman" w:cs="Times New Roman"/>
                <w:b/>
                <w:bCs/>
              </w:rPr>
              <w:t>number of permutations</w:t>
            </w:r>
          </w:p>
        </w:tc>
        <w:tc>
          <w:tcPr>
            <w:tcW w:w="3620" w:type="dxa"/>
            <w:tcBorders>
              <w:top w:val="nil"/>
              <w:left w:val="nil"/>
              <w:bottom w:val="nil"/>
              <w:right w:val="nil"/>
            </w:tcBorders>
            <w:shd w:val="clear" w:color="auto" w:fill="auto"/>
            <w:noWrap/>
            <w:vAlign w:val="bottom"/>
            <w:hideMark/>
          </w:tcPr>
          <w:p w14:paraId="00926801" w14:textId="77777777" w:rsidR="00D056A4" w:rsidRPr="00D056A4" w:rsidRDefault="00D056A4" w:rsidP="00D056A4">
            <w:pPr>
              <w:jc w:val="right"/>
              <w:rPr>
                <w:rFonts w:eastAsia="Times New Roman" w:cs="Times New Roman"/>
              </w:rPr>
            </w:pPr>
            <w:r w:rsidRPr="00D056A4">
              <w:rPr>
                <w:rFonts w:eastAsia="Times New Roman" w:cs="Times New Roman"/>
              </w:rPr>
              <w:t>999</w:t>
            </w:r>
          </w:p>
        </w:tc>
        <w:tc>
          <w:tcPr>
            <w:tcW w:w="4420" w:type="dxa"/>
            <w:tcBorders>
              <w:top w:val="nil"/>
              <w:left w:val="nil"/>
              <w:bottom w:val="nil"/>
              <w:right w:val="nil"/>
            </w:tcBorders>
            <w:shd w:val="clear" w:color="auto" w:fill="auto"/>
            <w:noWrap/>
            <w:vAlign w:val="bottom"/>
            <w:hideMark/>
          </w:tcPr>
          <w:p w14:paraId="0BACA597" w14:textId="77777777" w:rsidR="00D056A4" w:rsidRPr="00D056A4" w:rsidRDefault="00D056A4" w:rsidP="00D056A4">
            <w:pPr>
              <w:jc w:val="right"/>
              <w:rPr>
                <w:rFonts w:eastAsia="Times New Roman" w:cs="Times New Roman"/>
              </w:rPr>
            </w:pPr>
            <w:r w:rsidRPr="00D056A4">
              <w:rPr>
                <w:rFonts w:eastAsia="Times New Roman" w:cs="Times New Roman"/>
              </w:rPr>
              <w:t>999</w:t>
            </w:r>
          </w:p>
        </w:tc>
      </w:tr>
    </w:tbl>
    <w:p w14:paraId="3FA44435" w14:textId="77777777" w:rsidR="00D056A4" w:rsidRPr="00A53C1D" w:rsidRDefault="00D056A4">
      <w:pPr>
        <w:rPr>
          <w:rFonts w:cs="Times New Roman"/>
          <w:b/>
          <w:bCs/>
        </w:rPr>
      </w:pPr>
    </w:p>
    <w:p w14:paraId="7F3BAC6D" w14:textId="77777777" w:rsidR="007004E5" w:rsidRPr="00A53C1D" w:rsidRDefault="007004E5">
      <w:pPr>
        <w:rPr>
          <w:rFonts w:cs="Times New Roman"/>
          <w:b/>
          <w:bCs/>
        </w:rPr>
      </w:pPr>
    </w:p>
    <w:p w14:paraId="0587F020" w14:textId="15F4467C" w:rsidR="007004E5" w:rsidRPr="00A53C1D" w:rsidRDefault="007004E5">
      <w:pPr>
        <w:rPr>
          <w:rFonts w:cs="Times New Roman"/>
          <w:b/>
          <w:bCs/>
        </w:rPr>
      </w:pPr>
      <w:r w:rsidRPr="00A53C1D">
        <w:rPr>
          <w:rFonts w:cs="Times New Roman"/>
          <w:b/>
          <w:bCs/>
        </w:rPr>
        <w:br w:type="page"/>
      </w:r>
    </w:p>
    <w:p w14:paraId="14D6A7DA" w14:textId="3D9BD05A" w:rsidR="007004E5" w:rsidRPr="00A53C1D" w:rsidRDefault="007004E5" w:rsidP="007004E5">
      <w:pPr>
        <w:rPr>
          <w:rFonts w:cs="Times New Roman"/>
          <w:b/>
          <w:bCs/>
        </w:rPr>
      </w:pPr>
      <w:r w:rsidRPr="00A53C1D">
        <w:rPr>
          <w:rFonts w:cs="Times New Roman"/>
          <w:b/>
          <w:bCs/>
        </w:rPr>
        <w:lastRenderedPageBreak/>
        <w:t xml:space="preserve">Table </w:t>
      </w:r>
      <w:r w:rsidR="00FD07E9">
        <w:rPr>
          <w:rFonts w:cs="Times New Roman"/>
          <w:b/>
          <w:bCs/>
        </w:rPr>
        <w:t>3.</w:t>
      </w:r>
      <w:r w:rsidRPr="00A53C1D">
        <w:rPr>
          <w:rFonts w:cs="Times New Roman"/>
          <w:b/>
          <w:bCs/>
        </w:rPr>
        <w:t>9 PERMANOVAs testing the effects of region, blood meal type, and blood meal richness on community composition (unweighted) and structure (weighted) across pasture palms after accounting for palm identity and developmental stage</w:t>
      </w:r>
    </w:p>
    <w:p w14:paraId="3A330F9F" w14:textId="77777777" w:rsidR="007004E5" w:rsidRPr="00A53C1D" w:rsidRDefault="007004E5" w:rsidP="007004E5">
      <w:pPr>
        <w:rPr>
          <w:rFonts w:cs="Times New Roman"/>
        </w:rPr>
      </w:pPr>
      <w:r w:rsidRPr="00A53C1D">
        <w:rPr>
          <w:rFonts w:cs="Times New Roman"/>
        </w:rPr>
        <w:t>Results highlighted in boldface indicate p-values of less than 0.05.</w:t>
      </w:r>
    </w:p>
    <w:p w14:paraId="3FD6267B" w14:textId="77777777" w:rsidR="00B26737" w:rsidRPr="00A53C1D" w:rsidRDefault="00B26737" w:rsidP="007004E5">
      <w:pPr>
        <w:rPr>
          <w:rFonts w:cs="Times New Roman"/>
        </w:rPr>
      </w:pPr>
    </w:p>
    <w:tbl>
      <w:tblPr>
        <w:tblW w:w="13160" w:type="dxa"/>
        <w:tblLook w:val="04A0" w:firstRow="1" w:lastRow="0" w:firstColumn="1" w:lastColumn="0" w:noHBand="0" w:noVBand="1"/>
      </w:tblPr>
      <w:tblGrid>
        <w:gridCol w:w="2620"/>
        <w:gridCol w:w="1240"/>
        <w:gridCol w:w="1860"/>
        <w:gridCol w:w="1860"/>
        <w:gridCol w:w="1860"/>
        <w:gridCol w:w="1860"/>
        <w:gridCol w:w="1860"/>
      </w:tblGrid>
      <w:tr w:rsidR="00B26737" w:rsidRPr="00B26737" w14:paraId="34DBA5BD" w14:textId="77777777" w:rsidTr="00B26737">
        <w:trPr>
          <w:trHeight w:val="380"/>
        </w:trPr>
        <w:tc>
          <w:tcPr>
            <w:tcW w:w="2620" w:type="dxa"/>
            <w:tcBorders>
              <w:top w:val="nil"/>
              <w:left w:val="nil"/>
              <w:bottom w:val="nil"/>
              <w:right w:val="nil"/>
            </w:tcBorders>
            <w:shd w:val="clear" w:color="auto" w:fill="auto"/>
            <w:noWrap/>
            <w:vAlign w:val="bottom"/>
            <w:hideMark/>
          </w:tcPr>
          <w:p w14:paraId="0FCE4338" w14:textId="77777777" w:rsidR="00B26737" w:rsidRPr="00B26737" w:rsidRDefault="00B26737" w:rsidP="00B26737">
            <w:pPr>
              <w:rPr>
                <w:rFonts w:eastAsia="Times New Roman" w:cs="Times New Roman"/>
                <w:b/>
                <w:bCs/>
              </w:rPr>
            </w:pPr>
            <w:r w:rsidRPr="00B26737">
              <w:rPr>
                <w:rFonts w:eastAsia="Times New Roman" w:cs="Times New Roman"/>
                <w:b/>
                <w:bCs/>
              </w:rPr>
              <w:t>Unweighted UniFrac</w:t>
            </w:r>
          </w:p>
        </w:tc>
        <w:tc>
          <w:tcPr>
            <w:tcW w:w="1240" w:type="dxa"/>
            <w:tcBorders>
              <w:top w:val="nil"/>
              <w:left w:val="nil"/>
              <w:bottom w:val="nil"/>
              <w:right w:val="nil"/>
            </w:tcBorders>
            <w:shd w:val="clear" w:color="auto" w:fill="auto"/>
            <w:noWrap/>
            <w:vAlign w:val="bottom"/>
            <w:hideMark/>
          </w:tcPr>
          <w:p w14:paraId="76F57855" w14:textId="77777777" w:rsidR="00B26737" w:rsidRPr="00B26737" w:rsidRDefault="00B26737" w:rsidP="00B26737">
            <w:pPr>
              <w:rPr>
                <w:rFonts w:eastAsia="Times New Roman" w:cs="Times New Roman"/>
                <w:b/>
                <w:bCs/>
              </w:rPr>
            </w:pPr>
          </w:p>
        </w:tc>
        <w:tc>
          <w:tcPr>
            <w:tcW w:w="1860" w:type="dxa"/>
            <w:tcBorders>
              <w:top w:val="nil"/>
              <w:left w:val="nil"/>
              <w:bottom w:val="nil"/>
              <w:right w:val="nil"/>
            </w:tcBorders>
            <w:shd w:val="clear" w:color="auto" w:fill="auto"/>
            <w:noWrap/>
            <w:vAlign w:val="bottom"/>
            <w:hideMark/>
          </w:tcPr>
          <w:p w14:paraId="42164F89"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6CF621F2"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39811F53"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299B87E6"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4EB946BD" w14:textId="77777777" w:rsidR="00B26737" w:rsidRPr="00B26737" w:rsidRDefault="00B26737" w:rsidP="00B26737">
            <w:pPr>
              <w:rPr>
                <w:rFonts w:eastAsia="Times New Roman" w:cs="Times New Roman"/>
              </w:rPr>
            </w:pPr>
          </w:p>
        </w:tc>
      </w:tr>
      <w:tr w:rsidR="00B26737" w:rsidRPr="00B26737" w14:paraId="7371A019" w14:textId="77777777" w:rsidTr="00B26737">
        <w:trPr>
          <w:trHeight w:val="380"/>
        </w:trPr>
        <w:tc>
          <w:tcPr>
            <w:tcW w:w="2620" w:type="dxa"/>
            <w:tcBorders>
              <w:top w:val="nil"/>
              <w:left w:val="nil"/>
              <w:bottom w:val="single" w:sz="4" w:space="0" w:color="auto"/>
              <w:right w:val="nil"/>
            </w:tcBorders>
            <w:shd w:val="clear" w:color="auto" w:fill="auto"/>
            <w:noWrap/>
            <w:vAlign w:val="bottom"/>
            <w:hideMark/>
          </w:tcPr>
          <w:p w14:paraId="69721EC5" w14:textId="77777777" w:rsidR="00B26737" w:rsidRPr="00B26737" w:rsidRDefault="00B26737" w:rsidP="00B26737">
            <w:pPr>
              <w:rPr>
                <w:rFonts w:eastAsia="Times New Roman" w:cs="Times New Roman"/>
              </w:rPr>
            </w:pPr>
            <w:r w:rsidRPr="00B26737">
              <w:rPr>
                <w:rFonts w:eastAsia="Times New Roman" w:cs="Times New Roman"/>
              </w:rPr>
              <w:t> </w:t>
            </w:r>
          </w:p>
        </w:tc>
        <w:tc>
          <w:tcPr>
            <w:tcW w:w="1240" w:type="dxa"/>
            <w:tcBorders>
              <w:top w:val="nil"/>
              <w:left w:val="nil"/>
              <w:bottom w:val="single" w:sz="4" w:space="0" w:color="auto"/>
              <w:right w:val="nil"/>
            </w:tcBorders>
            <w:shd w:val="clear" w:color="auto" w:fill="auto"/>
            <w:noWrap/>
            <w:vAlign w:val="bottom"/>
            <w:hideMark/>
          </w:tcPr>
          <w:p w14:paraId="5A1366F9" w14:textId="77777777" w:rsidR="00B26737" w:rsidRPr="00B26737" w:rsidRDefault="00B26737" w:rsidP="00B26737">
            <w:pPr>
              <w:rPr>
                <w:rFonts w:eastAsia="Times New Roman" w:cs="Times New Roman"/>
                <w:b/>
                <w:bCs/>
              </w:rPr>
            </w:pPr>
            <w:r w:rsidRPr="00B26737">
              <w:rPr>
                <w:rFonts w:eastAsia="Times New Roman" w:cs="Times New Roman"/>
                <w:b/>
                <w:bCs/>
              </w:rPr>
              <w:t>Df</w:t>
            </w:r>
          </w:p>
        </w:tc>
        <w:tc>
          <w:tcPr>
            <w:tcW w:w="1860" w:type="dxa"/>
            <w:tcBorders>
              <w:top w:val="nil"/>
              <w:left w:val="nil"/>
              <w:bottom w:val="single" w:sz="4" w:space="0" w:color="auto"/>
              <w:right w:val="nil"/>
            </w:tcBorders>
            <w:shd w:val="clear" w:color="auto" w:fill="auto"/>
            <w:noWrap/>
            <w:vAlign w:val="bottom"/>
            <w:hideMark/>
          </w:tcPr>
          <w:p w14:paraId="35623E84" w14:textId="77777777" w:rsidR="00B26737" w:rsidRPr="00B26737" w:rsidRDefault="00B26737" w:rsidP="00B26737">
            <w:pPr>
              <w:rPr>
                <w:rFonts w:eastAsia="Times New Roman" w:cs="Times New Roman"/>
                <w:b/>
                <w:bCs/>
              </w:rPr>
            </w:pPr>
            <w:r w:rsidRPr="00B26737">
              <w:rPr>
                <w:rFonts w:eastAsia="Times New Roman" w:cs="Times New Roman"/>
                <w:b/>
                <w:bCs/>
              </w:rPr>
              <w:t>SumsOfSqs</w:t>
            </w:r>
          </w:p>
        </w:tc>
        <w:tc>
          <w:tcPr>
            <w:tcW w:w="1860" w:type="dxa"/>
            <w:tcBorders>
              <w:top w:val="nil"/>
              <w:left w:val="nil"/>
              <w:bottom w:val="single" w:sz="4" w:space="0" w:color="auto"/>
              <w:right w:val="nil"/>
            </w:tcBorders>
            <w:shd w:val="clear" w:color="auto" w:fill="auto"/>
            <w:noWrap/>
            <w:vAlign w:val="bottom"/>
            <w:hideMark/>
          </w:tcPr>
          <w:p w14:paraId="1505228D" w14:textId="77777777" w:rsidR="00B26737" w:rsidRPr="00B26737" w:rsidRDefault="00B26737" w:rsidP="00B26737">
            <w:pPr>
              <w:rPr>
                <w:rFonts w:eastAsia="Times New Roman" w:cs="Times New Roman"/>
                <w:b/>
                <w:bCs/>
              </w:rPr>
            </w:pPr>
            <w:r w:rsidRPr="00B26737">
              <w:rPr>
                <w:rFonts w:eastAsia="Times New Roman" w:cs="Times New Roman"/>
                <w:b/>
                <w:bCs/>
              </w:rPr>
              <w:t>MeanSqs</w:t>
            </w:r>
          </w:p>
        </w:tc>
        <w:tc>
          <w:tcPr>
            <w:tcW w:w="1860" w:type="dxa"/>
            <w:tcBorders>
              <w:top w:val="nil"/>
              <w:left w:val="nil"/>
              <w:bottom w:val="single" w:sz="4" w:space="0" w:color="auto"/>
              <w:right w:val="nil"/>
            </w:tcBorders>
            <w:shd w:val="clear" w:color="auto" w:fill="auto"/>
            <w:noWrap/>
            <w:vAlign w:val="bottom"/>
            <w:hideMark/>
          </w:tcPr>
          <w:p w14:paraId="010B317A" w14:textId="77777777" w:rsidR="00B26737" w:rsidRPr="00B26737" w:rsidRDefault="00B26737" w:rsidP="00B26737">
            <w:pPr>
              <w:rPr>
                <w:rFonts w:eastAsia="Times New Roman" w:cs="Times New Roman"/>
                <w:b/>
                <w:bCs/>
              </w:rPr>
            </w:pPr>
            <w:r w:rsidRPr="00B26737">
              <w:rPr>
                <w:rFonts w:eastAsia="Times New Roman" w:cs="Times New Roman"/>
                <w:b/>
                <w:bCs/>
              </w:rPr>
              <w:t>F.Model</w:t>
            </w:r>
          </w:p>
        </w:tc>
        <w:tc>
          <w:tcPr>
            <w:tcW w:w="1860" w:type="dxa"/>
            <w:tcBorders>
              <w:top w:val="nil"/>
              <w:left w:val="nil"/>
              <w:bottom w:val="single" w:sz="4" w:space="0" w:color="auto"/>
              <w:right w:val="nil"/>
            </w:tcBorders>
            <w:shd w:val="clear" w:color="auto" w:fill="auto"/>
            <w:noWrap/>
            <w:vAlign w:val="bottom"/>
            <w:hideMark/>
          </w:tcPr>
          <w:p w14:paraId="2575B5EB" w14:textId="77777777" w:rsidR="00B26737" w:rsidRPr="00B26737" w:rsidRDefault="00B26737" w:rsidP="00B26737">
            <w:pPr>
              <w:rPr>
                <w:rFonts w:eastAsia="Times New Roman" w:cs="Times New Roman"/>
                <w:b/>
                <w:bCs/>
              </w:rPr>
            </w:pPr>
            <w:r w:rsidRPr="00B26737">
              <w:rPr>
                <w:rFonts w:eastAsia="Times New Roman" w:cs="Times New Roman"/>
                <w:b/>
                <w:bCs/>
              </w:rPr>
              <w:t>R2</w:t>
            </w:r>
          </w:p>
        </w:tc>
        <w:tc>
          <w:tcPr>
            <w:tcW w:w="1860" w:type="dxa"/>
            <w:tcBorders>
              <w:top w:val="nil"/>
              <w:left w:val="nil"/>
              <w:bottom w:val="single" w:sz="4" w:space="0" w:color="auto"/>
              <w:right w:val="nil"/>
            </w:tcBorders>
            <w:shd w:val="clear" w:color="auto" w:fill="auto"/>
            <w:noWrap/>
            <w:vAlign w:val="bottom"/>
            <w:hideMark/>
          </w:tcPr>
          <w:p w14:paraId="2FD0AC60" w14:textId="77777777" w:rsidR="00B26737" w:rsidRPr="00B26737" w:rsidRDefault="00B26737" w:rsidP="00B26737">
            <w:pPr>
              <w:rPr>
                <w:rFonts w:eastAsia="Times New Roman" w:cs="Times New Roman"/>
                <w:b/>
                <w:bCs/>
              </w:rPr>
            </w:pPr>
            <w:r w:rsidRPr="00B26737">
              <w:rPr>
                <w:rFonts w:eastAsia="Times New Roman" w:cs="Times New Roman"/>
                <w:b/>
                <w:bCs/>
              </w:rPr>
              <w:t>p-value</w:t>
            </w:r>
          </w:p>
        </w:tc>
      </w:tr>
      <w:tr w:rsidR="00B26737" w:rsidRPr="00B26737" w14:paraId="33EBAAC9" w14:textId="77777777" w:rsidTr="00B26737">
        <w:trPr>
          <w:trHeight w:val="380"/>
        </w:trPr>
        <w:tc>
          <w:tcPr>
            <w:tcW w:w="2620" w:type="dxa"/>
            <w:tcBorders>
              <w:top w:val="nil"/>
              <w:left w:val="nil"/>
              <w:bottom w:val="nil"/>
              <w:right w:val="nil"/>
            </w:tcBorders>
            <w:shd w:val="clear" w:color="auto" w:fill="auto"/>
            <w:noWrap/>
            <w:vAlign w:val="bottom"/>
            <w:hideMark/>
          </w:tcPr>
          <w:p w14:paraId="6917D0A2" w14:textId="77777777" w:rsidR="00B26737" w:rsidRPr="00B26737" w:rsidRDefault="00B26737" w:rsidP="00B26737">
            <w:pPr>
              <w:rPr>
                <w:rFonts w:eastAsia="Times New Roman" w:cs="Times New Roman"/>
                <w:b/>
                <w:bCs/>
              </w:rPr>
            </w:pPr>
            <w:r w:rsidRPr="00B26737">
              <w:rPr>
                <w:rFonts w:eastAsia="Times New Roman" w:cs="Times New Roman"/>
                <w:b/>
                <w:bCs/>
              </w:rPr>
              <w:t>Palm identity</w:t>
            </w:r>
          </w:p>
        </w:tc>
        <w:tc>
          <w:tcPr>
            <w:tcW w:w="1240" w:type="dxa"/>
            <w:tcBorders>
              <w:top w:val="nil"/>
              <w:left w:val="nil"/>
              <w:bottom w:val="nil"/>
              <w:right w:val="nil"/>
            </w:tcBorders>
            <w:shd w:val="clear" w:color="auto" w:fill="auto"/>
            <w:noWrap/>
            <w:vAlign w:val="bottom"/>
            <w:hideMark/>
          </w:tcPr>
          <w:p w14:paraId="51ABCE83" w14:textId="77777777" w:rsidR="00B26737" w:rsidRPr="00B26737" w:rsidRDefault="00B26737" w:rsidP="00B26737">
            <w:pPr>
              <w:jc w:val="right"/>
              <w:rPr>
                <w:rFonts w:eastAsia="Times New Roman" w:cs="Times New Roman"/>
              </w:rPr>
            </w:pPr>
            <w:r w:rsidRPr="00B26737">
              <w:rPr>
                <w:rFonts w:eastAsia="Times New Roman" w:cs="Times New Roman"/>
              </w:rPr>
              <w:t>20</w:t>
            </w:r>
          </w:p>
        </w:tc>
        <w:tc>
          <w:tcPr>
            <w:tcW w:w="1860" w:type="dxa"/>
            <w:tcBorders>
              <w:top w:val="nil"/>
              <w:left w:val="nil"/>
              <w:bottom w:val="nil"/>
              <w:right w:val="nil"/>
            </w:tcBorders>
            <w:shd w:val="clear" w:color="auto" w:fill="auto"/>
            <w:noWrap/>
            <w:vAlign w:val="bottom"/>
            <w:hideMark/>
          </w:tcPr>
          <w:p w14:paraId="471E5480" w14:textId="77777777" w:rsidR="00B26737" w:rsidRPr="00B26737" w:rsidRDefault="00B26737" w:rsidP="00B26737">
            <w:pPr>
              <w:jc w:val="right"/>
              <w:rPr>
                <w:rFonts w:eastAsia="Times New Roman" w:cs="Times New Roman"/>
              </w:rPr>
            </w:pPr>
            <w:r w:rsidRPr="00B26737">
              <w:rPr>
                <w:rFonts w:eastAsia="Times New Roman" w:cs="Times New Roman"/>
              </w:rPr>
              <w:t>8.576488</w:t>
            </w:r>
          </w:p>
        </w:tc>
        <w:tc>
          <w:tcPr>
            <w:tcW w:w="1860" w:type="dxa"/>
            <w:tcBorders>
              <w:top w:val="nil"/>
              <w:left w:val="nil"/>
              <w:bottom w:val="nil"/>
              <w:right w:val="nil"/>
            </w:tcBorders>
            <w:shd w:val="clear" w:color="auto" w:fill="auto"/>
            <w:noWrap/>
            <w:vAlign w:val="bottom"/>
            <w:hideMark/>
          </w:tcPr>
          <w:p w14:paraId="719C9554" w14:textId="77777777" w:rsidR="00B26737" w:rsidRPr="00B26737" w:rsidRDefault="00B26737" w:rsidP="00B26737">
            <w:pPr>
              <w:jc w:val="right"/>
              <w:rPr>
                <w:rFonts w:eastAsia="Times New Roman" w:cs="Times New Roman"/>
              </w:rPr>
            </w:pPr>
            <w:r w:rsidRPr="00B26737">
              <w:rPr>
                <w:rFonts w:eastAsia="Times New Roman" w:cs="Times New Roman"/>
              </w:rPr>
              <w:t>0.428824</w:t>
            </w:r>
          </w:p>
        </w:tc>
        <w:tc>
          <w:tcPr>
            <w:tcW w:w="1860" w:type="dxa"/>
            <w:tcBorders>
              <w:top w:val="nil"/>
              <w:left w:val="nil"/>
              <w:bottom w:val="nil"/>
              <w:right w:val="nil"/>
            </w:tcBorders>
            <w:shd w:val="clear" w:color="auto" w:fill="auto"/>
            <w:noWrap/>
            <w:vAlign w:val="bottom"/>
            <w:hideMark/>
          </w:tcPr>
          <w:p w14:paraId="1F19A7C3" w14:textId="77777777" w:rsidR="00B26737" w:rsidRPr="00B26737" w:rsidRDefault="00B26737" w:rsidP="00B26737">
            <w:pPr>
              <w:jc w:val="right"/>
              <w:rPr>
                <w:rFonts w:eastAsia="Times New Roman" w:cs="Times New Roman"/>
              </w:rPr>
            </w:pPr>
            <w:r w:rsidRPr="00B26737">
              <w:rPr>
                <w:rFonts w:eastAsia="Times New Roman" w:cs="Times New Roman"/>
              </w:rPr>
              <w:t>2.76765</w:t>
            </w:r>
          </w:p>
        </w:tc>
        <w:tc>
          <w:tcPr>
            <w:tcW w:w="1860" w:type="dxa"/>
            <w:tcBorders>
              <w:top w:val="nil"/>
              <w:left w:val="nil"/>
              <w:bottom w:val="nil"/>
              <w:right w:val="nil"/>
            </w:tcBorders>
            <w:shd w:val="clear" w:color="auto" w:fill="auto"/>
            <w:noWrap/>
            <w:vAlign w:val="bottom"/>
            <w:hideMark/>
          </w:tcPr>
          <w:p w14:paraId="36459B36" w14:textId="77777777" w:rsidR="00B26737" w:rsidRPr="00B26737" w:rsidRDefault="00B26737" w:rsidP="00B26737">
            <w:pPr>
              <w:jc w:val="right"/>
              <w:rPr>
                <w:rFonts w:eastAsia="Times New Roman" w:cs="Times New Roman"/>
              </w:rPr>
            </w:pPr>
            <w:r w:rsidRPr="00B26737">
              <w:rPr>
                <w:rFonts w:eastAsia="Times New Roman" w:cs="Times New Roman"/>
              </w:rPr>
              <w:t>0.363399</w:t>
            </w:r>
          </w:p>
        </w:tc>
        <w:tc>
          <w:tcPr>
            <w:tcW w:w="1860" w:type="dxa"/>
            <w:tcBorders>
              <w:top w:val="nil"/>
              <w:left w:val="nil"/>
              <w:bottom w:val="nil"/>
              <w:right w:val="nil"/>
            </w:tcBorders>
            <w:shd w:val="clear" w:color="auto" w:fill="auto"/>
            <w:noWrap/>
            <w:vAlign w:val="bottom"/>
            <w:hideMark/>
          </w:tcPr>
          <w:p w14:paraId="27604960" w14:textId="77777777" w:rsidR="00B26737" w:rsidRPr="00B26737" w:rsidRDefault="00B26737" w:rsidP="00B26737">
            <w:pPr>
              <w:jc w:val="right"/>
              <w:rPr>
                <w:rFonts w:eastAsia="Times New Roman" w:cs="Times New Roman"/>
                <w:b/>
                <w:bCs/>
              </w:rPr>
            </w:pPr>
            <w:r w:rsidRPr="00B26737">
              <w:rPr>
                <w:rFonts w:eastAsia="Times New Roman" w:cs="Times New Roman"/>
                <w:b/>
                <w:bCs/>
              </w:rPr>
              <w:t>0.001</w:t>
            </w:r>
          </w:p>
        </w:tc>
      </w:tr>
      <w:tr w:rsidR="00B26737" w:rsidRPr="00B26737" w14:paraId="325D6CA8" w14:textId="77777777" w:rsidTr="00B26737">
        <w:trPr>
          <w:trHeight w:val="380"/>
        </w:trPr>
        <w:tc>
          <w:tcPr>
            <w:tcW w:w="2620" w:type="dxa"/>
            <w:tcBorders>
              <w:top w:val="nil"/>
              <w:left w:val="nil"/>
              <w:bottom w:val="nil"/>
              <w:right w:val="nil"/>
            </w:tcBorders>
            <w:shd w:val="clear" w:color="auto" w:fill="auto"/>
            <w:noWrap/>
            <w:vAlign w:val="bottom"/>
            <w:hideMark/>
          </w:tcPr>
          <w:p w14:paraId="7303C2B9" w14:textId="77777777" w:rsidR="00B26737" w:rsidRPr="00B26737" w:rsidRDefault="00B26737" w:rsidP="00B26737">
            <w:pPr>
              <w:rPr>
                <w:rFonts w:eastAsia="Times New Roman" w:cs="Times New Roman"/>
                <w:b/>
                <w:bCs/>
              </w:rPr>
            </w:pPr>
            <w:r w:rsidRPr="00B26737">
              <w:rPr>
                <w:rFonts w:eastAsia="Times New Roman" w:cs="Times New Roman"/>
                <w:b/>
                <w:bCs/>
              </w:rPr>
              <w:t>Age group</w:t>
            </w:r>
          </w:p>
        </w:tc>
        <w:tc>
          <w:tcPr>
            <w:tcW w:w="1240" w:type="dxa"/>
            <w:tcBorders>
              <w:top w:val="nil"/>
              <w:left w:val="nil"/>
              <w:bottom w:val="nil"/>
              <w:right w:val="nil"/>
            </w:tcBorders>
            <w:shd w:val="clear" w:color="auto" w:fill="auto"/>
            <w:noWrap/>
            <w:vAlign w:val="bottom"/>
            <w:hideMark/>
          </w:tcPr>
          <w:p w14:paraId="72522E03" w14:textId="77777777" w:rsidR="00B26737" w:rsidRPr="00B26737" w:rsidRDefault="00B26737" w:rsidP="00B26737">
            <w:pPr>
              <w:jc w:val="right"/>
              <w:rPr>
                <w:rFonts w:eastAsia="Times New Roman" w:cs="Times New Roman"/>
              </w:rPr>
            </w:pPr>
            <w:r w:rsidRPr="00B26737">
              <w:rPr>
                <w:rFonts w:eastAsia="Times New Roman" w:cs="Times New Roman"/>
              </w:rPr>
              <w:t>1</w:t>
            </w:r>
          </w:p>
        </w:tc>
        <w:tc>
          <w:tcPr>
            <w:tcW w:w="1860" w:type="dxa"/>
            <w:tcBorders>
              <w:top w:val="nil"/>
              <w:left w:val="nil"/>
              <w:bottom w:val="nil"/>
              <w:right w:val="nil"/>
            </w:tcBorders>
            <w:shd w:val="clear" w:color="auto" w:fill="auto"/>
            <w:noWrap/>
            <w:vAlign w:val="bottom"/>
            <w:hideMark/>
          </w:tcPr>
          <w:p w14:paraId="55BC1E34" w14:textId="77777777" w:rsidR="00B26737" w:rsidRPr="00B26737" w:rsidRDefault="00B26737" w:rsidP="00B26737">
            <w:pPr>
              <w:jc w:val="right"/>
              <w:rPr>
                <w:rFonts w:eastAsia="Times New Roman" w:cs="Times New Roman"/>
              </w:rPr>
            </w:pPr>
            <w:r w:rsidRPr="00B26737">
              <w:rPr>
                <w:rFonts w:eastAsia="Times New Roman" w:cs="Times New Roman"/>
              </w:rPr>
              <w:t>0.622197</w:t>
            </w:r>
          </w:p>
        </w:tc>
        <w:tc>
          <w:tcPr>
            <w:tcW w:w="1860" w:type="dxa"/>
            <w:tcBorders>
              <w:top w:val="nil"/>
              <w:left w:val="nil"/>
              <w:bottom w:val="nil"/>
              <w:right w:val="nil"/>
            </w:tcBorders>
            <w:shd w:val="clear" w:color="auto" w:fill="auto"/>
            <w:noWrap/>
            <w:vAlign w:val="bottom"/>
            <w:hideMark/>
          </w:tcPr>
          <w:p w14:paraId="2CDF8722" w14:textId="77777777" w:rsidR="00B26737" w:rsidRPr="00B26737" w:rsidRDefault="00B26737" w:rsidP="00B26737">
            <w:pPr>
              <w:jc w:val="right"/>
              <w:rPr>
                <w:rFonts w:eastAsia="Times New Roman" w:cs="Times New Roman"/>
              </w:rPr>
            </w:pPr>
            <w:r w:rsidRPr="00B26737">
              <w:rPr>
                <w:rFonts w:eastAsia="Times New Roman" w:cs="Times New Roman"/>
              </w:rPr>
              <w:t>0.622197</w:t>
            </w:r>
          </w:p>
        </w:tc>
        <w:tc>
          <w:tcPr>
            <w:tcW w:w="1860" w:type="dxa"/>
            <w:tcBorders>
              <w:top w:val="nil"/>
              <w:left w:val="nil"/>
              <w:bottom w:val="nil"/>
              <w:right w:val="nil"/>
            </w:tcBorders>
            <w:shd w:val="clear" w:color="auto" w:fill="auto"/>
            <w:noWrap/>
            <w:vAlign w:val="bottom"/>
            <w:hideMark/>
          </w:tcPr>
          <w:p w14:paraId="164FFFD1" w14:textId="77777777" w:rsidR="00B26737" w:rsidRPr="00B26737" w:rsidRDefault="00B26737" w:rsidP="00B26737">
            <w:pPr>
              <w:jc w:val="right"/>
              <w:rPr>
                <w:rFonts w:eastAsia="Times New Roman" w:cs="Times New Roman"/>
              </w:rPr>
            </w:pPr>
            <w:r w:rsidRPr="00B26737">
              <w:rPr>
                <w:rFonts w:eastAsia="Times New Roman" w:cs="Times New Roman"/>
              </w:rPr>
              <w:t>4.015681</w:t>
            </w:r>
          </w:p>
        </w:tc>
        <w:tc>
          <w:tcPr>
            <w:tcW w:w="1860" w:type="dxa"/>
            <w:tcBorders>
              <w:top w:val="nil"/>
              <w:left w:val="nil"/>
              <w:bottom w:val="nil"/>
              <w:right w:val="nil"/>
            </w:tcBorders>
            <w:shd w:val="clear" w:color="auto" w:fill="auto"/>
            <w:noWrap/>
            <w:vAlign w:val="bottom"/>
            <w:hideMark/>
          </w:tcPr>
          <w:p w14:paraId="1615ADF3" w14:textId="77777777" w:rsidR="00B26737" w:rsidRPr="00B26737" w:rsidRDefault="00B26737" w:rsidP="00B26737">
            <w:pPr>
              <w:jc w:val="right"/>
              <w:rPr>
                <w:rFonts w:eastAsia="Times New Roman" w:cs="Times New Roman"/>
              </w:rPr>
            </w:pPr>
            <w:r w:rsidRPr="00B26737">
              <w:rPr>
                <w:rFonts w:eastAsia="Times New Roman" w:cs="Times New Roman"/>
              </w:rPr>
              <w:t>0.026363</w:t>
            </w:r>
          </w:p>
        </w:tc>
        <w:tc>
          <w:tcPr>
            <w:tcW w:w="1860" w:type="dxa"/>
            <w:tcBorders>
              <w:top w:val="nil"/>
              <w:left w:val="nil"/>
              <w:bottom w:val="nil"/>
              <w:right w:val="nil"/>
            </w:tcBorders>
            <w:shd w:val="clear" w:color="auto" w:fill="auto"/>
            <w:noWrap/>
            <w:vAlign w:val="bottom"/>
            <w:hideMark/>
          </w:tcPr>
          <w:p w14:paraId="58BEFF85" w14:textId="77777777" w:rsidR="00B26737" w:rsidRPr="00B26737" w:rsidRDefault="00B26737" w:rsidP="00B26737">
            <w:pPr>
              <w:jc w:val="right"/>
              <w:rPr>
                <w:rFonts w:eastAsia="Times New Roman" w:cs="Times New Roman"/>
                <w:b/>
                <w:bCs/>
              </w:rPr>
            </w:pPr>
            <w:r w:rsidRPr="00B26737">
              <w:rPr>
                <w:rFonts w:eastAsia="Times New Roman" w:cs="Times New Roman"/>
                <w:b/>
                <w:bCs/>
              </w:rPr>
              <w:t>0.001</w:t>
            </w:r>
          </w:p>
        </w:tc>
      </w:tr>
      <w:tr w:rsidR="00B26737" w:rsidRPr="00B26737" w14:paraId="6D5EDC89" w14:textId="77777777" w:rsidTr="00B26737">
        <w:trPr>
          <w:trHeight w:val="380"/>
        </w:trPr>
        <w:tc>
          <w:tcPr>
            <w:tcW w:w="2620" w:type="dxa"/>
            <w:tcBorders>
              <w:top w:val="nil"/>
              <w:left w:val="nil"/>
              <w:bottom w:val="nil"/>
              <w:right w:val="nil"/>
            </w:tcBorders>
            <w:shd w:val="clear" w:color="auto" w:fill="auto"/>
            <w:noWrap/>
            <w:vAlign w:val="bottom"/>
            <w:hideMark/>
          </w:tcPr>
          <w:p w14:paraId="451E2C9E" w14:textId="77777777" w:rsidR="00B26737" w:rsidRPr="00B26737" w:rsidRDefault="00B26737" w:rsidP="00B26737">
            <w:pPr>
              <w:rPr>
                <w:rFonts w:eastAsia="Times New Roman" w:cs="Times New Roman"/>
                <w:b/>
                <w:bCs/>
              </w:rPr>
            </w:pPr>
            <w:r w:rsidRPr="00B26737">
              <w:rPr>
                <w:rFonts w:eastAsia="Times New Roman" w:cs="Times New Roman"/>
                <w:b/>
                <w:bCs/>
              </w:rPr>
              <w:t>Sampling region</w:t>
            </w:r>
          </w:p>
        </w:tc>
        <w:tc>
          <w:tcPr>
            <w:tcW w:w="1240" w:type="dxa"/>
            <w:tcBorders>
              <w:top w:val="nil"/>
              <w:left w:val="nil"/>
              <w:bottom w:val="nil"/>
              <w:right w:val="nil"/>
            </w:tcBorders>
            <w:shd w:val="clear" w:color="auto" w:fill="auto"/>
            <w:noWrap/>
            <w:vAlign w:val="bottom"/>
            <w:hideMark/>
          </w:tcPr>
          <w:p w14:paraId="31A27D18" w14:textId="77777777" w:rsidR="00B26737" w:rsidRPr="00B26737" w:rsidRDefault="00B26737" w:rsidP="00B26737">
            <w:pPr>
              <w:jc w:val="right"/>
              <w:rPr>
                <w:rFonts w:eastAsia="Times New Roman" w:cs="Times New Roman"/>
              </w:rPr>
            </w:pPr>
            <w:r w:rsidRPr="00B26737">
              <w:rPr>
                <w:rFonts w:eastAsia="Times New Roman" w:cs="Times New Roman"/>
              </w:rPr>
              <w:t>2</w:t>
            </w:r>
          </w:p>
        </w:tc>
        <w:tc>
          <w:tcPr>
            <w:tcW w:w="1860" w:type="dxa"/>
            <w:tcBorders>
              <w:top w:val="nil"/>
              <w:left w:val="nil"/>
              <w:bottom w:val="nil"/>
              <w:right w:val="nil"/>
            </w:tcBorders>
            <w:shd w:val="clear" w:color="auto" w:fill="auto"/>
            <w:noWrap/>
            <w:vAlign w:val="bottom"/>
            <w:hideMark/>
          </w:tcPr>
          <w:p w14:paraId="41A5D770" w14:textId="77777777" w:rsidR="00B26737" w:rsidRPr="00B26737" w:rsidRDefault="00B26737" w:rsidP="00B26737">
            <w:pPr>
              <w:jc w:val="right"/>
              <w:rPr>
                <w:rFonts w:eastAsia="Times New Roman" w:cs="Times New Roman"/>
              </w:rPr>
            </w:pPr>
            <w:r w:rsidRPr="00B26737">
              <w:rPr>
                <w:rFonts w:eastAsia="Times New Roman" w:cs="Times New Roman"/>
              </w:rPr>
              <w:t>0</w:t>
            </w:r>
          </w:p>
        </w:tc>
        <w:tc>
          <w:tcPr>
            <w:tcW w:w="1860" w:type="dxa"/>
            <w:tcBorders>
              <w:top w:val="nil"/>
              <w:left w:val="nil"/>
              <w:bottom w:val="nil"/>
              <w:right w:val="nil"/>
            </w:tcBorders>
            <w:shd w:val="clear" w:color="auto" w:fill="auto"/>
            <w:noWrap/>
            <w:vAlign w:val="bottom"/>
            <w:hideMark/>
          </w:tcPr>
          <w:p w14:paraId="1246B5BD" w14:textId="77777777" w:rsidR="00B26737" w:rsidRPr="00B26737" w:rsidRDefault="00B26737" w:rsidP="00B26737">
            <w:pPr>
              <w:jc w:val="right"/>
              <w:rPr>
                <w:rFonts w:eastAsia="Times New Roman" w:cs="Times New Roman"/>
              </w:rPr>
            </w:pPr>
            <w:r w:rsidRPr="00B26737">
              <w:rPr>
                <w:rFonts w:eastAsia="Times New Roman" w:cs="Times New Roman"/>
              </w:rPr>
              <w:t>0</w:t>
            </w:r>
          </w:p>
        </w:tc>
        <w:tc>
          <w:tcPr>
            <w:tcW w:w="1860" w:type="dxa"/>
            <w:tcBorders>
              <w:top w:val="nil"/>
              <w:left w:val="nil"/>
              <w:bottom w:val="nil"/>
              <w:right w:val="nil"/>
            </w:tcBorders>
            <w:shd w:val="clear" w:color="auto" w:fill="auto"/>
            <w:noWrap/>
            <w:vAlign w:val="bottom"/>
            <w:hideMark/>
          </w:tcPr>
          <w:p w14:paraId="3DB6C32A" w14:textId="77777777" w:rsidR="00B26737" w:rsidRPr="00B26737" w:rsidRDefault="00B26737" w:rsidP="00B26737">
            <w:pPr>
              <w:jc w:val="right"/>
              <w:rPr>
                <w:rFonts w:eastAsia="Times New Roman" w:cs="Times New Roman"/>
              </w:rPr>
            </w:pPr>
            <w:r w:rsidRPr="00B26737">
              <w:rPr>
                <w:rFonts w:eastAsia="Times New Roman" w:cs="Times New Roman"/>
              </w:rPr>
              <w:t>0</w:t>
            </w:r>
          </w:p>
        </w:tc>
        <w:tc>
          <w:tcPr>
            <w:tcW w:w="1860" w:type="dxa"/>
            <w:tcBorders>
              <w:top w:val="nil"/>
              <w:left w:val="nil"/>
              <w:bottom w:val="nil"/>
              <w:right w:val="nil"/>
            </w:tcBorders>
            <w:shd w:val="clear" w:color="auto" w:fill="auto"/>
            <w:noWrap/>
            <w:vAlign w:val="bottom"/>
            <w:hideMark/>
          </w:tcPr>
          <w:p w14:paraId="276A023E" w14:textId="77777777" w:rsidR="00B26737" w:rsidRPr="00B26737" w:rsidRDefault="00B26737" w:rsidP="00B26737">
            <w:pPr>
              <w:jc w:val="right"/>
              <w:rPr>
                <w:rFonts w:eastAsia="Times New Roman" w:cs="Times New Roman"/>
              </w:rPr>
            </w:pPr>
            <w:r w:rsidRPr="00B26737">
              <w:rPr>
                <w:rFonts w:eastAsia="Times New Roman" w:cs="Times New Roman"/>
              </w:rPr>
              <w:t>0</w:t>
            </w:r>
          </w:p>
        </w:tc>
        <w:tc>
          <w:tcPr>
            <w:tcW w:w="1860" w:type="dxa"/>
            <w:tcBorders>
              <w:top w:val="nil"/>
              <w:left w:val="nil"/>
              <w:bottom w:val="nil"/>
              <w:right w:val="nil"/>
            </w:tcBorders>
            <w:shd w:val="clear" w:color="auto" w:fill="auto"/>
            <w:noWrap/>
            <w:vAlign w:val="bottom"/>
            <w:hideMark/>
          </w:tcPr>
          <w:p w14:paraId="28E4D227" w14:textId="77777777" w:rsidR="00B26737" w:rsidRPr="00B26737" w:rsidRDefault="00B26737" w:rsidP="00B26737">
            <w:pPr>
              <w:rPr>
                <w:rFonts w:eastAsia="Times New Roman" w:cs="Times New Roman"/>
              </w:rPr>
            </w:pPr>
            <w:r w:rsidRPr="00B26737">
              <w:rPr>
                <w:rFonts w:eastAsia="Times New Roman" w:cs="Times New Roman"/>
              </w:rPr>
              <w:t>NaN</w:t>
            </w:r>
          </w:p>
        </w:tc>
      </w:tr>
      <w:tr w:rsidR="00B26737" w:rsidRPr="00B26737" w14:paraId="02E2892F" w14:textId="77777777" w:rsidTr="00B26737">
        <w:trPr>
          <w:trHeight w:val="380"/>
        </w:trPr>
        <w:tc>
          <w:tcPr>
            <w:tcW w:w="2620" w:type="dxa"/>
            <w:tcBorders>
              <w:top w:val="nil"/>
              <w:left w:val="nil"/>
              <w:bottom w:val="nil"/>
              <w:right w:val="nil"/>
            </w:tcBorders>
            <w:shd w:val="clear" w:color="auto" w:fill="auto"/>
            <w:noWrap/>
            <w:vAlign w:val="bottom"/>
            <w:hideMark/>
          </w:tcPr>
          <w:p w14:paraId="6B3F60B7" w14:textId="77777777" w:rsidR="00B26737" w:rsidRPr="00B26737" w:rsidRDefault="00B26737" w:rsidP="00B26737">
            <w:pPr>
              <w:rPr>
                <w:rFonts w:eastAsia="Times New Roman" w:cs="Times New Roman"/>
                <w:b/>
                <w:bCs/>
              </w:rPr>
            </w:pPr>
            <w:r w:rsidRPr="00B26737">
              <w:rPr>
                <w:rFonts w:eastAsia="Times New Roman" w:cs="Times New Roman"/>
                <w:b/>
                <w:bCs/>
              </w:rPr>
              <w:t>Dominant blood meal</w:t>
            </w:r>
          </w:p>
        </w:tc>
        <w:tc>
          <w:tcPr>
            <w:tcW w:w="1240" w:type="dxa"/>
            <w:tcBorders>
              <w:top w:val="nil"/>
              <w:left w:val="nil"/>
              <w:bottom w:val="nil"/>
              <w:right w:val="nil"/>
            </w:tcBorders>
            <w:shd w:val="clear" w:color="auto" w:fill="auto"/>
            <w:noWrap/>
            <w:vAlign w:val="bottom"/>
            <w:hideMark/>
          </w:tcPr>
          <w:p w14:paraId="796E2A83" w14:textId="77777777" w:rsidR="00B26737" w:rsidRPr="00B26737" w:rsidRDefault="00B26737" w:rsidP="00B26737">
            <w:pPr>
              <w:jc w:val="right"/>
              <w:rPr>
                <w:rFonts w:eastAsia="Times New Roman" w:cs="Times New Roman"/>
              </w:rPr>
            </w:pPr>
            <w:r w:rsidRPr="00B26737">
              <w:rPr>
                <w:rFonts w:eastAsia="Times New Roman" w:cs="Times New Roman"/>
              </w:rPr>
              <w:t>8</w:t>
            </w:r>
          </w:p>
        </w:tc>
        <w:tc>
          <w:tcPr>
            <w:tcW w:w="1860" w:type="dxa"/>
            <w:tcBorders>
              <w:top w:val="nil"/>
              <w:left w:val="nil"/>
              <w:bottom w:val="nil"/>
              <w:right w:val="nil"/>
            </w:tcBorders>
            <w:shd w:val="clear" w:color="auto" w:fill="auto"/>
            <w:noWrap/>
            <w:vAlign w:val="bottom"/>
            <w:hideMark/>
          </w:tcPr>
          <w:p w14:paraId="1261E24C" w14:textId="77777777" w:rsidR="00B26737" w:rsidRPr="00B26737" w:rsidRDefault="00B26737" w:rsidP="00B26737">
            <w:pPr>
              <w:jc w:val="right"/>
              <w:rPr>
                <w:rFonts w:eastAsia="Times New Roman" w:cs="Times New Roman"/>
              </w:rPr>
            </w:pPr>
            <w:r w:rsidRPr="00B26737">
              <w:rPr>
                <w:rFonts w:eastAsia="Times New Roman" w:cs="Times New Roman"/>
              </w:rPr>
              <w:t>1.377352</w:t>
            </w:r>
          </w:p>
        </w:tc>
        <w:tc>
          <w:tcPr>
            <w:tcW w:w="1860" w:type="dxa"/>
            <w:tcBorders>
              <w:top w:val="nil"/>
              <w:left w:val="nil"/>
              <w:bottom w:val="nil"/>
              <w:right w:val="nil"/>
            </w:tcBorders>
            <w:shd w:val="clear" w:color="auto" w:fill="auto"/>
            <w:noWrap/>
            <w:vAlign w:val="bottom"/>
            <w:hideMark/>
          </w:tcPr>
          <w:p w14:paraId="50333714" w14:textId="77777777" w:rsidR="00B26737" w:rsidRPr="00B26737" w:rsidRDefault="00B26737" w:rsidP="00B26737">
            <w:pPr>
              <w:jc w:val="right"/>
              <w:rPr>
                <w:rFonts w:eastAsia="Times New Roman" w:cs="Times New Roman"/>
              </w:rPr>
            </w:pPr>
            <w:r w:rsidRPr="00B26737">
              <w:rPr>
                <w:rFonts w:eastAsia="Times New Roman" w:cs="Times New Roman"/>
              </w:rPr>
              <w:t>0.172169</w:t>
            </w:r>
          </w:p>
        </w:tc>
        <w:tc>
          <w:tcPr>
            <w:tcW w:w="1860" w:type="dxa"/>
            <w:tcBorders>
              <w:top w:val="nil"/>
              <w:left w:val="nil"/>
              <w:bottom w:val="nil"/>
              <w:right w:val="nil"/>
            </w:tcBorders>
            <w:shd w:val="clear" w:color="auto" w:fill="auto"/>
            <w:noWrap/>
            <w:vAlign w:val="bottom"/>
            <w:hideMark/>
          </w:tcPr>
          <w:p w14:paraId="57D4E051" w14:textId="77777777" w:rsidR="00B26737" w:rsidRPr="00B26737" w:rsidRDefault="00B26737" w:rsidP="00B26737">
            <w:pPr>
              <w:jc w:val="right"/>
              <w:rPr>
                <w:rFonts w:eastAsia="Times New Roman" w:cs="Times New Roman"/>
              </w:rPr>
            </w:pPr>
            <w:r w:rsidRPr="00B26737">
              <w:rPr>
                <w:rFonts w:eastAsia="Times New Roman" w:cs="Times New Roman"/>
              </w:rPr>
              <w:t>1.111186</w:t>
            </w:r>
          </w:p>
        </w:tc>
        <w:tc>
          <w:tcPr>
            <w:tcW w:w="1860" w:type="dxa"/>
            <w:tcBorders>
              <w:top w:val="nil"/>
              <w:left w:val="nil"/>
              <w:bottom w:val="nil"/>
              <w:right w:val="nil"/>
            </w:tcBorders>
            <w:shd w:val="clear" w:color="auto" w:fill="auto"/>
            <w:noWrap/>
            <w:vAlign w:val="bottom"/>
            <w:hideMark/>
          </w:tcPr>
          <w:p w14:paraId="1CAE6C67" w14:textId="77777777" w:rsidR="00B26737" w:rsidRPr="00B26737" w:rsidRDefault="00B26737" w:rsidP="00B26737">
            <w:pPr>
              <w:jc w:val="right"/>
              <w:rPr>
                <w:rFonts w:eastAsia="Times New Roman" w:cs="Times New Roman"/>
              </w:rPr>
            </w:pPr>
            <w:r w:rsidRPr="00B26737">
              <w:rPr>
                <w:rFonts w:eastAsia="Times New Roman" w:cs="Times New Roman"/>
              </w:rPr>
              <w:t>0.058361</w:t>
            </w:r>
          </w:p>
        </w:tc>
        <w:tc>
          <w:tcPr>
            <w:tcW w:w="1860" w:type="dxa"/>
            <w:tcBorders>
              <w:top w:val="nil"/>
              <w:left w:val="nil"/>
              <w:bottom w:val="nil"/>
              <w:right w:val="nil"/>
            </w:tcBorders>
            <w:shd w:val="clear" w:color="auto" w:fill="auto"/>
            <w:noWrap/>
            <w:vAlign w:val="bottom"/>
            <w:hideMark/>
          </w:tcPr>
          <w:p w14:paraId="6A817140" w14:textId="77777777" w:rsidR="00B26737" w:rsidRPr="00B26737" w:rsidRDefault="00B26737" w:rsidP="00B26737">
            <w:pPr>
              <w:jc w:val="right"/>
              <w:rPr>
                <w:rFonts w:eastAsia="Times New Roman" w:cs="Times New Roman"/>
              </w:rPr>
            </w:pPr>
            <w:r w:rsidRPr="00B26737">
              <w:rPr>
                <w:rFonts w:eastAsia="Times New Roman" w:cs="Times New Roman"/>
              </w:rPr>
              <w:t>0.165</w:t>
            </w:r>
          </w:p>
        </w:tc>
      </w:tr>
      <w:tr w:rsidR="00B26737" w:rsidRPr="00B26737" w14:paraId="4E7C1037" w14:textId="77777777" w:rsidTr="00B26737">
        <w:trPr>
          <w:trHeight w:val="380"/>
        </w:trPr>
        <w:tc>
          <w:tcPr>
            <w:tcW w:w="2620" w:type="dxa"/>
            <w:tcBorders>
              <w:top w:val="nil"/>
              <w:left w:val="nil"/>
              <w:bottom w:val="nil"/>
              <w:right w:val="nil"/>
            </w:tcBorders>
            <w:shd w:val="clear" w:color="auto" w:fill="auto"/>
            <w:noWrap/>
            <w:vAlign w:val="bottom"/>
            <w:hideMark/>
          </w:tcPr>
          <w:p w14:paraId="47B576E3" w14:textId="77777777" w:rsidR="00B26737" w:rsidRPr="00B26737" w:rsidRDefault="00B26737" w:rsidP="00B26737">
            <w:pPr>
              <w:rPr>
                <w:rFonts w:eastAsia="Times New Roman" w:cs="Times New Roman"/>
                <w:b/>
                <w:bCs/>
              </w:rPr>
            </w:pPr>
            <w:r w:rsidRPr="00B26737">
              <w:rPr>
                <w:rFonts w:eastAsia="Times New Roman" w:cs="Times New Roman"/>
                <w:b/>
                <w:bCs/>
              </w:rPr>
              <w:t>Blood meal richness</w:t>
            </w:r>
          </w:p>
        </w:tc>
        <w:tc>
          <w:tcPr>
            <w:tcW w:w="1240" w:type="dxa"/>
            <w:tcBorders>
              <w:top w:val="nil"/>
              <w:left w:val="nil"/>
              <w:bottom w:val="nil"/>
              <w:right w:val="nil"/>
            </w:tcBorders>
            <w:shd w:val="clear" w:color="auto" w:fill="auto"/>
            <w:noWrap/>
            <w:vAlign w:val="bottom"/>
            <w:hideMark/>
          </w:tcPr>
          <w:p w14:paraId="179EBFC1" w14:textId="77777777" w:rsidR="00B26737" w:rsidRPr="00B26737" w:rsidRDefault="00B26737" w:rsidP="00B26737">
            <w:pPr>
              <w:jc w:val="right"/>
              <w:rPr>
                <w:rFonts w:eastAsia="Times New Roman" w:cs="Times New Roman"/>
              </w:rPr>
            </w:pPr>
            <w:r w:rsidRPr="00B26737">
              <w:rPr>
                <w:rFonts w:eastAsia="Times New Roman" w:cs="Times New Roman"/>
              </w:rPr>
              <w:t>3</w:t>
            </w:r>
          </w:p>
        </w:tc>
        <w:tc>
          <w:tcPr>
            <w:tcW w:w="1860" w:type="dxa"/>
            <w:tcBorders>
              <w:top w:val="nil"/>
              <w:left w:val="nil"/>
              <w:bottom w:val="nil"/>
              <w:right w:val="nil"/>
            </w:tcBorders>
            <w:shd w:val="clear" w:color="auto" w:fill="auto"/>
            <w:noWrap/>
            <w:vAlign w:val="bottom"/>
            <w:hideMark/>
          </w:tcPr>
          <w:p w14:paraId="402F1F10" w14:textId="77777777" w:rsidR="00B26737" w:rsidRPr="00B26737" w:rsidRDefault="00B26737" w:rsidP="00B26737">
            <w:pPr>
              <w:jc w:val="right"/>
              <w:rPr>
                <w:rFonts w:eastAsia="Times New Roman" w:cs="Times New Roman"/>
              </w:rPr>
            </w:pPr>
            <w:r w:rsidRPr="00B26737">
              <w:rPr>
                <w:rFonts w:eastAsia="Times New Roman" w:cs="Times New Roman"/>
              </w:rPr>
              <w:t>0.474423</w:t>
            </w:r>
          </w:p>
        </w:tc>
        <w:tc>
          <w:tcPr>
            <w:tcW w:w="1860" w:type="dxa"/>
            <w:tcBorders>
              <w:top w:val="nil"/>
              <w:left w:val="nil"/>
              <w:bottom w:val="nil"/>
              <w:right w:val="nil"/>
            </w:tcBorders>
            <w:shd w:val="clear" w:color="auto" w:fill="auto"/>
            <w:noWrap/>
            <w:vAlign w:val="bottom"/>
            <w:hideMark/>
          </w:tcPr>
          <w:p w14:paraId="6AC77B62" w14:textId="77777777" w:rsidR="00B26737" w:rsidRPr="00B26737" w:rsidRDefault="00B26737" w:rsidP="00B26737">
            <w:pPr>
              <w:jc w:val="right"/>
              <w:rPr>
                <w:rFonts w:eastAsia="Times New Roman" w:cs="Times New Roman"/>
              </w:rPr>
            </w:pPr>
            <w:r w:rsidRPr="00B26737">
              <w:rPr>
                <w:rFonts w:eastAsia="Times New Roman" w:cs="Times New Roman"/>
              </w:rPr>
              <w:t>0.158141</w:t>
            </w:r>
          </w:p>
        </w:tc>
        <w:tc>
          <w:tcPr>
            <w:tcW w:w="1860" w:type="dxa"/>
            <w:tcBorders>
              <w:top w:val="nil"/>
              <w:left w:val="nil"/>
              <w:bottom w:val="nil"/>
              <w:right w:val="nil"/>
            </w:tcBorders>
            <w:shd w:val="clear" w:color="auto" w:fill="auto"/>
            <w:noWrap/>
            <w:vAlign w:val="bottom"/>
            <w:hideMark/>
          </w:tcPr>
          <w:p w14:paraId="01D53EE3" w14:textId="77777777" w:rsidR="00B26737" w:rsidRPr="00B26737" w:rsidRDefault="00B26737" w:rsidP="00B26737">
            <w:pPr>
              <w:jc w:val="right"/>
              <w:rPr>
                <w:rFonts w:eastAsia="Times New Roman" w:cs="Times New Roman"/>
              </w:rPr>
            </w:pPr>
            <w:r w:rsidRPr="00B26737">
              <w:rPr>
                <w:rFonts w:eastAsia="Times New Roman" w:cs="Times New Roman"/>
              </w:rPr>
              <w:t>1.020648</w:t>
            </w:r>
          </w:p>
        </w:tc>
        <w:tc>
          <w:tcPr>
            <w:tcW w:w="1860" w:type="dxa"/>
            <w:tcBorders>
              <w:top w:val="nil"/>
              <w:left w:val="nil"/>
              <w:bottom w:val="nil"/>
              <w:right w:val="nil"/>
            </w:tcBorders>
            <w:shd w:val="clear" w:color="auto" w:fill="auto"/>
            <w:noWrap/>
            <w:vAlign w:val="bottom"/>
            <w:hideMark/>
          </w:tcPr>
          <w:p w14:paraId="6CDA4DAC" w14:textId="77777777" w:rsidR="00B26737" w:rsidRPr="00B26737" w:rsidRDefault="00B26737" w:rsidP="00B26737">
            <w:pPr>
              <w:jc w:val="right"/>
              <w:rPr>
                <w:rFonts w:eastAsia="Times New Roman" w:cs="Times New Roman"/>
              </w:rPr>
            </w:pPr>
            <w:r w:rsidRPr="00B26737">
              <w:rPr>
                <w:rFonts w:eastAsia="Times New Roman" w:cs="Times New Roman"/>
              </w:rPr>
              <w:t>0.020102</w:t>
            </w:r>
          </w:p>
        </w:tc>
        <w:tc>
          <w:tcPr>
            <w:tcW w:w="1860" w:type="dxa"/>
            <w:tcBorders>
              <w:top w:val="nil"/>
              <w:left w:val="nil"/>
              <w:bottom w:val="nil"/>
              <w:right w:val="nil"/>
            </w:tcBorders>
            <w:shd w:val="clear" w:color="auto" w:fill="auto"/>
            <w:noWrap/>
            <w:vAlign w:val="bottom"/>
            <w:hideMark/>
          </w:tcPr>
          <w:p w14:paraId="0DE2BD12" w14:textId="77777777" w:rsidR="00B26737" w:rsidRPr="00B26737" w:rsidRDefault="00B26737" w:rsidP="00B26737">
            <w:pPr>
              <w:jc w:val="right"/>
              <w:rPr>
                <w:rFonts w:eastAsia="Times New Roman" w:cs="Times New Roman"/>
              </w:rPr>
            </w:pPr>
            <w:r w:rsidRPr="00B26737">
              <w:rPr>
                <w:rFonts w:eastAsia="Times New Roman" w:cs="Times New Roman"/>
              </w:rPr>
              <w:t>0.395</w:t>
            </w:r>
          </w:p>
        </w:tc>
      </w:tr>
      <w:tr w:rsidR="00B26737" w:rsidRPr="00B26737" w14:paraId="30EDF2B5" w14:textId="77777777" w:rsidTr="00B26737">
        <w:trPr>
          <w:trHeight w:val="380"/>
        </w:trPr>
        <w:tc>
          <w:tcPr>
            <w:tcW w:w="2620" w:type="dxa"/>
            <w:tcBorders>
              <w:top w:val="nil"/>
              <w:left w:val="nil"/>
              <w:bottom w:val="nil"/>
              <w:right w:val="nil"/>
            </w:tcBorders>
            <w:shd w:val="clear" w:color="auto" w:fill="auto"/>
            <w:noWrap/>
            <w:vAlign w:val="bottom"/>
            <w:hideMark/>
          </w:tcPr>
          <w:p w14:paraId="0886DC0F" w14:textId="77777777" w:rsidR="00B26737" w:rsidRPr="00B26737" w:rsidRDefault="00B26737" w:rsidP="00B26737">
            <w:pPr>
              <w:rPr>
                <w:rFonts w:eastAsia="Times New Roman" w:cs="Times New Roman"/>
                <w:b/>
                <w:bCs/>
              </w:rPr>
            </w:pPr>
            <w:r w:rsidRPr="00B26737">
              <w:rPr>
                <w:rFonts w:eastAsia="Times New Roman" w:cs="Times New Roman"/>
                <w:b/>
                <w:bCs/>
              </w:rPr>
              <w:t>Residuals</w:t>
            </w:r>
          </w:p>
        </w:tc>
        <w:tc>
          <w:tcPr>
            <w:tcW w:w="1240" w:type="dxa"/>
            <w:tcBorders>
              <w:top w:val="nil"/>
              <w:left w:val="nil"/>
              <w:bottom w:val="nil"/>
              <w:right w:val="nil"/>
            </w:tcBorders>
            <w:shd w:val="clear" w:color="auto" w:fill="auto"/>
            <w:noWrap/>
            <w:vAlign w:val="bottom"/>
            <w:hideMark/>
          </w:tcPr>
          <w:p w14:paraId="38B4E944" w14:textId="77777777" w:rsidR="00B26737" w:rsidRPr="00B26737" w:rsidRDefault="00B26737" w:rsidP="00B26737">
            <w:pPr>
              <w:jc w:val="right"/>
              <w:rPr>
                <w:rFonts w:eastAsia="Times New Roman" w:cs="Times New Roman"/>
              </w:rPr>
            </w:pPr>
            <w:r w:rsidRPr="00B26737">
              <w:rPr>
                <w:rFonts w:eastAsia="Times New Roman" w:cs="Times New Roman"/>
              </w:rPr>
              <w:t>81</w:t>
            </w:r>
          </w:p>
        </w:tc>
        <w:tc>
          <w:tcPr>
            <w:tcW w:w="1860" w:type="dxa"/>
            <w:tcBorders>
              <w:top w:val="nil"/>
              <w:left w:val="nil"/>
              <w:bottom w:val="nil"/>
              <w:right w:val="nil"/>
            </w:tcBorders>
            <w:shd w:val="clear" w:color="auto" w:fill="auto"/>
            <w:noWrap/>
            <w:vAlign w:val="bottom"/>
            <w:hideMark/>
          </w:tcPr>
          <w:p w14:paraId="0F65A9ED" w14:textId="77777777" w:rsidR="00B26737" w:rsidRPr="00B26737" w:rsidRDefault="00B26737" w:rsidP="00B26737">
            <w:pPr>
              <w:jc w:val="right"/>
              <w:rPr>
                <w:rFonts w:eastAsia="Times New Roman" w:cs="Times New Roman"/>
              </w:rPr>
            </w:pPr>
            <w:r w:rsidRPr="00B26737">
              <w:rPr>
                <w:rFonts w:eastAsia="Times New Roman" w:cs="Times New Roman"/>
              </w:rPr>
              <w:t>12.550279</w:t>
            </w:r>
          </w:p>
        </w:tc>
        <w:tc>
          <w:tcPr>
            <w:tcW w:w="1860" w:type="dxa"/>
            <w:tcBorders>
              <w:top w:val="nil"/>
              <w:left w:val="nil"/>
              <w:bottom w:val="nil"/>
              <w:right w:val="nil"/>
            </w:tcBorders>
            <w:shd w:val="clear" w:color="auto" w:fill="auto"/>
            <w:noWrap/>
            <w:vAlign w:val="bottom"/>
            <w:hideMark/>
          </w:tcPr>
          <w:p w14:paraId="4A34A2DE" w14:textId="77777777" w:rsidR="00B26737" w:rsidRPr="00B26737" w:rsidRDefault="00B26737" w:rsidP="00B26737">
            <w:pPr>
              <w:jc w:val="right"/>
              <w:rPr>
                <w:rFonts w:eastAsia="Times New Roman" w:cs="Times New Roman"/>
              </w:rPr>
            </w:pPr>
            <w:r w:rsidRPr="00B26737">
              <w:rPr>
                <w:rFonts w:eastAsia="Times New Roman" w:cs="Times New Roman"/>
              </w:rPr>
              <w:t>0.154942</w:t>
            </w:r>
          </w:p>
        </w:tc>
        <w:tc>
          <w:tcPr>
            <w:tcW w:w="1860" w:type="dxa"/>
            <w:tcBorders>
              <w:top w:val="nil"/>
              <w:left w:val="nil"/>
              <w:bottom w:val="nil"/>
              <w:right w:val="nil"/>
            </w:tcBorders>
            <w:shd w:val="clear" w:color="auto" w:fill="auto"/>
            <w:noWrap/>
            <w:vAlign w:val="bottom"/>
            <w:hideMark/>
          </w:tcPr>
          <w:p w14:paraId="6058FA36" w14:textId="77777777" w:rsidR="00B26737" w:rsidRPr="00B26737" w:rsidRDefault="00B26737" w:rsidP="00B26737">
            <w:pPr>
              <w:rPr>
                <w:rFonts w:eastAsia="Times New Roman" w:cs="Times New Roman"/>
              </w:rPr>
            </w:pPr>
            <w:r w:rsidRPr="00B26737">
              <w:rPr>
                <w:rFonts w:eastAsia="Times New Roman" w:cs="Times New Roman"/>
              </w:rPr>
              <w:t>NaN</w:t>
            </w:r>
          </w:p>
        </w:tc>
        <w:tc>
          <w:tcPr>
            <w:tcW w:w="1860" w:type="dxa"/>
            <w:tcBorders>
              <w:top w:val="nil"/>
              <w:left w:val="nil"/>
              <w:bottom w:val="nil"/>
              <w:right w:val="nil"/>
            </w:tcBorders>
            <w:shd w:val="clear" w:color="auto" w:fill="auto"/>
            <w:noWrap/>
            <w:vAlign w:val="bottom"/>
            <w:hideMark/>
          </w:tcPr>
          <w:p w14:paraId="5083C21B" w14:textId="77777777" w:rsidR="00B26737" w:rsidRPr="00B26737" w:rsidRDefault="00B26737" w:rsidP="00B26737">
            <w:pPr>
              <w:jc w:val="right"/>
              <w:rPr>
                <w:rFonts w:eastAsia="Times New Roman" w:cs="Times New Roman"/>
              </w:rPr>
            </w:pPr>
            <w:r w:rsidRPr="00B26737">
              <w:rPr>
                <w:rFonts w:eastAsia="Times New Roman" w:cs="Times New Roman"/>
              </w:rPr>
              <w:t>0.531775</w:t>
            </w:r>
          </w:p>
        </w:tc>
        <w:tc>
          <w:tcPr>
            <w:tcW w:w="1860" w:type="dxa"/>
            <w:tcBorders>
              <w:top w:val="nil"/>
              <w:left w:val="nil"/>
              <w:bottom w:val="nil"/>
              <w:right w:val="nil"/>
            </w:tcBorders>
            <w:shd w:val="clear" w:color="auto" w:fill="auto"/>
            <w:noWrap/>
            <w:vAlign w:val="bottom"/>
            <w:hideMark/>
          </w:tcPr>
          <w:p w14:paraId="69BA7380" w14:textId="77777777" w:rsidR="00B26737" w:rsidRPr="00B26737" w:rsidRDefault="00B26737" w:rsidP="00B26737">
            <w:pPr>
              <w:rPr>
                <w:rFonts w:eastAsia="Times New Roman" w:cs="Times New Roman"/>
              </w:rPr>
            </w:pPr>
            <w:r w:rsidRPr="00B26737">
              <w:rPr>
                <w:rFonts w:eastAsia="Times New Roman" w:cs="Times New Roman"/>
              </w:rPr>
              <w:t>NaN</w:t>
            </w:r>
          </w:p>
        </w:tc>
      </w:tr>
      <w:tr w:rsidR="00B26737" w:rsidRPr="00B26737" w14:paraId="641242B6" w14:textId="77777777" w:rsidTr="00B26737">
        <w:trPr>
          <w:trHeight w:val="380"/>
        </w:trPr>
        <w:tc>
          <w:tcPr>
            <w:tcW w:w="2620" w:type="dxa"/>
            <w:tcBorders>
              <w:top w:val="nil"/>
              <w:left w:val="nil"/>
              <w:bottom w:val="nil"/>
              <w:right w:val="nil"/>
            </w:tcBorders>
            <w:shd w:val="clear" w:color="auto" w:fill="auto"/>
            <w:noWrap/>
            <w:vAlign w:val="bottom"/>
            <w:hideMark/>
          </w:tcPr>
          <w:p w14:paraId="3384D13D" w14:textId="77777777" w:rsidR="00B26737" w:rsidRPr="00B26737" w:rsidRDefault="00B26737" w:rsidP="00B26737">
            <w:pPr>
              <w:rPr>
                <w:rFonts w:eastAsia="Times New Roman" w:cs="Times New Roman"/>
                <w:b/>
                <w:bCs/>
              </w:rPr>
            </w:pPr>
            <w:r w:rsidRPr="00B26737">
              <w:rPr>
                <w:rFonts w:eastAsia="Times New Roman" w:cs="Times New Roman"/>
                <w:b/>
                <w:bCs/>
              </w:rPr>
              <w:t>Total</w:t>
            </w:r>
          </w:p>
        </w:tc>
        <w:tc>
          <w:tcPr>
            <w:tcW w:w="1240" w:type="dxa"/>
            <w:tcBorders>
              <w:top w:val="nil"/>
              <w:left w:val="nil"/>
              <w:bottom w:val="nil"/>
              <w:right w:val="nil"/>
            </w:tcBorders>
            <w:shd w:val="clear" w:color="auto" w:fill="auto"/>
            <w:noWrap/>
            <w:vAlign w:val="bottom"/>
            <w:hideMark/>
          </w:tcPr>
          <w:p w14:paraId="095BCF94" w14:textId="77777777" w:rsidR="00B26737" w:rsidRPr="00B26737" w:rsidRDefault="00B26737" w:rsidP="00B26737">
            <w:pPr>
              <w:jc w:val="right"/>
              <w:rPr>
                <w:rFonts w:eastAsia="Times New Roman" w:cs="Times New Roman"/>
              </w:rPr>
            </w:pPr>
            <w:r w:rsidRPr="00B26737">
              <w:rPr>
                <w:rFonts w:eastAsia="Times New Roman" w:cs="Times New Roman"/>
              </w:rPr>
              <w:t>113</w:t>
            </w:r>
          </w:p>
        </w:tc>
        <w:tc>
          <w:tcPr>
            <w:tcW w:w="1860" w:type="dxa"/>
            <w:tcBorders>
              <w:top w:val="nil"/>
              <w:left w:val="nil"/>
              <w:bottom w:val="nil"/>
              <w:right w:val="nil"/>
            </w:tcBorders>
            <w:shd w:val="clear" w:color="auto" w:fill="auto"/>
            <w:noWrap/>
            <w:vAlign w:val="bottom"/>
            <w:hideMark/>
          </w:tcPr>
          <w:p w14:paraId="22372002" w14:textId="77777777" w:rsidR="00B26737" w:rsidRPr="00B26737" w:rsidRDefault="00B26737" w:rsidP="00B26737">
            <w:pPr>
              <w:jc w:val="right"/>
              <w:rPr>
                <w:rFonts w:eastAsia="Times New Roman" w:cs="Times New Roman"/>
              </w:rPr>
            </w:pPr>
            <w:r w:rsidRPr="00B26737">
              <w:rPr>
                <w:rFonts w:eastAsia="Times New Roman" w:cs="Times New Roman"/>
              </w:rPr>
              <w:t>23.600739</w:t>
            </w:r>
          </w:p>
        </w:tc>
        <w:tc>
          <w:tcPr>
            <w:tcW w:w="1860" w:type="dxa"/>
            <w:tcBorders>
              <w:top w:val="nil"/>
              <w:left w:val="nil"/>
              <w:bottom w:val="nil"/>
              <w:right w:val="nil"/>
            </w:tcBorders>
            <w:shd w:val="clear" w:color="auto" w:fill="auto"/>
            <w:noWrap/>
            <w:vAlign w:val="bottom"/>
            <w:hideMark/>
          </w:tcPr>
          <w:p w14:paraId="37D3ABE4" w14:textId="77777777" w:rsidR="00B26737" w:rsidRPr="00B26737" w:rsidRDefault="00B26737" w:rsidP="00B26737">
            <w:pPr>
              <w:rPr>
                <w:rFonts w:eastAsia="Times New Roman" w:cs="Times New Roman"/>
              </w:rPr>
            </w:pPr>
            <w:r w:rsidRPr="00B26737">
              <w:rPr>
                <w:rFonts w:eastAsia="Times New Roman" w:cs="Times New Roman"/>
              </w:rPr>
              <w:t>NaN</w:t>
            </w:r>
          </w:p>
        </w:tc>
        <w:tc>
          <w:tcPr>
            <w:tcW w:w="1860" w:type="dxa"/>
            <w:tcBorders>
              <w:top w:val="nil"/>
              <w:left w:val="nil"/>
              <w:bottom w:val="nil"/>
              <w:right w:val="nil"/>
            </w:tcBorders>
            <w:shd w:val="clear" w:color="auto" w:fill="auto"/>
            <w:noWrap/>
            <w:vAlign w:val="bottom"/>
            <w:hideMark/>
          </w:tcPr>
          <w:p w14:paraId="4E762863" w14:textId="77777777" w:rsidR="00B26737" w:rsidRPr="00B26737" w:rsidRDefault="00B26737" w:rsidP="00B26737">
            <w:pPr>
              <w:rPr>
                <w:rFonts w:eastAsia="Times New Roman" w:cs="Times New Roman"/>
              </w:rPr>
            </w:pPr>
            <w:r w:rsidRPr="00B26737">
              <w:rPr>
                <w:rFonts w:eastAsia="Times New Roman" w:cs="Times New Roman"/>
              </w:rPr>
              <w:t>NaN</w:t>
            </w:r>
          </w:p>
        </w:tc>
        <w:tc>
          <w:tcPr>
            <w:tcW w:w="1860" w:type="dxa"/>
            <w:tcBorders>
              <w:top w:val="nil"/>
              <w:left w:val="nil"/>
              <w:bottom w:val="nil"/>
              <w:right w:val="nil"/>
            </w:tcBorders>
            <w:shd w:val="clear" w:color="auto" w:fill="auto"/>
            <w:noWrap/>
            <w:vAlign w:val="bottom"/>
            <w:hideMark/>
          </w:tcPr>
          <w:p w14:paraId="25F840A6" w14:textId="77777777" w:rsidR="00B26737" w:rsidRPr="00B26737" w:rsidRDefault="00B26737" w:rsidP="00B26737">
            <w:pPr>
              <w:jc w:val="right"/>
              <w:rPr>
                <w:rFonts w:eastAsia="Times New Roman" w:cs="Times New Roman"/>
              </w:rPr>
            </w:pPr>
            <w:r w:rsidRPr="00B26737">
              <w:rPr>
                <w:rFonts w:eastAsia="Times New Roman" w:cs="Times New Roman"/>
              </w:rPr>
              <w:t>1</w:t>
            </w:r>
          </w:p>
        </w:tc>
        <w:tc>
          <w:tcPr>
            <w:tcW w:w="1860" w:type="dxa"/>
            <w:tcBorders>
              <w:top w:val="nil"/>
              <w:left w:val="nil"/>
              <w:bottom w:val="nil"/>
              <w:right w:val="nil"/>
            </w:tcBorders>
            <w:shd w:val="clear" w:color="auto" w:fill="auto"/>
            <w:noWrap/>
            <w:vAlign w:val="bottom"/>
            <w:hideMark/>
          </w:tcPr>
          <w:p w14:paraId="3FD4DC3F" w14:textId="77777777" w:rsidR="00B26737" w:rsidRPr="00B26737" w:rsidRDefault="00B26737" w:rsidP="00B26737">
            <w:pPr>
              <w:rPr>
                <w:rFonts w:eastAsia="Times New Roman" w:cs="Times New Roman"/>
              </w:rPr>
            </w:pPr>
            <w:r w:rsidRPr="00B26737">
              <w:rPr>
                <w:rFonts w:eastAsia="Times New Roman" w:cs="Times New Roman"/>
              </w:rPr>
              <w:t>NaN</w:t>
            </w:r>
          </w:p>
        </w:tc>
      </w:tr>
      <w:tr w:rsidR="00B26737" w:rsidRPr="00B26737" w14:paraId="5EF292D5" w14:textId="77777777" w:rsidTr="00B26737">
        <w:trPr>
          <w:trHeight w:val="380"/>
        </w:trPr>
        <w:tc>
          <w:tcPr>
            <w:tcW w:w="2620" w:type="dxa"/>
            <w:tcBorders>
              <w:top w:val="nil"/>
              <w:left w:val="nil"/>
              <w:bottom w:val="nil"/>
              <w:right w:val="nil"/>
            </w:tcBorders>
            <w:shd w:val="clear" w:color="auto" w:fill="auto"/>
            <w:noWrap/>
            <w:vAlign w:val="bottom"/>
            <w:hideMark/>
          </w:tcPr>
          <w:p w14:paraId="2B963A8D" w14:textId="77777777" w:rsidR="00B26737" w:rsidRPr="00B26737" w:rsidRDefault="00B26737" w:rsidP="00B26737">
            <w:pPr>
              <w:rPr>
                <w:rFonts w:eastAsia="Times New Roman" w:cs="Times New Roman"/>
              </w:rPr>
            </w:pPr>
          </w:p>
        </w:tc>
        <w:tc>
          <w:tcPr>
            <w:tcW w:w="1240" w:type="dxa"/>
            <w:tcBorders>
              <w:top w:val="nil"/>
              <w:left w:val="nil"/>
              <w:bottom w:val="nil"/>
              <w:right w:val="nil"/>
            </w:tcBorders>
            <w:shd w:val="clear" w:color="auto" w:fill="auto"/>
            <w:noWrap/>
            <w:vAlign w:val="bottom"/>
            <w:hideMark/>
          </w:tcPr>
          <w:p w14:paraId="3D51056B"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6849BDAC"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6FFE6D96"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0EBF083C"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51AB9946"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3F23E41A" w14:textId="77777777" w:rsidR="00B26737" w:rsidRPr="00B26737" w:rsidRDefault="00B26737" w:rsidP="00B26737">
            <w:pPr>
              <w:rPr>
                <w:rFonts w:eastAsia="Times New Roman" w:cs="Times New Roman"/>
              </w:rPr>
            </w:pPr>
          </w:p>
        </w:tc>
      </w:tr>
      <w:tr w:rsidR="00B26737" w:rsidRPr="00B26737" w14:paraId="3BA554A4" w14:textId="77777777" w:rsidTr="00B26737">
        <w:trPr>
          <w:trHeight w:val="380"/>
        </w:trPr>
        <w:tc>
          <w:tcPr>
            <w:tcW w:w="2620" w:type="dxa"/>
            <w:tcBorders>
              <w:top w:val="nil"/>
              <w:left w:val="nil"/>
              <w:bottom w:val="nil"/>
              <w:right w:val="nil"/>
            </w:tcBorders>
            <w:shd w:val="clear" w:color="auto" w:fill="auto"/>
            <w:noWrap/>
            <w:vAlign w:val="bottom"/>
            <w:hideMark/>
          </w:tcPr>
          <w:p w14:paraId="1AF7E9F8" w14:textId="5F95E6D0" w:rsidR="00B26737" w:rsidRPr="00B26737" w:rsidRDefault="00B26737" w:rsidP="00B26737">
            <w:pPr>
              <w:rPr>
                <w:rFonts w:eastAsia="Times New Roman" w:cs="Times New Roman"/>
              </w:rPr>
            </w:pPr>
          </w:p>
        </w:tc>
        <w:tc>
          <w:tcPr>
            <w:tcW w:w="1240" w:type="dxa"/>
            <w:tcBorders>
              <w:top w:val="nil"/>
              <w:left w:val="nil"/>
              <w:bottom w:val="nil"/>
              <w:right w:val="nil"/>
            </w:tcBorders>
            <w:shd w:val="clear" w:color="auto" w:fill="auto"/>
            <w:noWrap/>
            <w:vAlign w:val="bottom"/>
            <w:hideMark/>
          </w:tcPr>
          <w:p w14:paraId="33D79AD9"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715C42CE"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7B7BE014"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5A505A39"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57A21964" w14:textId="77777777" w:rsidR="00B26737" w:rsidRPr="00B26737" w:rsidRDefault="00B26737"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00B5059F" w14:textId="77777777" w:rsidR="00B26737" w:rsidRPr="00B26737" w:rsidRDefault="00B26737" w:rsidP="00B26737">
            <w:pPr>
              <w:rPr>
                <w:rFonts w:eastAsia="Times New Roman" w:cs="Times New Roman"/>
              </w:rPr>
            </w:pPr>
          </w:p>
        </w:tc>
      </w:tr>
      <w:tr w:rsidR="00626BC1" w:rsidRPr="00B26737" w14:paraId="01AB7C21" w14:textId="77777777" w:rsidTr="00B26737">
        <w:trPr>
          <w:trHeight w:val="380"/>
        </w:trPr>
        <w:tc>
          <w:tcPr>
            <w:tcW w:w="2620" w:type="dxa"/>
            <w:tcBorders>
              <w:top w:val="nil"/>
              <w:left w:val="nil"/>
              <w:bottom w:val="nil"/>
              <w:right w:val="nil"/>
            </w:tcBorders>
            <w:shd w:val="clear" w:color="auto" w:fill="auto"/>
            <w:noWrap/>
            <w:vAlign w:val="bottom"/>
            <w:hideMark/>
          </w:tcPr>
          <w:p w14:paraId="50ACF40A" w14:textId="29CDC6EB" w:rsidR="00626BC1" w:rsidRPr="00B26737" w:rsidRDefault="00626BC1" w:rsidP="00B26737">
            <w:pPr>
              <w:rPr>
                <w:rFonts w:eastAsia="Times New Roman" w:cs="Times New Roman"/>
              </w:rPr>
            </w:pPr>
            <w:r w:rsidRPr="00B26737">
              <w:rPr>
                <w:rFonts w:eastAsia="Times New Roman" w:cs="Times New Roman"/>
                <w:b/>
                <w:bCs/>
              </w:rPr>
              <w:t>Weighted UniFrac</w:t>
            </w:r>
          </w:p>
        </w:tc>
        <w:tc>
          <w:tcPr>
            <w:tcW w:w="1240" w:type="dxa"/>
            <w:tcBorders>
              <w:top w:val="nil"/>
              <w:left w:val="nil"/>
              <w:bottom w:val="nil"/>
              <w:right w:val="nil"/>
            </w:tcBorders>
            <w:shd w:val="clear" w:color="auto" w:fill="auto"/>
            <w:noWrap/>
            <w:vAlign w:val="bottom"/>
            <w:hideMark/>
          </w:tcPr>
          <w:p w14:paraId="161B0E7C" w14:textId="77777777" w:rsidR="00626BC1" w:rsidRPr="00B26737" w:rsidRDefault="00626BC1"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27075F46" w14:textId="77777777" w:rsidR="00626BC1" w:rsidRPr="00B26737" w:rsidRDefault="00626BC1"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60DECB0E" w14:textId="77777777" w:rsidR="00626BC1" w:rsidRPr="00B26737" w:rsidRDefault="00626BC1"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5E20D4FD" w14:textId="77777777" w:rsidR="00626BC1" w:rsidRPr="00B26737" w:rsidRDefault="00626BC1"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2C97E63F" w14:textId="77777777" w:rsidR="00626BC1" w:rsidRPr="00B26737" w:rsidRDefault="00626BC1" w:rsidP="00B26737">
            <w:pPr>
              <w:rPr>
                <w:rFonts w:eastAsia="Times New Roman" w:cs="Times New Roman"/>
              </w:rPr>
            </w:pPr>
          </w:p>
        </w:tc>
        <w:tc>
          <w:tcPr>
            <w:tcW w:w="1860" w:type="dxa"/>
            <w:tcBorders>
              <w:top w:val="nil"/>
              <w:left w:val="nil"/>
              <w:bottom w:val="nil"/>
              <w:right w:val="nil"/>
            </w:tcBorders>
            <w:shd w:val="clear" w:color="auto" w:fill="auto"/>
            <w:noWrap/>
            <w:vAlign w:val="bottom"/>
            <w:hideMark/>
          </w:tcPr>
          <w:p w14:paraId="5A68CDC9" w14:textId="77777777" w:rsidR="00626BC1" w:rsidRPr="00B26737" w:rsidRDefault="00626BC1" w:rsidP="00B26737">
            <w:pPr>
              <w:rPr>
                <w:rFonts w:eastAsia="Times New Roman" w:cs="Times New Roman"/>
              </w:rPr>
            </w:pPr>
          </w:p>
        </w:tc>
      </w:tr>
      <w:tr w:rsidR="00626BC1" w:rsidRPr="00B26737" w14:paraId="38C4365D" w14:textId="77777777" w:rsidTr="007A19AD">
        <w:trPr>
          <w:trHeight w:val="380"/>
        </w:trPr>
        <w:tc>
          <w:tcPr>
            <w:tcW w:w="2620" w:type="dxa"/>
            <w:tcBorders>
              <w:top w:val="nil"/>
              <w:left w:val="nil"/>
              <w:bottom w:val="single" w:sz="4" w:space="0" w:color="auto"/>
              <w:right w:val="nil"/>
            </w:tcBorders>
            <w:shd w:val="clear" w:color="auto" w:fill="auto"/>
            <w:noWrap/>
            <w:vAlign w:val="bottom"/>
            <w:hideMark/>
          </w:tcPr>
          <w:p w14:paraId="2AC5A4E1" w14:textId="136867F8" w:rsidR="00626BC1" w:rsidRPr="00B26737" w:rsidRDefault="00626BC1" w:rsidP="00B26737">
            <w:pPr>
              <w:rPr>
                <w:rFonts w:eastAsia="Times New Roman" w:cs="Times New Roman"/>
                <w:b/>
                <w:bCs/>
              </w:rPr>
            </w:pPr>
            <w:r w:rsidRPr="00B26737">
              <w:rPr>
                <w:rFonts w:eastAsia="Times New Roman" w:cs="Times New Roman"/>
                <w:b/>
                <w:bCs/>
              </w:rPr>
              <w:t> </w:t>
            </w:r>
          </w:p>
        </w:tc>
        <w:tc>
          <w:tcPr>
            <w:tcW w:w="1240" w:type="dxa"/>
            <w:tcBorders>
              <w:top w:val="nil"/>
              <w:left w:val="nil"/>
              <w:bottom w:val="single" w:sz="4" w:space="0" w:color="auto"/>
              <w:right w:val="nil"/>
            </w:tcBorders>
            <w:shd w:val="clear" w:color="auto" w:fill="auto"/>
            <w:noWrap/>
            <w:vAlign w:val="bottom"/>
            <w:hideMark/>
          </w:tcPr>
          <w:p w14:paraId="7B5309A1" w14:textId="276947AC" w:rsidR="00626BC1" w:rsidRPr="00B26737" w:rsidRDefault="00626BC1" w:rsidP="00B26737">
            <w:pPr>
              <w:rPr>
                <w:rFonts w:eastAsia="Times New Roman" w:cs="Times New Roman"/>
                <w:b/>
                <w:bCs/>
              </w:rPr>
            </w:pPr>
            <w:r w:rsidRPr="00B26737">
              <w:rPr>
                <w:rFonts w:eastAsia="Times New Roman" w:cs="Times New Roman"/>
                <w:b/>
                <w:bCs/>
              </w:rPr>
              <w:t>Df</w:t>
            </w:r>
          </w:p>
        </w:tc>
        <w:tc>
          <w:tcPr>
            <w:tcW w:w="1860" w:type="dxa"/>
            <w:tcBorders>
              <w:top w:val="nil"/>
              <w:left w:val="nil"/>
              <w:bottom w:val="single" w:sz="4" w:space="0" w:color="auto"/>
              <w:right w:val="nil"/>
            </w:tcBorders>
            <w:shd w:val="clear" w:color="auto" w:fill="auto"/>
            <w:noWrap/>
            <w:vAlign w:val="bottom"/>
            <w:hideMark/>
          </w:tcPr>
          <w:p w14:paraId="3BA557AE" w14:textId="0CEF5C44" w:rsidR="00626BC1" w:rsidRPr="00B26737" w:rsidRDefault="00626BC1" w:rsidP="00B26737">
            <w:pPr>
              <w:rPr>
                <w:rFonts w:eastAsia="Times New Roman" w:cs="Times New Roman"/>
              </w:rPr>
            </w:pPr>
            <w:r w:rsidRPr="00B26737">
              <w:rPr>
                <w:rFonts w:eastAsia="Times New Roman" w:cs="Times New Roman"/>
                <w:b/>
                <w:bCs/>
              </w:rPr>
              <w:t>SumsOfSqs</w:t>
            </w:r>
          </w:p>
        </w:tc>
        <w:tc>
          <w:tcPr>
            <w:tcW w:w="1860" w:type="dxa"/>
            <w:tcBorders>
              <w:top w:val="nil"/>
              <w:left w:val="nil"/>
              <w:bottom w:val="single" w:sz="4" w:space="0" w:color="auto"/>
              <w:right w:val="nil"/>
            </w:tcBorders>
            <w:shd w:val="clear" w:color="auto" w:fill="auto"/>
            <w:noWrap/>
            <w:vAlign w:val="bottom"/>
            <w:hideMark/>
          </w:tcPr>
          <w:p w14:paraId="51218128" w14:textId="55B35AD1" w:rsidR="00626BC1" w:rsidRPr="00B26737" w:rsidRDefault="00626BC1" w:rsidP="00B26737">
            <w:pPr>
              <w:rPr>
                <w:rFonts w:eastAsia="Times New Roman" w:cs="Times New Roman"/>
              </w:rPr>
            </w:pPr>
            <w:r w:rsidRPr="00B26737">
              <w:rPr>
                <w:rFonts w:eastAsia="Times New Roman" w:cs="Times New Roman"/>
                <w:b/>
                <w:bCs/>
              </w:rPr>
              <w:t>MeanSqs</w:t>
            </w:r>
          </w:p>
        </w:tc>
        <w:tc>
          <w:tcPr>
            <w:tcW w:w="1860" w:type="dxa"/>
            <w:tcBorders>
              <w:top w:val="nil"/>
              <w:left w:val="nil"/>
              <w:bottom w:val="single" w:sz="4" w:space="0" w:color="auto"/>
              <w:right w:val="nil"/>
            </w:tcBorders>
            <w:shd w:val="clear" w:color="auto" w:fill="auto"/>
            <w:noWrap/>
            <w:vAlign w:val="bottom"/>
            <w:hideMark/>
          </w:tcPr>
          <w:p w14:paraId="0D64B84C" w14:textId="5CAFF404" w:rsidR="00626BC1" w:rsidRPr="00B26737" w:rsidRDefault="00626BC1" w:rsidP="00B26737">
            <w:pPr>
              <w:rPr>
                <w:rFonts w:eastAsia="Times New Roman" w:cs="Times New Roman"/>
              </w:rPr>
            </w:pPr>
            <w:r w:rsidRPr="00B26737">
              <w:rPr>
                <w:rFonts w:eastAsia="Times New Roman" w:cs="Times New Roman"/>
                <w:b/>
                <w:bCs/>
              </w:rPr>
              <w:t>F.Model</w:t>
            </w:r>
          </w:p>
        </w:tc>
        <w:tc>
          <w:tcPr>
            <w:tcW w:w="1860" w:type="dxa"/>
            <w:tcBorders>
              <w:top w:val="nil"/>
              <w:left w:val="nil"/>
              <w:bottom w:val="single" w:sz="4" w:space="0" w:color="auto"/>
              <w:right w:val="nil"/>
            </w:tcBorders>
            <w:shd w:val="clear" w:color="auto" w:fill="auto"/>
            <w:noWrap/>
            <w:vAlign w:val="bottom"/>
            <w:hideMark/>
          </w:tcPr>
          <w:p w14:paraId="6BFEEA23" w14:textId="65313377" w:rsidR="00626BC1" w:rsidRPr="00B26737" w:rsidRDefault="00626BC1" w:rsidP="00B26737">
            <w:pPr>
              <w:rPr>
                <w:rFonts w:eastAsia="Times New Roman" w:cs="Times New Roman"/>
              </w:rPr>
            </w:pPr>
            <w:r w:rsidRPr="00B26737">
              <w:rPr>
                <w:rFonts w:eastAsia="Times New Roman" w:cs="Times New Roman"/>
                <w:b/>
                <w:bCs/>
              </w:rPr>
              <w:t>R2</w:t>
            </w:r>
          </w:p>
        </w:tc>
        <w:tc>
          <w:tcPr>
            <w:tcW w:w="1860" w:type="dxa"/>
            <w:tcBorders>
              <w:top w:val="nil"/>
              <w:left w:val="nil"/>
              <w:bottom w:val="single" w:sz="4" w:space="0" w:color="auto"/>
              <w:right w:val="nil"/>
            </w:tcBorders>
            <w:shd w:val="clear" w:color="auto" w:fill="auto"/>
            <w:noWrap/>
            <w:vAlign w:val="bottom"/>
            <w:hideMark/>
          </w:tcPr>
          <w:p w14:paraId="2D693933" w14:textId="2B90394B" w:rsidR="00626BC1" w:rsidRPr="00B26737" w:rsidRDefault="00626BC1" w:rsidP="00B26737">
            <w:pPr>
              <w:rPr>
                <w:rFonts w:eastAsia="Times New Roman" w:cs="Times New Roman"/>
              </w:rPr>
            </w:pPr>
            <w:r w:rsidRPr="00B26737">
              <w:rPr>
                <w:rFonts w:eastAsia="Times New Roman" w:cs="Times New Roman"/>
                <w:b/>
                <w:bCs/>
              </w:rPr>
              <w:t>p-value</w:t>
            </w:r>
          </w:p>
        </w:tc>
      </w:tr>
      <w:tr w:rsidR="00626BC1" w:rsidRPr="00B26737" w14:paraId="3C449ABC" w14:textId="77777777" w:rsidTr="007A19AD">
        <w:trPr>
          <w:trHeight w:val="380"/>
        </w:trPr>
        <w:tc>
          <w:tcPr>
            <w:tcW w:w="2620" w:type="dxa"/>
            <w:tcBorders>
              <w:top w:val="nil"/>
              <w:left w:val="nil"/>
              <w:bottom w:val="nil"/>
              <w:right w:val="nil"/>
            </w:tcBorders>
            <w:shd w:val="clear" w:color="auto" w:fill="auto"/>
            <w:noWrap/>
            <w:vAlign w:val="bottom"/>
            <w:hideMark/>
          </w:tcPr>
          <w:p w14:paraId="5A6669A5" w14:textId="393C144E" w:rsidR="00626BC1" w:rsidRPr="00B26737" w:rsidRDefault="00626BC1" w:rsidP="00B26737">
            <w:pPr>
              <w:rPr>
                <w:rFonts w:eastAsia="Times New Roman" w:cs="Times New Roman"/>
                <w:b/>
                <w:bCs/>
              </w:rPr>
            </w:pPr>
            <w:r w:rsidRPr="00B26737">
              <w:rPr>
                <w:rFonts w:eastAsia="Times New Roman" w:cs="Times New Roman"/>
                <w:b/>
                <w:bCs/>
              </w:rPr>
              <w:t>Palm identity</w:t>
            </w:r>
          </w:p>
        </w:tc>
        <w:tc>
          <w:tcPr>
            <w:tcW w:w="1240" w:type="dxa"/>
            <w:tcBorders>
              <w:top w:val="nil"/>
              <w:left w:val="nil"/>
              <w:bottom w:val="nil"/>
              <w:right w:val="nil"/>
            </w:tcBorders>
            <w:shd w:val="clear" w:color="auto" w:fill="auto"/>
            <w:noWrap/>
            <w:vAlign w:val="bottom"/>
            <w:hideMark/>
          </w:tcPr>
          <w:p w14:paraId="25EFD34F" w14:textId="4F15DE42" w:rsidR="00626BC1" w:rsidRPr="00B26737" w:rsidRDefault="00626BC1" w:rsidP="00B26737">
            <w:pPr>
              <w:rPr>
                <w:rFonts w:eastAsia="Times New Roman" w:cs="Times New Roman"/>
                <w:b/>
                <w:bCs/>
              </w:rPr>
            </w:pPr>
            <w:r w:rsidRPr="00B26737">
              <w:rPr>
                <w:rFonts w:eastAsia="Times New Roman" w:cs="Times New Roman"/>
              </w:rPr>
              <w:t>20</w:t>
            </w:r>
          </w:p>
        </w:tc>
        <w:tc>
          <w:tcPr>
            <w:tcW w:w="1860" w:type="dxa"/>
            <w:tcBorders>
              <w:top w:val="nil"/>
              <w:left w:val="nil"/>
              <w:bottom w:val="nil"/>
              <w:right w:val="nil"/>
            </w:tcBorders>
            <w:shd w:val="clear" w:color="auto" w:fill="auto"/>
            <w:noWrap/>
            <w:vAlign w:val="bottom"/>
            <w:hideMark/>
          </w:tcPr>
          <w:p w14:paraId="7C8A348B" w14:textId="34AD36A5" w:rsidR="00626BC1" w:rsidRPr="00B26737" w:rsidRDefault="00626BC1" w:rsidP="00B26737">
            <w:pPr>
              <w:rPr>
                <w:rFonts w:eastAsia="Times New Roman" w:cs="Times New Roman"/>
                <w:b/>
                <w:bCs/>
              </w:rPr>
            </w:pPr>
            <w:r w:rsidRPr="00B26737">
              <w:rPr>
                <w:rFonts w:eastAsia="Times New Roman" w:cs="Times New Roman"/>
              </w:rPr>
              <w:t>1.404589</w:t>
            </w:r>
          </w:p>
        </w:tc>
        <w:tc>
          <w:tcPr>
            <w:tcW w:w="1860" w:type="dxa"/>
            <w:tcBorders>
              <w:top w:val="nil"/>
              <w:left w:val="nil"/>
              <w:bottom w:val="nil"/>
              <w:right w:val="nil"/>
            </w:tcBorders>
            <w:shd w:val="clear" w:color="auto" w:fill="auto"/>
            <w:noWrap/>
            <w:vAlign w:val="bottom"/>
            <w:hideMark/>
          </w:tcPr>
          <w:p w14:paraId="5D0EB733" w14:textId="13388F0E" w:rsidR="00626BC1" w:rsidRPr="00B26737" w:rsidRDefault="00626BC1" w:rsidP="00B26737">
            <w:pPr>
              <w:rPr>
                <w:rFonts w:eastAsia="Times New Roman" w:cs="Times New Roman"/>
                <w:b/>
                <w:bCs/>
              </w:rPr>
            </w:pPr>
            <w:r w:rsidRPr="00B26737">
              <w:rPr>
                <w:rFonts w:eastAsia="Times New Roman" w:cs="Times New Roman"/>
              </w:rPr>
              <w:t>0.070229</w:t>
            </w:r>
          </w:p>
        </w:tc>
        <w:tc>
          <w:tcPr>
            <w:tcW w:w="1860" w:type="dxa"/>
            <w:tcBorders>
              <w:top w:val="nil"/>
              <w:left w:val="nil"/>
              <w:bottom w:val="nil"/>
              <w:right w:val="nil"/>
            </w:tcBorders>
            <w:shd w:val="clear" w:color="auto" w:fill="auto"/>
            <w:noWrap/>
            <w:vAlign w:val="bottom"/>
            <w:hideMark/>
          </w:tcPr>
          <w:p w14:paraId="1896FF5D" w14:textId="2C72413A" w:rsidR="00626BC1" w:rsidRPr="00B26737" w:rsidRDefault="00626BC1" w:rsidP="00B26737">
            <w:pPr>
              <w:rPr>
                <w:rFonts w:eastAsia="Times New Roman" w:cs="Times New Roman"/>
                <w:b/>
                <w:bCs/>
              </w:rPr>
            </w:pPr>
            <w:r w:rsidRPr="00B26737">
              <w:rPr>
                <w:rFonts w:eastAsia="Times New Roman" w:cs="Times New Roman"/>
              </w:rPr>
              <w:t>5.007237</w:t>
            </w:r>
          </w:p>
        </w:tc>
        <w:tc>
          <w:tcPr>
            <w:tcW w:w="1860" w:type="dxa"/>
            <w:tcBorders>
              <w:top w:val="nil"/>
              <w:left w:val="nil"/>
              <w:bottom w:val="nil"/>
              <w:right w:val="nil"/>
            </w:tcBorders>
            <w:shd w:val="clear" w:color="auto" w:fill="auto"/>
            <w:noWrap/>
            <w:vAlign w:val="bottom"/>
            <w:hideMark/>
          </w:tcPr>
          <w:p w14:paraId="73CF5279" w14:textId="60960551" w:rsidR="00626BC1" w:rsidRPr="00B26737" w:rsidRDefault="00626BC1" w:rsidP="00B26737">
            <w:pPr>
              <w:rPr>
                <w:rFonts w:eastAsia="Times New Roman" w:cs="Times New Roman"/>
                <w:b/>
                <w:bCs/>
              </w:rPr>
            </w:pPr>
            <w:r w:rsidRPr="00B26737">
              <w:rPr>
                <w:rFonts w:eastAsia="Times New Roman" w:cs="Times New Roman"/>
              </w:rPr>
              <w:t>0.501377</w:t>
            </w:r>
          </w:p>
        </w:tc>
        <w:tc>
          <w:tcPr>
            <w:tcW w:w="1860" w:type="dxa"/>
            <w:tcBorders>
              <w:top w:val="nil"/>
              <w:left w:val="nil"/>
              <w:bottom w:val="nil"/>
              <w:right w:val="nil"/>
            </w:tcBorders>
            <w:shd w:val="clear" w:color="auto" w:fill="auto"/>
            <w:noWrap/>
            <w:vAlign w:val="bottom"/>
            <w:hideMark/>
          </w:tcPr>
          <w:p w14:paraId="739BD4EE" w14:textId="006F5C1D" w:rsidR="00626BC1" w:rsidRPr="00B26737" w:rsidRDefault="00626BC1" w:rsidP="00B26737">
            <w:pPr>
              <w:rPr>
                <w:rFonts w:eastAsia="Times New Roman" w:cs="Times New Roman"/>
                <w:b/>
                <w:bCs/>
              </w:rPr>
            </w:pPr>
            <w:r w:rsidRPr="00B26737">
              <w:rPr>
                <w:rFonts w:eastAsia="Times New Roman" w:cs="Times New Roman"/>
                <w:b/>
                <w:bCs/>
              </w:rPr>
              <w:t>0.001</w:t>
            </w:r>
          </w:p>
        </w:tc>
      </w:tr>
      <w:tr w:rsidR="00626BC1" w:rsidRPr="00B26737" w14:paraId="123EF41E" w14:textId="77777777" w:rsidTr="00B26737">
        <w:trPr>
          <w:trHeight w:val="380"/>
        </w:trPr>
        <w:tc>
          <w:tcPr>
            <w:tcW w:w="2620" w:type="dxa"/>
            <w:tcBorders>
              <w:top w:val="nil"/>
              <w:left w:val="nil"/>
              <w:bottom w:val="nil"/>
              <w:right w:val="nil"/>
            </w:tcBorders>
            <w:shd w:val="clear" w:color="auto" w:fill="auto"/>
            <w:noWrap/>
            <w:vAlign w:val="bottom"/>
            <w:hideMark/>
          </w:tcPr>
          <w:p w14:paraId="2EF0E3E8" w14:textId="29FA616C" w:rsidR="00626BC1" w:rsidRPr="00B26737" w:rsidRDefault="00626BC1" w:rsidP="00B26737">
            <w:pPr>
              <w:rPr>
                <w:rFonts w:eastAsia="Times New Roman" w:cs="Times New Roman"/>
                <w:b/>
                <w:bCs/>
              </w:rPr>
            </w:pPr>
            <w:r w:rsidRPr="00B26737">
              <w:rPr>
                <w:rFonts w:eastAsia="Times New Roman" w:cs="Times New Roman"/>
                <w:b/>
                <w:bCs/>
              </w:rPr>
              <w:t>Age group</w:t>
            </w:r>
          </w:p>
        </w:tc>
        <w:tc>
          <w:tcPr>
            <w:tcW w:w="1240" w:type="dxa"/>
            <w:tcBorders>
              <w:top w:val="nil"/>
              <w:left w:val="nil"/>
              <w:bottom w:val="nil"/>
              <w:right w:val="nil"/>
            </w:tcBorders>
            <w:shd w:val="clear" w:color="auto" w:fill="auto"/>
            <w:noWrap/>
            <w:vAlign w:val="bottom"/>
            <w:hideMark/>
          </w:tcPr>
          <w:p w14:paraId="6A640B4D" w14:textId="6D487092" w:rsidR="00626BC1" w:rsidRPr="00B26737" w:rsidRDefault="00626BC1" w:rsidP="00B26737">
            <w:pPr>
              <w:jc w:val="right"/>
              <w:rPr>
                <w:rFonts w:eastAsia="Times New Roman" w:cs="Times New Roman"/>
              </w:rPr>
            </w:pPr>
            <w:r w:rsidRPr="00B26737">
              <w:rPr>
                <w:rFonts w:eastAsia="Times New Roman" w:cs="Times New Roman"/>
              </w:rPr>
              <w:t>1</w:t>
            </w:r>
          </w:p>
        </w:tc>
        <w:tc>
          <w:tcPr>
            <w:tcW w:w="1860" w:type="dxa"/>
            <w:tcBorders>
              <w:top w:val="nil"/>
              <w:left w:val="nil"/>
              <w:bottom w:val="nil"/>
              <w:right w:val="nil"/>
            </w:tcBorders>
            <w:shd w:val="clear" w:color="auto" w:fill="auto"/>
            <w:noWrap/>
            <w:vAlign w:val="bottom"/>
            <w:hideMark/>
          </w:tcPr>
          <w:p w14:paraId="1B1288E1" w14:textId="79DACA2C" w:rsidR="00626BC1" w:rsidRPr="00B26737" w:rsidRDefault="00626BC1" w:rsidP="00B26737">
            <w:pPr>
              <w:jc w:val="right"/>
              <w:rPr>
                <w:rFonts w:eastAsia="Times New Roman" w:cs="Times New Roman"/>
              </w:rPr>
            </w:pPr>
            <w:r w:rsidRPr="00B26737">
              <w:rPr>
                <w:rFonts w:eastAsia="Times New Roman" w:cs="Times New Roman"/>
              </w:rPr>
              <w:t>0.081188</w:t>
            </w:r>
          </w:p>
        </w:tc>
        <w:tc>
          <w:tcPr>
            <w:tcW w:w="1860" w:type="dxa"/>
            <w:tcBorders>
              <w:top w:val="nil"/>
              <w:left w:val="nil"/>
              <w:bottom w:val="nil"/>
              <w:right w:val="nil"/>
            </w:tcBorders>
            <w:shd w:val="clear" w:color="auto" w:fill="auto"/>
            <w:noWrap/>
            <w:vAlign w:val="bottom"/>
            <w:hideMark/>
          </w:tcPr>
          <w:p w14:paraId="3119D58A" w14:textId="401D9E41" w:rsidR="00626BC1" w:rsidRPr="00B26737" w:rsidRDefault="00626BC1" w:rsidP="00B26737">
            <w:pPr>
              <w:jc w:val="right"/>
              <w:rPr>
                <w:rFonts w:eastAsia="Times New Roman" w:cs="Times New Roman"/>
              </w:rPr>
            </w:pPr>
            <w:r w:rsidRPr="00B26737">
              <w:rPr>
                <w:rFonts w:eastAsia="Times New Roman" w:cs="Times New Roman"/>
              </w:rPr>
              <w:t>0.081188</w:t>
            </w:r>
          </w:p>
        </w:tc>
        <w:tc>
          <w:tcPr>
            <w:tcW w:w="1860" w:type="dxa"/>
            <w:tcBorders>
              <w:top w:val="nil"/>
              <w:left w:val="nil"/>
              <w:bottom w:val="nil"/>
              <w:right w:val="nil"/>
            </w:tcBorders>
            <w:shd w:val="clear" w:color="auto" w:fill="auto"/>
            <w:noWrap/>
            <w:vAlign w:val="bottom"/>
            <w:hideMark/>
          </w:tcPr>
          <w:p w14:paraId="4721D2A5" w14:textId="65F7220A" w:rsidR="00626BC1" w:rsidRPr="00B26737" w:rsidRDefault="00626BC1" w:rsidP="00B26737">
            <w:pPr>
              <w:jc w:val="right"/>
              <w:rPr>
                <w:rFonts w:eastAsia="Times New Roman" w:cs="Times New Roman"/>
              </w:rPr>
            </w:pPr>
            <w:r w:rsidRPr="00B26737">
              <w:rPr>
                <w:rFonts w:eastAsia="Times New Roman" w:cs="Times New Roman"/>
              </w:rPr>
              <w:t>5.788569</w:t>
            </w:r>
          </w:p>
        </w:tc>
        <w:tc>
          <w:tcPr>
            <w:tcW w:w="1860" w:type="dxa"/>
            <w:tcBorders>
              <w:top w:val="nil"/>
              <w:left w:val="nil"/>
              <w:bottom w:val="nil"/>
              <w:right w:val="nil"/>
            </w:tcBorders>
            <w:shd w:val="clear" w:color="auto" w:fill="auto"/>
            <w:noWrap/>
            <w:vAlign w:val="bottom"/>
            <w:hideMark/>
          </w:tcPr>
          <w:p w14:paraId="779AD0AA" w14:textId="7601A8D6" w:rsidR="00626BC1" w:rsidRPr="00B26737" w:rsidRDefault="00626BC1" w:rsidP="00B26737">
            <w:pPr>
              <w:jc w:val="right"/>
              <w:rPr>
                <w:rFonts w:eastAsia="Times New Roman" w:cs="Times New Roman"/>
              </w:rPr>
            </w:pPr>
            <w:r w:rsidRPr="00B26737">
              <w:rPr>
                <w:rFonts w:eastAsia="Times New Roman" w:cs="Times New Roman"/>
              </w:rPr>
              <w:t>0.028981</w:t>
            </w:r>
          </w:p>
        </w:tc>
        <w:tc>
          <w:tcPr>
            <w:tcW w:w="1860" w:type="dxa"/>
            <w:tcBorders>
              <w:top w:val="nil"/>
              <w:left w:val="nil"/>
              <w:bottom w:val="nil"/>
              <w:right w:val="nil"/>
            </w:tcBorders>
            <w:shd w:val="clear" w:color="auto" w:fill="auto"/>
            <w:noWrap/>
            <w:vAlign w:val="bottom"/>
            <w:hideMark/>
          </w:tcPr>
          <w:p w14:paraId="094409F7" w14:textId="614BE32D" w:rsidR="00626BC1" w:rsidRPr="00B26737" w:rsidRDefault="00626BC1" w:rsidP="00B26737">
            <w:pPr>
              <w:jc w:val="right"/>
              <w:rPr>
                <w:rFonts w:eastAsia="Times New Roman" w:cs="Times New Roman"/>
                <w:b/>
                <w:bCs/>
              </w:rPr>
            </w:pPr>
            <w:r w:rsidRPr="00B26737">
              <w:rPr>
                <w:rFonts w:eastAsia="Times New Roman" w:cs="Times New Roman"/>
                <w:b/>
                <w:bCs/>
              </w:rPr>
              <w:t>0.001</w:t>
            </w:r>
          </w:p>
        </w:tc>
      </w:tr>
      <w:tr w:rsidR="00626BC1" w:rsidRPr="00B26737" w14:paraId="5EB02797" w14:textId="77777777" w:rsidTr="00B26737">
        <w:trPr>
          <w:trHeight w:val="380"/>
        </w:trPr>
        <w:tc>
          <w:tcPr>
            <w:tcW w:w="2620" w:type="dxa"/>
            <w:tcBorders>
              <w:top w:val="nil"/>
              <w:left w:val="nil"/>
              <w:bottom w:val="nil"/>
              <w:right w:val="nil"/>
            </w:tcBorders>
            <w:shd w:val="clear" w:color="auto" w:fill="auto"/>
            <w:noWrap/>
            <w:vAlign w:val="bottom"/>
            <w:hideMark/>
          </w:tcPr>
          <w:p w14:paraId="1427DCE5" w14:textId="25B16AC9" w:rsidR="00626BC1" w:rsidRPr="00B26737" w:rsidRDefault="00626BC1" w:rsidP="00B26737">
            <w:pPr>
              <w:rPr>
                <w:rFonts w:eastAsia="Times New Roman" w:cs="Times New Roman"/>
                <w:b/>
                <w:bCs/>
              </w:rPr>
            </w:pPr>
            <w:r w:rsidRPr="00B26737">
              <w:rPr>
                <w:rFonts w:eastAsia="Times New Roman" w:cs="Times New Roman"/>
                <w:b/>
                <w:bCs/>
              </w:rPr>
              <w:t>Sampling region</w:t>
            </w:r>
          </w:p>
        </w:tc>
        <w:tc>
          <w:tcPr>
            <w:tcW w:w="1240" w:type="dxa"/>
            <w:tcBorders>
              <w:top w:val="nil"/>
              <w:left w:val="nil"/>
              <w:bottom w:val="nil"/>
              <w:right w:val="nil"/>
            </w:tcBorders>
            <w:shd w:val="clear" w:color="auto" w:fill="auto"/>
            <w:noWrap/>
            <w:vAlign w:val="bottom"/>
            <w:hideMark/>
          </w:tcPr>
          <w:p w14:paraId="5852074B" w14:textId="042AFB78" w:rsidR="00626BC1" w:rsidRPr="00B26737" w:rsidRDefault="00626BC1" w:rsidP="00B26737">
            <w:pPr>
              <w:jc w:val="right"/>
              <w:rPr>
                <w:rFonts w:eastAsia="Times New Roman" w:cs="Times New Roman"/>
              </w:rPr>
            </w:pPr>
            <w:r w:rsidRPr="00B26737">
              <w:rPr>
                <w:rFonts w:eastAsia="Times New Roman" w:cs="Times New Roman"/>
              </w:rPr>
              <w:t>2</w:t>
            </w:r>
          </w:p>
        </w:tc>
        <w:tc>
          <w:tcPr>
            <w:tcW w:w="1860" w:type="dxa"/>
            <w:tcBorders>
              <w:top w:val="nil"/>
              <w:left w:val="nil"/>
              <w:bottom w:val="nil"/>
              <w:right w:val="nil"/>
            </w:tcBorders>
            <w:shd w:val="clear" w:color="auto" w:fill="auto"/>
            <w:noWrap/>
            <w:vAlign w:val="bottom"/>
            <w:hideMark/>
          </w:tcPr>
          <w:p w14:paraId="5DEEBABC" w14:textId="488DD219" w:rsidR="00626BC1" w:rsidRPr="00B26737" w:rsidRDefault="00626BC1" w:rsidP="00B26737">
            <w:pPr>
              <w:jc w:val="right"/>
              <w:rPr>
                <w:rFonts w:eastAsia="Times New Roman" w:cs="Times New Roman"/>
              </w:rPr>
            </w:pPr>
            <w:r w:rsidRPr="00B26737">
              <w:rPr>
                <w:rFonts w:eastAsia="Times New Roman" w:cs="Times New Roman"/>
              </w:rPr>
              <w:t>0</w:t>
            </w:r>
          </w:p>
        </w:tc>
        <w:tc>
          <w:tcPr>
            <w:tcW w:w="1860" w:type="dxa"/>
            <w:tcBorders>
              <w:top w:val="nil"/>
              <w:left w:val="nil"/>
              <w:bottom w:val="nil"/>
              <w:right w:val="nil"/>
            </w:tcBorders>
            <w:shd w:val="clear" w:color="auto" w:fill="auto"/>
            <w:noWrap/>
            <w:vAlign w:val="bottom"/>
            <w:hideMark/>
          </w:tcPr>
          <w:p w14:paraId="2A7EAD1E" w14:textId="434A6574" w:rsidR="00626BC1" w:rsidRPr="00B26737" w:rsidRDefault="00626BC1" w:rsidP="00B26737">
            <w:pPr>
              <w:jc w:val="right"/>
              <w:rPr>
                <w:rFonts w:eastAsia="Times New Roman" w:cs="Times New Roman"/>
              </w:rPr>
            </w:pPr>
            <w:r w:rsidRPr="00B26737">
              <w:rPr>
                <w:rFonts w:eastAsia="Times New Roman" w:cs="Times New Roman"/>
              </w:rPr>
              <w:t>0</w:t>
            </w:r>
          </w:p>
        </w:tc>
        <w:tc>
          <w:tcPr>
            <w:tcW w:w="1860" w:type="dxa"/>
            <w:tcBorders>
              <w:top w:val="nil"/>
              <w:left w:val="nil"/>
              <w:bottom w:val="nil"/>
              <w:right w:val="nil"/>
            </w:tcBorders>
            <w:shd w:val="clear" w:color="auto" w:fill="auto"/>
            <w:noWrap/>
            <w:vAlign w:val="bottom"/>
            <w:hideMark/>
          </w:tcPr>
          <w:p w14:paraId="58C4242D" w14:textId="0FA22295" w:rsidR="00626BC1" w:rsidRPr="00B26737" w:rsidRDefault="00626BC1" w:rsidP="00B26737">
            <w:pPr>
              <w:jc w:val="right"/>
              <w:rPr>
                <w:rFonts w:eastAsia="Times New Roman" w:cs="Times New Roman"/>
              </w:rPr>
            </w:pPr>
            <w:r w:rsidRPr="00B26737">
              <w:rPr>
                <w:rFonts w:eastAsia="Times New Roman" w:cs="Times New Roman"/>
              </w:rPr>
              <w:t>0</w:t>
            </w:r>
          </w:p>
        </w:tc>
        <w:tc>
          <w:tcPr>
            <w:tcW w:w="1860" w:type="dxa"/>
            <w:tcBorders>
              <w:top w:val="nil"/>
              <w:left w:val="nil"/>
              <w:bottom w:val="nil"/>
              <w:right w:val="nil"/>
            </w:tcBorders>
            <w:shd w:val="clear" w:color="auto" w:fill="auto"/>
            <w:noWrap/>
            <w:vAlign w:val="bottom"/>
            <w:hideMark/>
          </w:tcPr>
          <w:p w14:paraId="77ACA8BD" w14:textId="01F5017C" w:rsidR="00626BC1" w:rsidRPr="00B26737" w:rsidRDefault="00626BC1" w:rsidP="00B26737">
            <w:pPr>
              <w:jc w:val="right"/>
              <w:rPr>
                <w:rFonts w:eastAsia="Times New Roman" w:cs="Times New Roman"/>
              </w:rPr>
            </w:pPr>
            <w:r w:rsidRPr="00B26737">
              <w:rPr>
                <w:rFonts w:eastAsia="Times New Roman" w:cs="Times New Roman"/>
              </w:rPr>
              <w:t>0</w:t>
            </w:r>
          </w:p>
        </w:tc>
        <w:tc>
          <w:tcPr>
            <w:tcW w:w="1860" w:type="dxa"/>
            <w:tcBorders>
              <w:top w:val="nil"/>
              <w:left w:val="nil"/>
              <w:bottom w:val="nil"/>
              <w:right w:val="nil"/>
            </w:tcBorders>
            <w:shd w:val="clear" w:color="auto" w:fill="auto"/>
            <w:noWrap/>
            <w:vAlign w:val="bottom"/>
            <w:hideMark/>
          </w:tcPr>
          <w:p w14:paraId="35D2450F" w14:textId="42E46764" w:rsidR="00626BC1" w:rsidRPr="00B26737" w:rsidRDefault="00626BC1" w:rsidP="00B26737">
            <w:pPr>
              <w:jc w:val="right"/>
              <w:rPr>
                <w:rFonts w:eastAsia="Times New Roman" w:cs="Times New Roman"/>
                <w:b/>
                <w:bCs/>
              </w:rPr>
            </w:pPr>
            <w:r w:rsidRPr="00B26737">
              <w:rPr>
                <w:rFonts w:eastAsia="Times New Roman" w:cs="Times New Roman"/>
              </w:rPr>
              <w:t>NaN</w:t>
            </w:r>
          </w:p>
        </w:tc>
      </w:tr>
      <w:tr w:rsidR="00626BC1" w:rsidRPr="00B26737" w14:paraId="5B2D7C3D" w14:textId="77777777" w:rsidTr="00B26737">
        <w:trPr>
          <w:trHeight w:val="380"/>
        </w:trPr>
        <w:tc>
          <w:tcPr>
            <w:tcW w:w="2620" w:type="dxa"/>
            <w:tcBorders>
              <w:top w:val="nil"/>
              <w:left w:val="nil"/>
              <w:bottom w:val="nil"/>
              <w:right w:val="nil"/>
            </w:tcBorders>
            <w:shd w:val="clear" w:color="auto" w:fill="auto"/>
            <w:noWrap/>
            <w:vAlign w:val="bottom"/>
            <w:hideMark/>
          </w:tcPr>
          <w:p w14:paraId="26EBAF36" w14:textId="13CCC660" w:rsidR="00626BC1" w:rsidRPr="00B26737" w:rsidRDefault="00626BC1" w:rsidP="00B26737">
            <w:pPr>
              <w:rPr>
                <w:rFonts w:eastAsia="Times New Roman" w:cs="Times New Roman"/>
                <w:b/>
                <w:bCs/>
              </w:rPr>
            </w:pPr>
            <w:r w:rsidRPr="00B26737">
              <w:rPr>
                <w:rFonts w:eastAsia="Times New Roman" w:cs="Times New Roman"/>
                <w:b/>
                <w:bCs/>
              </w:rPr>
              <w:t>Dominant blood meal</w:t>
            </w:r>
          </w:p>
        </w:tc>
        <w:tc>
          <w:tcPr>
            <w:tcW w:w="1240" w:type="dxa"/>
            <w:tcBorders>
              <w:top w:val="nil"/>
              <w:left w:val="nil"/>
              <w:bottom w:val="nil"/>
              <w:right w:val="nil"/>
            </w:tcBorders>
            <w:shd w:val="clear" w:color="auto" w:fill="auto"/>
            <w:noWrap/>
            <w:vAlign w:val="bottom"/>
            <w:hideMark/>
          </w:tcPr>
          <w:p w14:paraId="3AAD7EEA" w14:textId="6D615FE8" w:rsidR="00626BC1" w:rsidRPr="00B26737" w:rsidRDefault="00626BC1" w:rsidP="00B26737">
            <w:pPr>
              <w:jc w:val="right"/>
              <w:rPr>
                <w:rFonts w:eastAsia="Times New Roman" w:cs="Times New Roman"/>
              </w:rPr>
            </w:pPr>
            <w:r w:rsidRPr="00B26737">
              <w:rPr>
                <w:rFonts w:eastAsia="Times New Roman" w:cs="Times New Roman"/>
              </w:rPr>
              <w:t>8</w:t>
            </w:r>
          </w:p>
        </w:tc>
        <w:tc>
          <w:tcPr>
            <w:tcW w:w="1860" w:type="dxa"/>
            <w:tcBorders>
              <w:top w:val="nil"/>
              <w:left w:val="nil"/>
              <w:bottom w:val="nil"/>
              <w:right w:val="nil"/>
            </w:tcBorders>
            <w:shd w:val="clear" w:color="auto" w:fill="auto"/>
            <w:noWrap/>
            <w:vAlign w:val="bottom"/>
            <w:hideMark/>
          </w:tcPr>
          <w:p w14:paraId="2CEA97BF" w14:textId="37DA9536" w:rsidR="00626BC1" w:rsidRPr="00B26737" w:rsidRDefault="00626BC1" w:rsidP="00B26737">
            <w:pPr>
              <w:jc w:val="right"/>
              <w:rPr>
                <w:rFonts w:eastAsia="Times New Roman" w:cs="Times New Roman"/>
              </w:rPr>
            </w:pPr>
            <w:r w:rsidRPr="00B26737">
              <w:rPr>
                <w:rFonts w:eastAsia="Times New Roman" w:cs="Times New Roman"/>
              </w:rPr>
              <w:t>0.111524</w:t>
            </w:r>
          </w:p>
        </w:tc>
        <w:tc>
          <w:tcPr>
            <w:tcW w:w="1860" w:type="dxa"/>
            <w:tcBorders>
              <w:top w:val="nil"/>
              <w:left w:val="nil"/>
              <w:bottom w:val="nil"/>
              <w:right w:val="nil"/>
            </w:tcBorders>
            <w:shd w:val="clear" w:color="auto" w:fill="auto"/>
            <w:noWrap/>
            <w:vAlign w:val="bottom"/>
            <w:hideMark/>
          </w:tcPr>
          <w:p w14:paraId="3ECC51D4" w14:textId="727C0B8B" w:rsidR="00626BC1" w:rsidRPr="00B26737" w:rsidRDefault="00626BC1" w:rsidP="00B26737">
            <w:pPr>
              <w:jc w:val="right"/>
              <w:rPr>
                <w:rFonts w:eastAsia="Times New Roman" w:cs="Times New Roman"/>
              </w:rPr>
            </w:pPr>
            <w:r w:rsidRPr="00B26737">
              <w:rPr>
                <w:rFonts w:eastAsia="Times New Roman" w:cs="Times New Roman"/>
              </w:rPr>
              <w:t>0.01394</w:t>
            </w:r>
          </w:p>
        </w:tc>
        <w:tc>
          <w:tcPr>
            <w:tcW w:w="1860" w:type="dxa"/>
            <w:tcBorders>
              <w:top w:val="nil"/>
              <w:left w:val="nil"/>
              <w:bottom w:val="nil"/>
              <w:right w:val="nil"/>
            </w:tcBorders>
            <w:shd w:val="clear" w:color="auto" w:fill="auto"/>
            <w:noWrap/>
            <w:vAlign w:val="bottom"/>
            <w:hideMark/>
          </w:tcPr>
          <w:p w14:paraId="3F6C0AE2" w14:textId="29112454" w:rsidR="00626BC1" w:rsidRPr="00B26737" w:rsidRDefault="00626BC1" w:rsidP="00B26737">
            <w:pPr>
              <w:jc w:val="right"/>
              <w:rPr>
                <w:rFonts w:eastAsia="Times New Roman" w:cs="Times New Roman"/>
              </w:rPr>
            </w:pPr>
            <w:r w:rsidRPr="00B26737">
              <w:rPr>
                <w:rFonts w:eastAsia="Times New Roman" w:cs="Times New Roman"/>
              </w:rPr>
              <w:t>0.993931</w:t>
            </w:r>
          </w:p>
        </w:tc>
        <w:tc>
          <w:tcPr>
            <w:tcW w:w="1860" w:type="dxa"/>
            <w:tcBorders>
              <w:top w:val="nil"/>
              <w:left w:val="nil"/>
              <w:bottom w:val="nil"/>
              <w:right w:val="nil"/>
            </w:tcBorders>
            <w:shd w:val="clear" w:color="auto" w:fill="auto"/>
            <w:noWrap/>
            <w:vAlign w:val="bottom"/>
            <w:hideMark/>
          </w:tcPr>
          <w:p w14:paraId="2EEA43EA" w14:textId="7B3B11A7" w:rsidR="00626BC1" w:rsidRPr="00B26737" w:rsidRDefault="00626BC1" w:rsidP="00B26737">
            <w:pPr>
              <w:jc w:val="right"/>
              <w:rPr>
                <w:rFonts w:eastAsia="Times New Roman" w:cs="Times New Roman"/>
              </w:rPr>
            </w:pPr>
            <w:r w:rsidRPr="00B26737">
              <w:rPr>
                <w:rFonts w:eastAsia="Times New Roman" w:cs="Times New Roman"/>
              </w:rPr>
              <w:t>0.039809</w:t>
            </w:r>
          </w:p>
        </w:tc>
        <w:tc>
          <w:tcPr>
            <w:tcW w:w="1860" w:type="dxa"/>
            <w:tcBorders>
              <w:top w:val="nil"/>
              <w:left w:val="nil"/>
              <w:bottom w:val="nil"/>
              <w:right w:val="nil"/>
            </w:tcBorders>
            <w:shd w:val="clear" w:color="auto" w:fill="auto"/>
            <w:noWrap/>
            <w:vAlign w:val="bottom"/>
            <w:hideMark/>
          </w:tcPr>
          <w:p w14:paraId="6C3C2A3E" w14:textId="255D4B63" w:rsidR="00626BC1" w:rsidRPr="00B26737" w:rsidRDefault="00626BC1" w:rsidP="00B26737">
            <w:pPr>
              <w:rPr>
                <w:rFonts w:eastAsia="Times New Roman" w:cs="Times New Roman"/>
              </w:rPr>
            </w:pPr>
            <w:r w:rsidRPr="00B26737">
              <w:rPr>
                <w:rFonts w:eastAsia="Times New Roman" w:cs="Times New Roman"/>
              </w:rPr>
              <w:t>0.322</w:t>
            </w:r>
          </w:p>
        </w:tc>
      </w:tr>
      <w:tr w:rsidR="00626BC1" w:rsidRPr="00B26737" w14:paraId="518EE932" w14:textId="77777777" w:rsidTr="00B26737">
        <w:trPr>
          <w:trHeight w:val="380"/>
        </w:trPr>
        <w:tc>
          <w:tcPr>
            <w:tcW w:w="2620" w:type="dxa"/>
            <w:tcBorders>
              <w:top w:val="nil"/>
              <w:left w:val="nil"/>
              <w:bottom w:val="nil"/>
              <w:right w:val="nil"/>
            </w:tcBorders>
            <w:shd w:val="clear" w:color="auto" w:fill="auto"/>
            <w:noWrap/>
            <w:vAlign w:val="bottom"/>
            <w:hideMark/>
          </w:tcPr>
          <w:p w14:paraId="7B0429C4" w14:textId="3BA248B5" w:rsidR="00626BC1" w:rsidRPr="00B26737" w:rsidRDefault="00626BC1" w:rsidP="00B26737">
            <w:pPr>
              <w:rPr>
                <w:rFonts w:eastAsia="Times New Roman" w:cs="Times New Roman"/>
                <w:b/>
                <w:bCs/>
              </w:rPr>
            </w:pPr>
            <w:r w:rsidRPr="00B26737">
              <w:rPr>
                <w:rFonts w:eastAsia="Times New Roman" w:cs="Times New Roman"/>
                <w:b/>
                <w:bCs/>
              </w:rPr>
              <w:t>Blood meal richness</w:t>
            </w:r>
          </w:p>
        </w:tc>
        <w:tc>
          <w:tcPr>
            <w:tcW w:w="1240" w:type="dxa"/>
            <w:tcBorders>
              <w:top w:val="nil"/>
              <w:left w:val="nil"/>
              <w:bottom w:val="nil"/>
              <w:right w:val="nil"/>
            </w:tcBorders>
            <w:shd w:val="clear" w:color="auto" w:fill="auto"/>
            <w:noWrap/>
            <w:vAlign w:val="bottom"/>
            <w:hideMark/>
          </w:tcPr>
          <w:p w14:paraId="69C33CD6" w14:textId="4020822D" w:rsidR="00626BC1" w:rsidRPr="00B26737" w:rsidRDefault="00626BC1" w:rsidP="00B26737">
            <w:pPr>
              <w:jc w:val="right"/>
              <w:rPr>
                <w:rFonts w:eastAsia="Times New Roman" w:cs="Times New Roman"/>
              </w:rPr>
            </w:pPr>
            <w:r w:rsidRPr="00B26737">
              <w:rPr>
                <w:rFonts w:eastAsia="Times New Roman" w:cs="Times New Roman"/>
              </w:rPr>
              <w:t>3</w:t>
            </w:r>
          </w:p>
        </w:tc>
        <w:tc>
          <w:tcPr>
            <w:tcW w:w="1860" w:type="dxa"/>
            <w:tcBorders>
              <w:top w:val="nil"/>
              <w:left w:val="nil"/>
              <w:bottom w:val="nil"/>
              <w:right w:val="nil"/>
            </w:tcBorders>
            <w:shd w:val="clear" w:color="auto" w:fill="auto"/>
            <w:noWrap/>
            <w:vAlign w:val="bottom"/>
            <w:hideMark/>
          </w:tcPr>
          <w:p w14:paraId="0201C8AB" w14:textId="325EE04F" w:rsidR="00626BC1" w:rsidRPr="00B26737" w:rsidRDefault="00626BC1" w:rsidP="00B26737">
            <w:pPr>
              <w:jc w:val="right"/>
              <w:rPr>
                <w:rFonts w:eastAsia="Times New Roman" w:cs="Times New Roman"/>
              </w:rPr>
            </w:pPr>
            <w:r w:rsidRPr="00B26737">
              <w:rPr>
                <w:rFonts w:eastAsia="Times New Roman" w:cs="Times New Roman"/>
              </w:rPr>
              <w:t>0.068087</w:t>
            </w:r>
          </w:p>
        </w:tc>
        <w:tc>
          <w:tcPr>
            <w:tcW w:w="1860" w:type="dxa"/>
            <w:tcBorders>
              <w:top w:val="nil"/>
              <w:left w:val="nil"/>
              <w:bottom w:val="nil"/>
              <w:right w:val="nil"/>
            </w:tcBorders>
            <w:shd w:val="clear" w:color="auto" w:fill="auto"/>
            <w:noWrap/>
            <w:vAlign w:val="bottom"/>
            <w:hideMark/>
          </w:tcPr>
          <w:p w14:paraId="197C0351" w14:textId="515FDA9C" w:rsidR="00626BC1" w:rsidRPr="00B26737" w:rsidRDefault="00626BC1" w:rsidP="00B26737">
            <w:pPr>
              <w:jc w:val="right"/>
              <w:rPr>
                <w:rFonts w:eastAsia="Times New Roman" w:cs="Times New Roman"/>
              </w:rPr>
            </w:pPr>
            <w:r w:rsidRPr="00B26737">
              <w:rPr>
                <w:rFonts w:eastAsia="Times New Roman" w:cs="Times New Roman"/>
              </w:rPr>
              <w:t>0.022696</w:t>
            </w:r>
          </w:p>
        </w:tc>
        <w:tc>
          <w:tcPr>
            <w:tcW w:w="1860" w:type="dxa"/>
            <w:tcBorders>
              <w:top w:val="nil"/>
              <w:left w:val="nil"/>
              <w:bottom w:val="nil"/>
              <w:right w:val="nil"/>
            </w:tcBorders>
            <w:shd w:val="clear" w:color="auto" w:fill="auto"/>
            <w:noWrap/>
            <w:vAlign w:val="bottom"/>
            <w:hideMark/>
          </w:tcPr>
          <w:p w14:paraId="459800F0" w14:textId="293E8B0D" w:rsidR="00626BC1" w:rsidRPr="00B26737" w:rsidRDefault="00626BC1" w:rsidP="00B26737">
            <w:pPr>
              <w:jc w:val="right"/>
              <w:rPr>
                <w:rFonts w:eastAsia="Times New Roman" w:cs="Times New Roman"/>
              </w:rPr>
            </w:pPr>
            <w:r w:rsidRPr="00B26737">
              <w:rPr>
                <w:rFonts w:eastAsia="Times New Roman" w:cs="Times New Roman"/>
              </w:rPr>
              <w:t>1.618152</w:t>
            </w:r>
          </w:p>
        </w:tc>
        <w:tc>
          <w:tcPr>
            <w:tcW w:w="1860" w:type="dxa"/>
            <w:tcBorders>
              <w:top w:val="nil"/>
              <w:left w:val="nil"/>
              <w:bottom w:val="nil"/>
              <w:right w:val="nil"/>
            </w:tcBorders>
            <w:shd w:val="clear" w:color="auto" w:fill="auto"/>
            <w:noWrap/>
            <w:vAlign w:val="bottom"/>
            <w:hideMark/>
          </w:tcPr>
          <w:p w14:paraId="7368BEBE" w14:textId="65006AEE" w:rsidR="00626BC1" w:rsidRPr="00B26737" w:rsidRDefault="00626BC1" w:rsidP="00B26737">
            <w:pPr>
              <w:jc w:val="right"/>
              <w:rPr>
                <w:rFonts w:eastAsia="Times New Roman" w:cs="Times New Roman"/>
              </w:rPr>
            </w:pPr>
            <w:r w:rsidRPr="00B26737">
              <w:rPr>
                <w:rFonts w:eastAsia="Times New Roman" w:cs="Times New Roman"/>
              </w:rPr>
              <w:t>0.024304</w:t>
            </w:r>
          </w:p>
        </w:tc>
        <w:tc>
          <w:tcPr>
            <w:tcW w:w="1860" w:type="dxa"/>
            <w:tcBorders>
              <w:top w:val="nil"/>
              <w:left w:val="nil"/>
              <w:bottom w:val="nil"/>
              <w:right w:val="nil"/>
            </w:tcBorders>
            <w:shd w:val="clear" w:color="auto" w:fill="auto"/>
            <w:noWrap/>
            <w:vAlign w:val="bottom"/>
            <w:hideMark/>
          </w:tcPr>
          <w:p w14:paraId="146A6AC6" w14:textId="663DCC15" w:rsidR="00626BC1" w:rsidRPr="00B26737" w:rsidRDefault="00626BC1" w:rsidP="00B26737">
            <w:pPr>
              <w:jc w:val="right"/>
              <w:rPr>
                <w:rFonts w:eastAsia="Times New Roman" w:cs="Times New Roman"/>
              </w:rPr>
            </w:pPr>
            <w:r w:rsidRPr="00B26737">
              <w:rPr>
                <w:rFonts w:eastAsia="Times New Roman" w:cs="Times New Roman"/>
              </w:rPr>
              <w:t>0.109</w:t>
            </w:r>
          </w:p>
        </w:tc>
      </w:tr>
      <w:tr w:rsidR="00626BC1" w:rsidRPr="00B26737" w14:paraId="6A61E4B5" w14:textId="77777777" w:rsidTr="00B26737">
        <w:trPr>
          <w:trHeight w:val="380"/>
        </w:trPr>
        <w:tc>
          <w:tcPr>
            <w:tcW w:w="2620" w:type="dxa"/>
            <w:tcBorders>
              <w:top w:val="nil"/>
              <w:left w:val="nil"/>
              <w:bottom w:val="nil"/>
              <w:right w:val="nil"/>
            </w:tcBorders>
            <w:shd w:val="clear" w:color="auto" w:fill="auto"/>
            <w:noWrap/>
            <w:vAlign w:val="bottom"/>
            <w:hideMark/>
          </w:tcPr>
          <w:p w14:paraId="72951700" w14:textId="6ED4A39E" w:rsidR="00626BC1" w:rsidRPr="00B26737" w:rsidRDefault="00626BC1" w:rsidP="00B26737">
            <w:pPr>
              <w:rPr>
                <w:rFonts w:eastAsia="Times New Roman" w:cs="Times New Roman"/>
                <w:b/>
                <w:bCs/>
              </w:rPr>
            </w:pPr>
            <w:r w:rsidRPr="00B26737">
              <w:rPr>
                <w:rFonts w:eastAsia="Times New Roman" w:cs="Times New Roman"/>
                <w:b/>
                <w:bCs/>
              </w:rPr>
              <w:t>Residuals</w:t>
            </w:r>
          </w:p>
        </w:tc>
        <w:tc>
          <w:tcPr>
            <w:tcW w:w="1240" w:type="dxa"/>
            <w:tcBorders>
              <w:top w:val="nil"/>
              <w:left w:val="nil"/>
              <w:bottom w:val="nil"/>
              <w:right w:val="nil"/>
            </w:tcBorders>
            <w:shd w:val="clear" w:color="auto" w:fill="auto"/>
            <w:noWrap/>
            <w:vAlign w:val="bottom"/>
            <w:hideMark/>
          </w:tcPr>
          <w:p w14:paraId="5CA05428" w14:textId="0713BDD6" w:rsidR="00626BC1" w:rsidRPr="00B26737" w:rsidRDefault="00626BC1" w:rsidP="00B26737">
            <w:pPr>
              <w:jc w:val="right"/>
              <w:rPr>
                <w:rFonts w:eastAsia="Times New Roman" w:cs="Times New Roman"/>
              </w:rPr>
            </w:pPr>
            <w:r w:rsidRPr="00B26737">
              <w:rPr>
                <w:rFonts w:eastAsia="Times New Roman" w:cs="Times New Roman"/>
              </w:rPr>
              <w:t>81</w:t>
            </w:r>
          </w:p>
        </w:tc>
        <w:tc>
          <w:tcPr>
            <w:tcW w:w="1860" w:type="dxa"/>
            <w:tcBorders>
              <w:top w:val="nil"/>
              <w:left w:val="nil"/>
              <w:bottom w:val="nil"/>
              <w:right w:val="nil"/>
            </w:tcBorders>
            <w:shd w:val="clear" w:color="auto" w:fill="auto"/>
            <w:noWrap/>
            <w:vAlign w:val="bottom"/>
            <w:hideMark/>
          </w:tcPr>
          <w:p w14:paraId="0DC977CC" w14:textId="416045E2" w:rsidR="00626BC1" w:rsidRPr="00B26737" w:rsidRDefault="00626BC1" w:rsidP="00B26737">
            <w:pPr>
              <w:jc w:val="right"/>
              <w:rPr>
                <w:rFonts w:eastAsia="Times New Roman" w:cs="Times New Roman"/>
              </w:rPr>
            </w:pPr>
            <w:r w:rsidRPr="00B26737">
              <w:rPr>
                <w:rFonts w:eastAsia="Times New Roman" w:cs="Times New Roman"/>
              </w:rPr>
              <w:t>1.136073</w:t>
            </w:r>
          </w:p>
        </w:tc>
        <w:tc>
          <w:tcPr>
            <w:tcW w:w="1860" w:type="dxa"/>
            <w:tcBorders>
              <w:top w:val="nil"/>
              <w:left w:val="nil"/>
              <w:bottom w:val="nil"/>
              <w:right w:val="nil"/>
            </w:tcBorders>
            <w:shd w:val="clear" w:color="auto" w:fill="auto"/>
            <w:noWrap/>
            <w:vAlign w:val="bottom"/>
            <w:hideMark/>
          </w:tcPr>
          <w:p w14:paraId="05058ADB" w14:textId="49D27A24" w:rsidR="00626BC1" w:rsidRPr="00B26737" w:rsidRDefault="00626BC1" w:rsidP="00B26737">
            <w:pPr>
              <w:jc w:val="right"/>
              <w:rPr>
                <w:rFonts w:eastAsia="Times New Roman" w:cs="Times New Roman"/>
              </w:rPr>
            </w:pPr>
            <w:r w:rsidRPr="00B26737">
              <w:rPr>
                <w:rFonts w:eastAsia="Times New Roman" w:cs="Times New Roman"/>
              </w:rPr>
              <w:t>0.014026</w:t>
            </w:r>
          </w:p>
        </w:tc>
        <w:tc>
          <w:tcPr>
            <w:tcW w:w="1860" w:type="dxa"/>
            <w:tcBorders>
              <w:top w:val="nil"/>
              <w:left w:val="nil"/>
              <w:bottom w:val="nil"/>
              <w:right w:val="nil"/>
            </w:tcBorders>
            <w:shd w:val="clear" w:color="auto" w:fill="auto"/>
            <w:noWrap/>
            <w:vAlign w:val="bottom"/>
            <w:hideMark/>
          </w:tcPr>
          <w:p w14:paraId="40AC9A72" w14:textId="064CD990" w:rsidR="00626BC1" w:rsidRPr="00B26737" w:rsidRDefault="00626BC1" w:rsidP="00B26737">
            <w:pPr>
              <w:jc w:val="right"/>
              <w:rPr>
                <w:rFonts w:eastAsia="Times New Roman" w:cs="Times New Roman"/>
              </w:rPr>
            </w:pPr>
            <w:r w:rsidRPr="00B26737">
              <w:rPr>
                <w:rFonts w:eastAsia="Times New Roman" w:cs="Times New Roman"/>
              </w:rPr>
              <w:t>NaN</w:t>
            </w:r>
          </w:p>
        </w:tc>
        <w:tc>
          <w:tcPr>
            <w:tcW w:w="1860" w:type="dxa"/>
            <w:tcBorders>
              <w:top w:val="nil"/>
              <w:left w:val="nil"/>
              <w:bottom w:val="nil"/>
              <w:right w:val="nil"/>
            </w:tcBorders>
            <w:shd w:val="clear" w:color="auto" w:fill="auto"/>
            <w:noWrap/>
            <w:vAlign w:val="bottom"/>
            <w:hideMark/>
          </w:tcPr>
          <w:p w14:paraId="38ADEBAB" w14:textId="251B6762" w:rsidR="00626BC1" w:rsidRPr="00B26737" w:rsidRDefault="00626BC1" w:rsidP="00B26737">
            <w:pPr>
              <w:jc w:val="right"/>
              <w:rPr>
                <w:rFonts w:eastAsia="Times New Roman" w:cs="Times New Roman"/>
              </w:rPr>
            </w:pPr>
            <w:r w:rsidRPr="00B26737">
              <w:rPr>
                <w:rFonts w:eastAsia="Times New Roman" w:cs="Times New Roman"/>
              </w:rPr>
              <w:t>0.405529</w:t>
            </w:r>
          </w:p>
        </w:tc>
        <w:tc>
          <w:tcPr>
            <w:tcW w:w="1860" w:type="dxa"/>
            <w:tcBorders>
              <w:top w:val="nil"/>
              <w:left w:val="nil"/>
              <w:bottom w:val="nil"/>
              <w:right w:val="nil"/>
            </w:tcBorders>
            <w:shd w:val="clear" w:color="auto" w:fill="auto"/>
            <w:noWrap/>
            <w:vAlign w:val="bottom"/>
            <w:hideMark/>
          </w:tcPr>
          <w:p w14:paraId="0336DA50" w14:textId="3B43A6F0" w:rsidR="00626BC1" w:rsidRPr="00B26737" w:rsidRDefault="00626BC1" w:rsidP="00B26737">
            <w:pPr>
              <w:jc w:val="right"/>
              <w:rPr>
                <w:rFonts w:eastAsia="Times New Roman" w:cs="Times New Roman"/>
              </w:rPr>
            </w:pPr>
            <w:r w:rsidRPr="00B26737">
              <w:rPr>
                <w:rFonts w:eastAsia="Times New Roman" w:cs="Times New Roman"/>
              </w:rPr>
              <w:t>NaN</w:t>
            </w:r>
          </w:p>
        </w:tc>
      </w:tr>
      <w:tr w:rsidR="00626BC1" w:rsidRPr="00B26737" w14:paraId="446D74F9" w14:textId="77777777" w:rsidTr="00B26737">
        <w:trPr>
          <w:trHeight w:val="380"/>
        </w:trPr>
        <w:tc>
          <w:tcPr>
            <w:tcW w:w="2620" w:type="dxa"/>
            <w:tcBorders>
              <w:top w:val="nil"/>
              <w:left w:val="nil"/>
              <w:bottom w:val="nil"/>
              <w:right w:val="nil"/>
            </w:tcBorders>
            <w:shd w:val="clear" w:color="auto" w:fill="auto"/>
            <w:noWrap/>
            <w:vAlign w:val="bottom"/>
            <w:hideMark/>
          </w:tcPr>
          <w:p w14:paraId="488FF60E" w14:textId="0E69E1FE" w:rsidR="00626BC1" w:rsidRPr="00B26737" w:rsidRDefault="00626BC1" w:rsidP="00B26737">
            <w:pPr>
              <w:rPr>
                <w:rFonts w:eastAsia="Times New Roman" w:cs="Times New Roman"/>
                <w:b/>
                <w:bCs/>
              </w:rPr>
            </w:pPr>
            <w:r w:rsidRPr="00B26737">
              <w:rPr>
                <w:rFonts w:eastAsia="Times New Roman" w:cs="Times New Roman"/>
                <w:b/>
                <w:bCs/>
              </w:rPr>
              <w:t>Total</w:t>
            </w:r>
          </w:p>
        </w:tc>
        <w:tc>
          <w:tcPr>
            <w:tcW w:w="1240" w:type="dxa"/>
            <w:tcBorders>
              <w:top w:val="nil"/>
              <w:left w:val="nil"/>
              <w:bottom w:val="nil"/>
              <w:right w:val="nil"/>
            </w:tcBorders>
            <w:shd w:val="clear" w:color="auto" w:fill="auto"/>
            <w:noWrap/>
            <w:vAlign w:val="bottom"/>
            <w:hideMark/>
          </w:tcPr>
          <w:p w14:paraId="55DF630E" w14:textId="646E6D85" w:rsidR="00626BC1" w:rsidRPr="00B26737" w:rsidRDefault="00626BC1" w:rsidP="00B26737">
            <w:pPr>
              <w:jc w:val="right"/>
              <w:rPr>
                <w:rFonts w:eastAsia="Times New Roman" w:cs="Times New Roman"/>
              </w:rPr>
            </w:pPr>
            <w:r w:rsidRPr="00B26737">
              <w:rPr>
                <w:rFonts w:eastAsia="Times New Roman" w:cs="Times New Roman"/>
              </w:rPr>
              <w:t>113</w:t>
            </w:r>
          </w:p>
        </w:tc>
        <w:tc>
          <w:tcPr>
            <w:tcW w:w="1860" w:type="dxa"/>
            <w:tcBorders>
              <w:top w:val="nil"/>
              <w:left w:val="nil"/>
              <w:bottom w:val="nil"/>
              <w:right w:val="nil"/>
            </w:tcBorders>
            <w:shd w:val="clear" w:color="auto" w:fill="auto"/>
            <w:noWrap/>
            <w:vAlign w:val="bottom"/>
            <w:hideMark/>
          </w:tcPr>
          <w:p w14:paraId="75E80678" w14:textId="08E6410D" w:rsidR="00626BC1" w:rsidRPr="00B26737" w:rsidRDefault="00626BC1" w:rsidP="00B26737">
            <w:pPr>
              <w:jc w:val="right"/>
              <w:rPr>
                <w:rFonts w:eastAsia="Times New Roman" w:cs="Times New Roman"/>
              </w:rPr>
            </w:pPr>
            <w:r w:rsidRPr="00B26737">
              <w:rPr>
                <w:rFonts w:eastAsia="Times New Roman" w:cs="Times New Roman"/>
              </w:rPr>
              <w:t>2.801461</w:t>
            </w:r>
          </w:p>
        </w:tc>
        <w:tc>
          <w:tcPr>
            <w:tcW w:w="1860" w:type="dxa"/>
            <w:tcBorders>
              <w:top w:val="nil"/>
              <w:left w:val="nil"/>
              <w:bottom w:val="nil"/>
              <w:right w:val="nil"/>
            </w:tcBorders>
            <w:shd w:val="clear" w:color="auto" w:fill="auto"/>
            <w:noWrap/>
            <w:vAlign w:val="bottom"/>
            <w:hideMark/>
          </w:tcPr>
          <w:p w14:paraId="614D297F" w14:textId="152FD472" w:rsidR="00626BC1" w:rsidRPr="00B26737" w:rsidRDefault="00626BC1" w:rsidP="00B26737">
            <w:pPr>
              <w:jc w:val="right"/>
              <w:rPr>
                <w:rFonts w:eastAsia="Times New Roman" w:cs="Times New Roman"/>
              </w:rPr>
            </w:pPr>
            <w:r w:rsidRPr="00B26737">
              <w:rPr>
                <w:rFonts w:eastAsia="Times New Roman" w:cs="Times New Roman"/>
              </w:rPr>
              <w:t>NaN</w:t>
            </w:r>
          </w:p>
        </w:tc>
        <w:tc>
          <w:tcPr>
            <w:tcW w:w="1860" w:type="dxa"/>
            <w:tcBorders>
              <w:top w:val="nil"/>
              <w:left w:val="nil"/>
              <w:bottom w:val="nil"/>
              <w:right w:val="nil"/>
            </w:tcBorders>
            <w:shd w:val="clear" w:color="auto" w:fill="auto"/>
            <w:noWrap/>
            <w:vAlign w:val="bottom"/>
            <w:hideMark/>
          </w:tcPr>
          <w:p w14:paraId="683DC95F" w14:textId="7EC7D83D" w:rsidR="00626BC1" w:rsidRPr="00B26737" w:rsidRDefault="00626BC1" w:rsidP="00B26737">
            <w:pPr>
              <w:rPr>
                <w:rFonts w:eastAsia="Times New Roman" w:cs="Times New Roman"/>
              </w:rPr>
            </w:pPr>
            <w:r w:rsidRPr="00B26737">
              <w:rPr>
                <w:rFonts w:eastAsia="Times New Roman" w:cs="Times New Roman"/>
              </w:rPr>
              <w:t>NaN</w:t>
            </w:r>
          </w:p>
        </w:tc>
        <w:tc>
          <w:tcPr>
            <w:tcW w:w="1860" w:type="dxa"/>
            <w:tcBorders>
              <w:top w:val="nil"/>
              <w:left w:val="nil"/>
              <w:bottom w:val="nil"/>
              <w:right w:val="nil"/>
            </w:tcBorders>
            <w:shd w:val="clear" w:color="auto" w:fill="auto"/>
            <w:noWrap/>
            <w:vAlign w:val="bottom"/>
            <w:hideMark/>
          </w:tcPr>
          <w:p w14:paraId="2563325B" w14:textId="7790FC88" w:rsidR="00626BC1" w:rsidRPr="00B26737" w:rsidRDefault="00626BC1" w:rsidP="00B26737">
            <w:pPr>
              <w:jc w:val="right"/>
              <w:rPr>
                <w:rFonts w:eastAsia="Times New Roman" w:cs="Times New Roman"/>
              </w:rPr>
            </w:pPr>
            <w:r w:rsidRPr="00B26737">
              <w:rPr>
                <w:rFonts w:eastAsia="Times New Roman" w:cs="Times New Roman"/>
              </w:rPr>
              <w:t>1</w:t>
            </w:r>
          </w:p>
        </w:tc>
        <w:tc>
          <w:tcPr>
            <w:tcW w:w="1860" w:type="dxa"/>
            <w:tcBorders>
              <w:top w:val="nil"/>
              <w:left w:val="nil"/>
              <w:bottom w:val="nil"/>
              <w:right w:val="nil"/>
            </w:tcBorders>
            <w:shd w:val="clear" w:color="auto" w:fill="auto"/>
            <w:noWrap/>
            <w:vAlign w:val="bottom"/>
            <w:hideMark/>
          </w:tcPr>
          <w:p w14:paraId="698F95A9" w14:textId="576D03EF" w:rsidR="00626BC1" w:rsidRPr="00B26737" w:rsidRDefault="00626BC1" w:rsidP="00B26737">
            <w:pPr>
              <w:rPr>
                <w:rFonts w:eastAsia="Times New Roman" w:cs="Times New Roman"/>
              </w:rPr>
            </w:pPr>
            <w:r w:rsidRPr="00B26737">
              <w:rPr>
                <w:rFonts w:eastAsia="Times New Roman" w:cs="Times New Roman"/>
              </w:rPr>
              <w:t>NaN</w:t>
            </w:r>
          </w:p>
        </w:tc>
      </w:tr>
      <w:tr w:rsidR="00626BC1" w:rsidRPr="00B26737" w14:paraId="4FC700D7" w14:textId="77777777" w:rsidTr="009514F5">
        <w:trPr>
          <w:trHeight w:val="380"/>
        </w:trPr>
        <w:tc>
          <w:tcPr>
            <w:tcW w:w="2620" w:type="dxa"/>
            <w:tcBorders>
              <w:top w:val="nil"/>
              <w:left w:val="nil"/>
              <w:bottom w:val="nil"/>
              <w:right w:val="nil"/>
            </w:tcBorders>
            <w:shd w:val="clear" w:color="auto" w:fill="auto"/>
            <w:noWrap/>
            <w:vAlign w:val="bottom"/>
          </w:tcPr>
          <w:p w14:paraId="362D429C" w14:textId="585982E5" w:rsidR="00626BC1" w:rsidRPr="00B26737" w:rsidRDefault="00626BC1" w:rsidP="00B26737">
            <w:pPr>
              <w:rPr>
                <w:rFonts w:eastAsia="Times New Roman" w:cs="Times New Roman"/>
                <w:b/>
                <w:bCs/>
              </w:rPr>
            </w:pPr>
          </w:p>
        </w:tc>
        <w:tc>
          <w:tcPr>
            <w:tcW w:w="1240" w:type="dxa"/>
            <w:tcBorders>
              <w:top w:val="nil"/>
              <w:left w:val="nil"/>
              <w:bottom w:val="nil"/>
              <w:right w:val="nil"/>
            </w:tcBorders>
            <w:shd w:val="clear" w:color="auto" w:fill="auto"/>
            <w:noWrap/>
            <w:vAlign w:val="bottom"/>
          </w:tcPr>
          <w:p w14:paraId="01611F76" w14:textId="2B3982BE" w:rsidR="00626BC1" w:rsidRPr="00B26737" w:rsidRDefault="00626BC1" w:rsidP="00B26737">
            <w:pPr>
              <w:jc w:val="right"/>
              <w:rPr>
                <w:rFonts w:eastAsia="Times New Roman" w:cs="Times New Roman"/>
              </w:rPr>
            </w:pPr>
          </w:p>
        </w:tc>
        <w:tc>
          <w:tcPr>
            <w:tcW w:w="1860" w:type="dxa"/>
            <w:tcBorders>
              <w:top w:val="nil"/>
              <w:left w:val="nil"/>
              <w:bottom w:val="nil"/>
              <w:right w:val="nil"/>
            </w:tcBorders>
            <w:shd w:val="clear" w:color="auto" w:fill="auto"/>
            <w:noWrap/>
            <w:vAlign w:val="bottom"/>
          </w:tcPr>
          <w:p w14:paraId="06009B9B" w14:textId="14A579AC" w:rsidR="00626BC1" w:rsidRPr="00B26737" w:rsidRDefault="00626BC1" w:rsidP="00B26737">
            <w:pPr>
              <w:jc w:val="right"/>
              <w:rPr>
                <w:rFonts w:eastAsia="Times New Roman" w:cs="Times New Roman"/>
              </w:rPr>
            </w:pPr>
          </w:p>
        </w:tc>
        <w:tc>
          <w:tcPr>
            <w:tcW w:w="1860" w:type="dxa"/>
            <w:tcBorders>
              <w:top w:val="nil"/>
              <w:left w:val="nil"/>
              <w:bottom w:val="nil"/>
              <w:right w:val="nil"/>
            </w:tcBorders>
            <w:shd w:val="clear" w:color="auto" w:fill="auto"/>
            <w:noWrap/>
            <w:vAlign w:val="bottom"/>
          </w:tcPr>
          <w:p w14:paraId="605E4374" w14:textId="127B0618" w:rsidR="00626BC1" w:rsidRPr="00B26737" w:rsidRDefault="00626BC1" w:rsidP="00B26737">
            <w:pPr>
              <w:rPr>
                <w:rFonts w:eastAsia="Times New Roman" w:cs="Times New Roman"/>
              </w:rPr>
            </w:pPr>
          </w:p>
        </w:tc>
        <w:tc>
          <w:tcPr>
            <w:tcW w:w="1860" w:type="dxa"/>
            <w:tcBorders>
              <w:top w:val="nil"/>
              <w:left w:val="nil"/>
              <w:bottom w:val="nil"/>
              <w:right w:val="nil"/>
            </w:tcBorders>
            <w:shd w:val="clear" w:color="auto" w:fill="auto"/>
            <w:noWrap/>
            <w:vAlign w:val="bottom"/>
          </w:tcPr>
          <w:p w14:paraId="1B4E9CAE" w14:textId="0F999879" w:rsidR="00626BC1" w:rsidRPr="00B26737" w:rsidRDefault="00626BC1" w:rsidP="00B26737">
            <w:pPr>
              <w:rPr>
                <w:rFonts w:eastAsia="Times New Roman" w:cs="Times New Roman"/>
              </w:rPr>
            </w:pPr>
          </w:p>
        </w:tc>
        <w:tc>
          <w:tcPr>
            <w:tcW w:w="1860" w:type="dxa"/>
            <w:tcBorders>
              <w:top w:val="nil"/>
              <w:left w:val="nil"/>
              <w:bottom w:val="nil"/>
              <w:right w:val="nil"/>
            </w:tcBorders>
            <w:shd w:val="clear" w:color="auto" w:fill="auto"/>
            <w:noWrap/>
            <w:vAlign w:val="bottom"/>
          </w:tcPr>
          <w:p w14:paraId="31DD8A24" w14:textId="4C91C75A" w:rsidR="00626BC1" w:rsidRPr="00B26737" w:rsidRDefault="00626BC1" w:rsidP="00B26737">
            <w:pPr>
              <w:jc w:val="right"/>
              <w:rPr>
                <w:rFonts w:eastAsia="Times New Roman" w:cs="Times New Roman"/>
              </w:rPr>
            </w:pPr>
          </w:p>
        </w:tc>
        <w:tc>
          <w:tcPr>
            <w:tcW w:w="1860" w:type="dxa"/>
            <w:tcBorders>
              <w:top w:val="nil"/>
              <w:left w:val="nil"/>
              <w:bottom w:val="nil"/>
              <w:right w:val="nil"/>
            </w:tcBorders>
            <w:shd w:val="clear" w:color="auto" w:fill="auto"/>
            <w:noWrap/>
            <w:vAlign w:val="bottom"/>
          </w:tcPr>
          <w:p w14:paraId="1B095322" w14:textId="386D1A2B" w:rsidR="00626BC1" w:rsidRPr="00B26737" w:rsidRDefault="00626BC1" w:rsidP="00B26737">
            <w:pPr>
              <w:rPr>
                <w:rFonts w:eastAsia="Times New Roman" w:cs="Times New Roman"/>
              </w:rPr>
            </w:pPr>
          </w:p>
        </w:tc>
      </w:tr>
    </w:tbl>
    <w:p w14:paraId="5740B09A" w14:textId="2CDE8E58" w:rsidR="00B26737" w:rsidRPr="00A53C1D" w:rsidRDefault="00B26737" w:rsidP="007004E5">
      <w:pPr>
        <w:rPr>
          <w:rFonts w:cs="Times New Roman"/>
        </w:rPr>
        <w:sectPr w:rsidR="00B26737" w:rsidRPr="00A53C1D" w:rsidSect="001A41F9">
          <w:pgSz w:w="15840" w:h="12240" w:orient="landscape"/>
          <w:pgMar w:top="1440" w:right="1440" w:bottom="1440" w:left="1440" w:header="720" w:footer="720" w:gutter="0"/>
          <w:cols w:space="720"/>
          <w:docGrid w:linePitch="360"/>
        </w:sectPr>
      </w:pPr>
    </w:p>
    <w:p w14:paraId="1087934E" w14:textId="0172C3D0" w:rsidR="0036026C" w:rsidRPr="00A53C1D" w:rsidRDefault="0036026C" w:rsidP="0036026C">
      <w:pPr>
        <w:rPr>
          <w:rFonts w:cs="Times New Roman"/>
          <w:b/>
          <w:bCs/>
        </w:rPr>
      </w:pPr>
      <w:r w:rsidRPr="00A53C1D">
        <w:rPr>
          <w:rFonts w:cs="Times New Roman"/>
          <w:b/>
          <w:bCs/>
        </w:rPr>
        <w:lastRenderedPageBreak/>
        <w:t xml:space="preserve">Table </w:t>
      </w:r>
      <w:r w:rsidR="00FD07E9">
        <w:rPr>
          <w:rFonts w:cs="Times New Roman"/>
          <w:b/>
          <w:bCs/>
        </w:rPr>
        <w:t>3.</w:t>
      </w:r>
      <w:r w:rsidRPr="00A53C1D">
        <w:rPr>
          <w:rFonts w:cs="Times New Roman"/>
          <w:b/>
          <w:bCs/>
        </w:rPr>
        <w:t>10 PERMANOVA and beta-dispersion results of peridomestic palms with unweighted and weighted UniFrac distance matrix</w:t>
      </w:r>
    </w:p>
    <w:p w14:paraId="67FCEFFE" w14:textId="3C2AC9FD" w:rsidR="007004E5" w:rsidRDefault="0036026C" w:rsidP="0036026C">
      <w:pPr>
        <w:rPr>
          <w:rFonts w:cs="Times New Roman"/>
        </w:rPr>
      </w:pPr>
      <w:r w:rsidRPr="00A53C1D">
        <w:rPr>
          <w:rFonts w:cs="Times New Roman"/>
        </w:rPr>
        <w:t>Results highlighted in boldface indicate p-values of less than 0.05.</w:t>
      </w:r>
    </w:p>
    <w:p w14:paraId="1EABB475" w14:textId="77777777" w:rsidR="00626BC1" w:rsidRPr="00A53C1D" w:rsidRDefault="00626BC1" w:rsidP="0036026C">
      <w:pPr>
        <w:rPr>
          <w:rFonts w:cs="Times New Roman"/>
        </w:rPr>
      </w:pPr>
    </w:p>
    <w:p w14:paraId="032EF0C0" w14:textId="77777777" w:rsidR="00867946" w:rsidRPr="00A53C1D" w:rsidRDefault="00867946" w:rsidP="0036026C">
      <w:pPr>
        <w:rPr>
          <w:rFonts w:cs="Times New Roman"/>
        </w:rPr>
      </w:pPr>
    </w:p>
    <w:p w14:paraId="55CE22C6" w14:textId="77777777" w:rsidR="00867946" w:rsidRPr="00A53C1D" w:rsidRDefault="00867946" w:rsidP="0036026C">
      <w:pPr>
        <w:rPr>
          <w:rFonts w:cs="Times New Roman"/>
        </w:rPr>
      </w:pPr>
    </w:p>
    <w:tbl>
      <w:tblPr>
        <w:tblW w:w="8680" w:type="dxa"/>
        <w:tblLook w:val="04A0" w:firstRow="1" w:lastRow="0" w:firstColumn="1" w:lastColumn="0" w:noHBand="0" w:noVBand="1"/>
      </w:tblPr>
      <w:tblGrid>
        <w:gridCol w:w="3480"/>
        <w:gridCol w:w="2600"/>
        <w:gridCol w:w="2600"/>
      </w:tblGrid>
      <w:tr w:rsidR="00867946" w:rsidRPr="00867946" w14:paraId="75AC99D0" w14:textId="77777777" w:rsidTr="00867946">
        <w:trPr>
          <w:trHeight w:val="380"/>
        </w:trPr>
        <w:tc>
          <w:tcPr>
            <w:tcW w:w="3480" w:type="dxa"/>
            <w:tcBorders>
              <w:top w:val="nil"/>
              <w:left w:val="nil"/>
              <w:bottom w:val="nil"/>
              <w:right w:val="single" w:sz="4" w:space="0" w:color="auto"/>
            </w:tcBorders>
            <w:shd w:val="clear" w:color="auto" w:fill="auto"/>
            <w:noWrap/>
            <w:vAlign w:val="bottom"/>
            <w:hideMark/>
          </w:tcPr>
          <w:p w14:paraId="6A09936B" w14:textId="77777777" w:rsidR="00867946" w:rsidRPr="00867946" w:rsidRDefault="00867946" w:rsidP="00867946">
            <w:pPr>
              <w:jc w:val="center"/>
              <w:rPr>
                <w:rFonts w:eastAsia="Times New Roman" w:cs="Times New Roman"/>
                <w:b/>
                <w:bCs/>
              </w:rPr>
            </w:pPr>
            <w:r w:rsidRPr="00867946">
              <w:rPr>
                <w:rFonts w:eastAsia="Times New Roman" w:cs="Times New Roman"/>
                <w:b/>
                <w:bCs/>
              </w:rPr>
              <w:t>PERMANOVA results</w:t>
            </w:r>
          </w:p>
        </w:tc>
        <w:tc>
          <w:tcPr>
            <w:tcW w:w="2600" w:type="dxa"/>
            <w:tcBorders>
              <w:top w:val="nil"/>
              <w:left w:val="nil"/>
              <w:bottom w:val="nil"/>
              <w:right w:val="nil"/>
            </w:tcBorders>
            <w:shd w:val="clear" w:color="auto" w:fill="auto"/>
            <w:noWrap/>
            <w:vAlign w:val="bottom"/>
            <w:hideMark/>
          </w:tcPr>
          <w:p w14:paraId="0C69630A" w14:textId="77777777" w:rsidR="00867946" w:rsidRPr="00867946" w:rsidRDefault="00867946" w:rsidP="00867946">
            <w:pPr>
              <w:jc w:val="center"/>
              <w:rPr>
                <w:rFonts w:eastAsia="Times New Roman" w:cs="Times New Roman"/>
                <w:b/>
                <w:bCs/>
              </w:rPr>
            </w:pPr>
          </w:p>
        </w:tc>
        <w:tc>
          <w:tcPr>
            <w:tcW w:w="2600" w:type="dxa"/>
            <w:tcBorders>
              <w:top w:val="nil"/>
              <w:left w:val="nil"/>
              <w:bottom w:val="nil"/>
              <w:right w:val="nil"/>
            </w:tcBorders>
            <w:shd w:val="clear" w:color="auto" w:fill="auto"/>
            <w:noWrap/>
            <w:vAlign w:val="bottom"/>
            <w:hideMark/>
          </w:tcPr>
          <w:p w14:paraId="42093114" w14:textId="77777777" w:rsidR="00867946" w:rsidRPr="00867946" w:rsidRDefault="00867946" w:rsidP="00867946">
            <w:pPr>
              <w:rPr>
                <w:rFonts w:eastAsia="Times New Roman" w:cs="Times New Roman"/>
              </w:rPr>
            </w:pPr>
          </w:p>
        </w:tc>
      </w:tr>
      <w:tr w:rsidR="00867946" w:rsidRPr="00867946" w14:paraId="1F8282E2" w14:textId="77777777" w:rsidTr="00867946">
        <w:trPr>
          <w:trHeight w:val="380"/>
        </w:trPr>
        <w:tc>
          <w:tcPr>
            <w:tcW w:w="3480" w:type="dxa"/>
            <w:tcBorders>
              <w:top w:val="nil"/>
              <w:left w:val="nil"/>
              <w:bottom w:val="single" w:sz="4" w:space="0" w:color="auto"/>
              <w:right w:val="single" w:sz="4" w:space="0" w:color="auto"/>
            </w:tcBorders>
            <w:shd w:val="clear" w:color="auto" w:fill="auto"/>
            <w:noWrap/>
            <w:vAlign w:val="bottom"/>
            <w:hideMark/>
          </w:tcPr>
          <w:p w14:paraId="7995C0B0" w14:textId="77777777" w:rsidR="00867946" w:rsidRPr="00867946" w:rsidRDefault="00867946" w:rsidP="00867946">
            <w:pPr>
              <w:jc w:val="center"/>
              <w:rPr>
                <w:rFonts w:eastAsia="Times New Roman" w:cs="Times New Roman"/>
                <w:b/>
                <w:bCs/>
              </w:rPr>
            </w:pPr>
            <w:r w:rsidRPr="00867946">
              <w:rPr>
                <w:rFonts w:eastAsia="Times New Roman" w:cs="Times New Roman"/>
                <w:b/>
                <w:bCs/>
              </w:rPr>
              <w:t>Distance matrix</w:t>
            </w:r>
          </w:p>
        </w:tc>
        <w:tc>
          <w:tcPr>
            <w:tcW w:w="2600" w:type="dxa"/>
            <w:tcBorders>
              <w:top w:val="nil"/>
              <w:left w:val="nil"/>
              <w:bottom w:val="single" w:sz="4" w:space="0" w:color="auto"/>
              <w:right w:val="nil"/>
            </w:tcBorders>
            <w:shd w:val="clear" w:color="auto" w:fill="auto"/>
            <w:noWrap/>
            <w:vAlign w:val="bottom"/>
            <w:hideMark/>
          </w:tcPr>
          <w:p w14:paraId="010E1129" w14:textId="77777777" w:rsidR="00867946" w:rsidRPr="00867946" w:rsidRDefault="00867946" w:rsidP="00867946">
            <w:pPr>
              <w:rPr>
                <w:rFonts w:eastAsia="Times New Roman" w:cs="Times New Roman"/>
                <w:b/>
                <w:bCs/>
              </w:rPr>
            </w:pPr>
            <w:r w:rsidRPr="00867946">
              <w:rPr>
                <w:rFonts w:eastAsia="Times New Roman" w:cs="Times New Roman"/>
                <w:b/>
                <w:bCs/>
              </w:rPr>
              <w:t>Unweighted UniFrac</w:t>
            </w:r>
          </w:p>
        </w:tc>
        <w:tc>
          <w:tcPr>
            <w:tcW w:w="2600" w:type="dxa"/>
            <w:tcBorders>
              <w:top w:val="nil"/>
              <w:left w:val="nil"/>
              <w:bottom w:val="single" w:sz="4" w:space="0" w:color="auto"/>
              <w:right w:val="nil"/>
            </w:tcBorders>
            <w:shd w:val="clear" w:color="auto" w:fill="auto"/>
            <w:noWrap/>
            <w:vAlign w:val="bottom"/>
            <w:hideMark/>
          </w:tcPr>
          <w:p w14:paraId="13B4F0B1" w14:textId="77777777" w:rsidR="00867946" w:rsidRPr="00867946" w:rsidRDefault="00867946" w:rsidP="00867946">
            <w:pPr>
              <w:rPr>
                <w:rFonts w:eastAsia="Times New Roman" w:cs="Times New Roman"/>
                <w:b/>
                <w:bCs/>
              </w:rPr>
            </w:pPr>
            <w:r w:rsidRPr="00867946">
              <w:rPr>
                <w:rFonts w:eastAsia="Times New Roman" w:cs="Times New Roman"/>
                <w:b/>
                <w:bCs/>
              </w:rPr>
              <w:t>Weighted UniFrac</w:t>
            </w:r>
          </w:p>
        </w:tc>
      </w:tr>
      <w:tr w:rsidR="00867946" w:rsidRPr="00867946" w14:paraId="7D7916E8" w14:textId="77777777" w:rsidTr="00867946">
        <w:trPr>
          <w:trHeight w:val="380"/>
        </w:trPr>
        <w:tc>
          <w:tcPr>
            <w:tcW w:w="3480" w:type="dxa"/>
            <w:tcBorders>
              <w:top w:val="nil"/>
              <w:left w:val="nil"/>
              <w:bottom w:val="nil"/>
              <w:right w:val="single" w:sz="4" w:space="0" w:color="auto"/>
            </w:tcBorders>
            <w:shd w:val="clear" w:color="auto" w:fill="auto"/>
            <w:noWrap/>
            <w:vAlign w:val="bottom"/>
            <w:hideMark/>
          </w:tcPr>
          <w:p w14:paraId="6CE3C924" w14:textId="77777777" w:rsidR="00867946" w:rsidRPr="00867946" w:rsidRDefault="00867946" w:rsidP="00867946">
            <w:pPr>
              <w:jc w:val="center"/>
              <w:rPr>
                <w:rFonts w:eastAsia="Times New Roman" w:cs="Times New Roman"/>
                <w:b/>
                <w:bCs/>
              </w:rPr>
            </w:pPr>
            <w:r w:rsidRPr="00867946">
              <w:rPr>
                <w:rFonts w:eastAsia="Times New Roman" w:cs="Times New Roman"/>
                <w:b/>
                <w:bCs/>
              </w:rPr>
              <w:t>test statistic name</w:t>
            </w:r>
          </w:p>
        </w:tc>
        <w:tc>
          <w:tcPr>
            <w:tcW w:w="2600" w:type="dxa"/>
            <w:tcBorders>
              <w:top w:val="nil"/>
              <w:left w:val="nil"/>
              <w:bottom w:val="nil"/>
              <w:right w:val="nil"/>
            </w:tcBorders>
            <w:shd w:val="clear" w:color="auto" w:fill="auto"/>
            <w:noWrap/>
            <w:vAlign w:val="bottom"/>
            <w:hideMark/>
          </w:tcPr>
          <w:p w14:paraId="79A852A3" w14:textId="77777777" w:rsidR="00867946" w:rsidRPr="00867946" w:rsidRDefault="00867946" w:rsidP="00867946">
            <w:pPr>
              <w:rPr>
                <w:rFonts w:eastAsia="Times New Roman" w:cs="Times New Roman"/>
              </w:rPr>
            </w:pPr>
            <w:r w:rsidRPr="00867946">
              <w:rPr>
                <w:rFonts w:eastAsia="Times New Roman" w:cs="Times New Roman"/>
              </w:rPr>
              <w:t>pseudo-F</w:t>
            </w:r>
          </w:p>
        </w:tc>
        <w:tc>
          <w:tcPr>
            <w:tcW w:w="2600" w:type="dxa"/>
            <w:tcBorders>
              <w:top w:val="nil"/>
              <w:left w:val="nil"/>
              <w:bottom w:val="nil"/>
              <w:right w:val="nil"/>
            </w:tcBorders>
            <w:shd w:val="clear" w:color="auto" w:fill="auto"/>
            <w:noWrap/>
            <w:vAlign w:val="bottom"/>
            <w:hideMark/>
          </w:tcPr>
          <w:p w14:paraId="497736AB" w14:textId="77777777" w:rsidR="00867946" w:rsidRPr="00867946" w:rsidRDefault="00867946" w:rsidP="00867946">
            <w:pPr>
              <w:rPr>
                <w:rFonts w:eastAsia="Times New Roman" w:cs="Times New Roman"/>
              </w:rPr>
            </w:pPr>
            <w:r w:rsidRPr="00867946">
              <w:rPr>
                <w:rFonts w:eastAsia="Times New Roman" w:cs="Times New Roman"/>
              </w:rPr>
              <w:t>pseudo-F</w:t>
            </w:r>
          </w:p>
        </w:tc>
      </w:tr>
      <w:tr w:rsidR="00867946" w:rsidRPr="00867946" w14:paraId="75C9115D" w14:textId="77777777" w:rsidTr="00867946">
        <w:trPr>
          <w:trHeight w:val="380"/>
        </w:trPr>
        <w:tc>
          <w:tcPr>
            <w:tcW w:w="3480" w:type="dxa"/>
            <w:tcBorders>
              <w:top w:val="nil"/>
              <w:left w:val="nil"/>
              <w:bottom w:val="nil"/>
              <w:right w:val="single" w:sz="4" w:space="0" w:color="auto"/>
            </w:tcBorders>
            <w:shd w:val="clear" w:color="auto" w:fill="auto"/>
            <w:noWrap/>
            <w:vAlign w:val="bottom"/>
            <w:hideMark/>
          </w:tcPr>
          <w:p w14:paraId="2970CBDA" w14:textId="77777777" w:rsidR="00867946" w:rsidRPr="00867946" w:rsidRDefault="00867946" w:rsidP="00867946">
            <w:pPr>
              <w:jc w:val="center"/>
              <w:rPr>
                <w:rFonts w:eastAsia="Times New Roman" w:cs="Times New Roman"/>
                <w:b/>
                <w:bCs/>
              </w:rPr>
            </w:pPr>
            <w:r w:rsidRPr="00867946">
              <w:rPr>
                <w:rFonts w:eastAsia="Times New Roman" w:cs="Times New Roman"/>
                <w:b/>
                <w:bCs/>
              </w:rPr>
              <w:t>sample size</w:t>
            </w:r>
          </w:p>
        </w:tc>
        <w:tc>
          <w:tcPr>
            <w:tcW w:w="2600" w:type="dxa"/>
            <w:tcBorders>
              <w:top w:val="nil"/>
              <w:left w:val="nil"/>
              <w:bottom w:val="nil"/>
              <w:right w:val="nil"/>
            </w:tcBorders>
            <w:shd w:val="clear" w:color="auto" w:fill="auto"/>
            <w:noWrap/>
            <w:vAlign w:val="bottom"/>
            <w:hideMark/>
          </w:tcPr>
          <w:p w14:paraId="6749308D" w14:textId="77777777" w:rsidR="00867946" w:rsidRPr="00867946" w:rsidRDefault="00867946" w:rsidP="00867946">
            <w:pPr>
              <w:jc w:val="right"/>
              <w:rPr>
                <w:rFonts w:eastAsia="Times New Roman" w:cs="Times New Roman"/>
              </w:rPr>
            </w:pPr>
            <w:r w:rsidRPr="00867946">
              <w:rPr>
                <w:rFonts w:eastAsia="Times New Roman" w:cs="Times New Roman"/>
              </w:rPr>
              <w:t>104</w:t>
            </w:r>
          </w:p>
        </w:tc>
        <w:tc>
          <w:tcPr>
            <w:tcW w:w="2600" w:type="dxa"/>
            <w:tcBorders>
              <w:top w:val="nil"/>
              <w:left w:val="nil"/>
              <w:bottom w:val="nil"/>
              <w:right w:val="nil"/>
            </w:tcBorders>
            <w:shd w:val="clear" w:color="auto" w:fill="auto"/>
            <w:noWrap/>
            <w:vAlign w:val="bottom"/>
            <w:hideMark/>
          </w:tcPr>
          <w:p w14:paraId="7DD88090" w14:textId="77777777" w:rsidR="00867946" w:rsidRPr="00867946" w:rsidRDefault="00867946" w:rsidP="00867946">
            <w:pPr>
              <w:jc w:val="right"/>
              <w:rPr>
                <w:rFonts w:eastAsia="Times New Roman" w:cs="Times New Roman"/>
              </w:rPr>
            </w:pPr>
            <w:r w:rsidRPr="00867946">
              <w:rPr>
                <w:rFonts w:eastAsia="Times New Roman" w:cs="Times New Roman"/>
              </w:rPr>
              <w:t>104</w:t>
            </w:r>
          </w:p>
        </w:tc>
      </w:tr>
      <w:tr w:rsidR="00867946" w:rsidRPr="00867946" w14:paraId="3E6E8F0F" w14:textId="77777777" w:rsidTr="00867946">
        <w:trPr>
          <w:trHeight w:val="380"/>
        </w:trPr>
        <w:tc>
          <w:tcPr>
            <w:tcW w:w="3480" w:type="dxa"/>
            <w:tcBorders>
              <w:top w:val="nil"/>
              <w:left w:val="nil"/>
              <w:bottom w:val="nil"/>
              <w:right w:val="single" w:sz="4" w:space="0" w:color="auto"/>
            </w:tcBorders>
            <w:shd w:val="clear" w:color="auto" w:fill="auto"/>
            <w:noWrap/>
            <w:vAlign w:val="bottom"/>
            <w:hideMark/>
          </w:tcPr>
          <w:p w14:paraId="3DAC2322" w14:textId="77777777" w:rsidR="00867946" w:rsidRPr="00867946" w:rsidRDefault="00867946" w:rsidP="00867946">
            <w:pPr>
              <w:jc w:val="center"/>
              <w:rPr>
                <w:rFonts w:eastAsia="Times New Roman" w:cs="Times New Roman"/>
                <w:b/>
                <w:bCs/>
              </w:rPr>
            </w:pPr>
            <w:r w:rsidRPr="00867946">
              <w:rPr>
                <w:rFonts w:eastAsia="Times New Roman" w:cs="Times New Roman"/>
                <w:b/>
                <w:bCs/>
              </w:rPr>
              <w:t>number of groups</w:t>
            </w:r>
          </w:p>
        </w:tc>
        <w:tc>
          <w:tcPr>
            <w:tcW w:w="2600" w:type="dxa"/>
            <w:tcBorders>
              <w:top w:val="nil"/>
              <w:left w:val="nil"/>
              <w:bottom w:val="nil"/>
              <w:right w:val="nil"/>
            </w:tcBorders>
            <w:shd w:val="clear" w:color="auto" w:fill="auto"/>
            <w:noWrap/>
            <w:vAlign w:val="bottom"/>
            <w:hideMark/>
          </w:tcPr>
          <w:p w14:paraId="0FCC9D0E" w14:textId="77777777" w:rsidR="00867946" w:rsidRPr="00867946" w:rsidRDefault="00867946" w:rsidP="00867946">
            <w:pPr>
              <w:jc w:val="right"/>
              <w:rPr>
                <w:rFonts w:eastAsia="Times New Roman" w:cs="Times New Roman"/>
              </w:rPr>
            </w:pPr>
            <w:r w:rsidRPr="00867946">
              <w:rPr>
                <w:rFonts w:eastAsia="Times New Roman" w:cs="Times New Roman"/>
              </w:rPr>
              <w:t>3</w:t>
            </w:r>
          </w:p>
        </w:tc>
        <w:tc>
          <w:tcPr>
            <w:tcW w:w="2600" w:type="dxa"/>
            <w:tcBorders>
              <w:top w:val="nil"/>
              <w:left w:val="nil"/>
              <w:bottom w:val="nil"/>
              <w:right w:val="nil"/>
            </w:tcBorders>
            <w:shd w:val="clear" w:color="auto" w:fill="auto"/>
            <w:noWrap/>
            <w:vAlign w:val="bottom"/>
            <w:hideMark/>
          </w:tcPr>
          <w:p w14:paraId="37B1E36D" w14:textId="77777777" w:rsidR="00867946" w:rsidRPr="00867946" w:rsidRDefault="00867946" w:rsidP="00867946">
            <w:pPr>
              <w:jc w:val="right"/>
              <w:rPr>
                <w:rFonts w:eastAsia="Times New Roman" w:cs="Times New Roman"/>
              </w:rPr>
            </w:pPr>
            <w:r w:rsidRPr="00867946">
              <w:rPr>
                <w:rFonts w:eastAsia="Times New Roman" w:cs="Times New Roman"/>
              </w:rPr>
              <w:t>3</w:t>
            </w:r>
          </w:p>
        </w:tc>
      </w:tr>
      <w:tr w:rsidR="00867946" w:rsidRPr="00867946" w14:paraId="0F9AC504" w14:textId="77777777" w:rsidTr="00867946">
        <w:trPr>
          <w:trHeight w:val="380"/>
        </w:trPr>
        <w:tc>
          <w:tcPr>
            <w:tcW w:w="3480" w:type="dxa"/>
            <w:tcBorders>
              <w:top w:val="nil"/>
              <w:left w:val="nil"/>
              <w:bottom w:val="nil"/>
              <w:right w:val="single" w:sz="4" w:space="0" w:color="auto"/>
            </w:tcBorders>
            <w:shd w:val="clear" w:color="auto" w:fill="auto"/>
            <w:noWrap/>
            <w:vAlign w:val="bottom"/>
            <w:hideMark/>
          </w:tcPr>
          <w:p w14:paraId="327310B6" w14:textId="77777777" w:rsidR="00867946" w:rsidRPr="00867946" w:rsidRDefault="00867946" w:rsidP="00867946">
            <w:pPr>
              <w:jc w:val="center"/>
              <w:rPr>
                <w:rFonts w:eastAsia="Times New Roman" w:cs="Times New Roman"/>
                <w:b/>
                <w:bCs/>
              </w:rPr>
            </w:pPr>
            <w:r w:rsidRPr="00867946">
              <w:rPr>
                <w:rFonts w:eastAsia="Times New Roman" w:cs="Times New Roman"/>
                <w:b/>
                <w:bCs/>
              </w:rPr>
              <w:t>test statistic</w:t>
            </w:r>
          </w:p>
        </w:tc>
        <w:tc>
          <w:tcPr>
            <w:tcW w:w="2600" w:type="dxa"/>
            <w:tcBorders>
              <w:top w:val="nil"/>
              <w:left w:val="nil"/>
              <w:bottom w:val="nil"/>
              <w:right w:val="nil"/>
            </w:tcBorders>
            <w:shd w:val="clear" w:color="auto" w:fill="auto"/>
            <w:noWrap/>
            <w:vAlign w:val="bottom"/>
            <w:hideMark/>
          </w:tcPr>
          <w:p w14:paraId="0354DCEE" w14:textId="77777777" w:rsidR="00867946" w:rsidRPr="00867946" w:rsidRDefault="00867946" w:rsidP="00867946">
            <w:pPr>
              <w:jc w:val="right"/>
              <w:rPr>
                <w:rFonts w:eastAsia="Times New Roman" w:cs="Times New Roman"/>
              </w:rPr>
            </w:pPr>
            <w:r w:rsidRPr="00867946">
              <w:rPr>
                <w:rFonts w:eastAsia="Times New Roman" w:cs="Times New Roman"/>
              </w:rPr>
              <w:t>6.491517</w:t>
            </w:r>
          </w:p>
        </w:tc>
        <w:tc>
          <w:tcPr>
            <w:tcW w:w="2600" w:type="dxa"/>
            <w:tcBorders>
              <w:top w:val="nil"/>
              <w:left w:val="nil"/>
              <w:bottom w:val="nil"/>
              <w:right w:val="nil"/>
            </w:tcBorders>
            <w:shd w:val="clear" w:color="auto" w:fill="auto"/>
            <w:noWrap/>
            <w:vAlign w:val="bottom"/>
            <w:hideMark/>
          </w:tcPr>
          <w:p w14:paraId="69AC3C86" w14:textId="77777777" w:rsidR="00867946" w:rsidRPr="00867946" w:rsidRDefault="00867946" w:rsidP="00867946">
            <w:pPr>
              <w:jc w:val="right"/>
              <w:rPr>
                <w:rFonts w:eastAsia="Times New Roman" w:cs="Times New Roman"/>
              </w:rPr>
            </w:pPr>
            <w:r w:rsidRPr="00867946">
              <w:rPr>
                <w:rFonts w:eastAsia="Times New Roman" w:cs="Times New Roman"/>
              </w:rPr>
              <w:t>12.048014</w:t>
            </w:r>
          </w:p>
        </w:tc>
      </w:tr>
      <w:tr w:rsidR="00867946" w:rsidRPr="00867946" w14:paraId="3E4C0E30" w14:textId="77777777" w:rsidTr="00867946">
        <w:trPr>
          <w:trHeight w:val="380"/>
        </w:trPr>
        <w:tc>
          <w:tcPr>
            <w:tcW w:w="3480" w:type="dxa"/>
            <w:tcBorders>
              <w:top w:val="nil"/>
              <w:left w:val="nil"/>
              <w:bottom w:val="nil"/>
              <w:right w:val="single" w:sz="4" w:space="0" w:color="auto"/>
            </w:tcBorders>
            <w:shd w:val="clear" w:color="auto" w:fill="auto"/>
            <w:noWrap/>
            <w:vAlign w:val="bottom"/>
            <w:hideMark/>
          </w:tcPr>
          <w:p w14:paraId="3F84D6E3" w14:textId="77777777" w:rsidR="00867946" w:rsidRPr="00867946" w:rsidRDefault="00867946" w:rsidP="00867946">
            <w:pPr>
              <w:jc w:val="center"/>
              <w:rPr>
                <w:rFonts w:eastAsia="Times New Roman" w:cs="Times New Roman"/>
                <w:b/>
                <w:bCs/>
              </w:rPr>
            </w:pPr>
            <w:r w:rsidRPr="00867946">
              <w:rPr>
                <w:rFonts w:eastAsia="Times New Roman" w:cs="Times New Roman"/>
                <w:b/>
                <w:bCs/>
              </w:rPr>
              <w:t>PERMANOVA p-value</w:t>
            </w:r>
          </w:p>
        </w:tc>
        <w:tc>
          <w:tcPr>
            <w:tcW w:w="2600" w:type="dxa"/>
            <w:tcBorders>
              <w:top w:val="nil"/>
              <w:left w:val="nil"/>
              <w:bottom w:val="nil"/>
              <w:right w:val="nil"/>
            </w:tcBorders>
            <w:shd w:val="clear" w:color="auto" w:fill="auto"/>
            <w:noWrap/>
            <w:vAlign w:val="bottom"/>
            <w:hideMark/>
          </w:tcPr>
          <w:p w14:paraId="6634914A" w14:textId="77777777" w:rsidR="00867946" w:rsidRPr="00867946" w:rsidRDefault="00867946" w:rsidP="00867946">
            <w:pPr>
              <w:jc w:val="right"/>
              <w:rPr>
                <w:rFonts w:eastAsia="Times New Roman" w:cs="Times New Roman"/>
                <w:b/>
                <w:bCs/>
              </w:rPr>
            </w:pPr>
            <w:r w:rsidRPr="00867946">
              <w:rPr>
                <w:rFonts w:eastAsia="Times New Roman" w:cs="Times New Roman"/>
                <w:b/>
                <w:bCs/>
              </w:rPr>
              <w:t>0.001</w:t>
            </w:r>
          </w:p>
        </w:tc>
        <w:tc>
          <w:tcPr>
            <w:tcW w:w="2600" w:type="dxa"/>
            <w:tcBorders>
              <w:top w:val="nil"/>
              <w:left w:val="nil"/>
              <w:bottom w:val="nil"/>
              <w:right w:val="nil"/>
            </w:tcBorders>
            <w:shd w:val="clear" w:color="auto" w:fill="auto"/>
            <w:noWrap/>
            <w:vAlign w:val="bottom"/>
            <w:hideMark/>
          </w:tcPr>
          <w:p w14:paraId="09B6A106" w14:textId="77777777" w:rsidR="00867946" w:rsidRPr="00867946" w:rsidRDefault="00867946" w:rsidP="00867946">
            <w:pPr>
              <w:jc w:val="right"/>
              <w:rPr>
                <w:rFonts w:eastAsia="Times New Roman" w:cs="Times New Roman"/>
                <w:b/>
                <w:bCs/>
              </w:rPr>
            </w:pPr>
            <w:r w:rsidRPr="00867946">
              <w:rPr>
                <w:rFonts w:eastAsia="Times New Roman" w:cs="Times New Roman"/>
                <w:b/>
                <w:bCs/>
              </w:rPr>
              <w:t>0.001</w:t>
            </w:r>
          </w:p>
        </w:tc>
      </w:tr>
      <w:tr w:rsidR="00867946" w:rsidRPr="00867946" w14:paraId="1591553C" w14:textId="77777777" w:rsidTr="00867946">
        <w:trPr>
          <w:trHeight w:val="380"/>
        </w:trPr>
        <w:tc>
          <w:tcPr>
            <w:tcW w:w="3480" w:type="dxa"/>
            <w:tcBorders>
              <w:top w:val="nil"/>
              <w:left w:val="nil"/>
              <w:bottom w:val="nil"/>
              <w:right w:val="single" w:sz="4" w:space="0" w:color="auto"/>
            </w:tcBorders>
            <w:shd w:val="clear" w:color="auto" w:fill="auto"/>
            <w:noWrap/>
            <w:vAlign w:val="bottom"/>
            <w:hideMark/>
          </w:tcPr>
          <w:p w14:paraId="06C92B52" w14:textId="77777777" w:rsidR="00867946" w:rsidRPr="00867946" w:rsidRDefault="00867946" w:rsidP="00867946">
            <w:pPr>
              <w:jc w:val="center"/>
              <w:rPr>
                <w:rFonts w:eastAsia="Times New Roman" w:cs="Times New Roman"/>
                <w:b/>
                <w:bCs/>
              </w:rPr>
            </w:pPr>
            <w:r w:rsidRPr="00867946">
              <w:rPr>
                <w:rFonts w:eastAsia="Times New Roman" w:cs="Times New Roman"/>
                <w:b/>
                <w:bCs/>
              </w:rPr>
              <w:t>Beta-dispersion p-value</w:t>
            </w:r>
          </w:p>
        </w:tc>
        <w:tc>
          <w:tcPr>
            <w:tcW w:w="2600" w:type="dxa"/>
            <w:tcBorders>
              <w:top w:val="nil"/>
              <w:left w:val="nil"/>
              <w:bottom w:val="nil"/>
              <w:right w:val="nil"/>
            </w:tcBorders>
            <w:shd w:val="clear" w:color="auto" w:fill="auto"/>
            <w:noWrap/>
            <w:vAlign w:val="bottom"/>
            <w:hideMark/>
          </w:tcPr>
          <w:p w14:paraId="6E8FA122" w14:textId="77777777" w:rsidR="00867946" w:rsidRPr="00867946" w:rsidRDefault="00867946" w:rsidP="00867946">
            <w:pPr>
              <w:jc w:val="right"/>
              <w:rPr>
                <w:rFonts w:eastAsia="Times New Roman" w:cs="Times New Roman"/>
              </w:rPr>
            </w:pPr>
            <w:r w:rsidRPr="00867946">
              <w:rPr>
                <w:rFonts w:eastAsia="Times New Roman" w:cs="Times New Roman"/>
              </w:rPr>
              <w:t>0.051</w:t>
            </w:r>
          </w:p>
        </w:tc>
        <w:tc>
          <w:tcPr>
            <w:tcW w:w="2600" w:type="dxa"/>
            <w:tcBorders>
              <w:top w:val="nil"/>
              <w:left w:val="nil"/>
              <w:bottom w:val="nil"/>
              <w:right w:val="nil"/>
            </w:tcBorders>
            <w:shd w:val="clear" w:color="auto" w:fill="auto"/>
            <w:noWrap/>
            <w:vAlign w:val="bottom"/>
            <w:hideMark/>
          </w:tcPr>
          <w:p w14:paraId="172585F9" w14:textId="77777777" w:rsidR="00867946" w:rsidRPr="00867946" w:rsidRDefault="00867946" w:rsidP="00867946">
            <w:pPr>
              <w:jc w:val="right"/>
              <w:rPr>
                <w:rFonts w:eastAsia="Times New Roman" w:cs="Times New Roman"/>
                <w:b/>
                <w:bCs/>
              </w:rPr>
            </w:pPr>
            <w:r w:rsidRPr="00867946">
              <w:rPr>
                <w:rFonts w:eastAsia="Times New Roman" w:cs="Times New Roman"/>
                <w:b/>
                <w:bCs/>
              </w:rPr>
              <w:t>0.001</w:t>
            </w:r>
          </w:p>
        </w:tc>
      </w:tr>
      <w:tr w:rsidR="00867946" w:rsidRPr="00867946" w14:paraId="4D0A2C4B" w14:textId="77777777" w:rsidTr="00867946">
        <w:trPr>
          <w:trHeight w:val="380"/>
        </w:trPr>
        <w:tc>
          <w:tcPr>
            <w:tcW w:w="3480" w:type="dxa"/>
            <w:tcBorders>
              <w:top w:val="nil"/>
              <w:left w:val="nil"/>
              <w:bottom w:val="nil"/>
              <w:right w:val="single" w:sz="4" w:space="0" w:color="auto"/>
            </w:tcBorders>
            <w:shd w:val="clear" w:color="auto" w:fill="auto"/>
            <w:noWrap/>
            <w:vAlign w:val="bottom"/>
            <w:hideMark/>
          </w:tcPr>
          <w:p w14:paraId="037FA5FC" w14:textId="77777777" w:rsidR="00867946" w:rsidRPr="00867946" w:rsidRDefault="00867946" w:rsidP="00867946">
            <w:pPr>
              <w:jc w:val="center"/>
              <w:rPr>
                <w:rFonts w:eastAsia="Times New Roman" w:cs="Times New Roman"/>
                <w:b/>
                <w:bCs/>
              </w:rPr>
            </w:pPr>
            <w:r w:rsidRPr="00867946">
              <w:rPr>
                <w:rFonts w:eastAsia="Times New Roman" w:cs="Times New Roman"/>
                <w:b/>
                <w:bCs/>
              </w:rPr>
              <w:t>number of permutations</w:t>
            </w:r>
          </w:p>
        </w:tc>
        <w:tc>
          <w:tcPr>
            <w:tcW w:w="2600" w:type="dxa"/>
            <w:tcBorders>
              <w:top w:val="nil"/>
              <w:left w:val="nil"/>
              <w:bottom w:val="nil"/>
              <w:right w:val="nil"/>
            </w:tcBorders>
            <w:shd w:val="clear" w:color="auto" w:fill="auto"/>
            <w:noWrap/>
            <w:vAlign w:val="bottom"/>
            <w:hideMark/>
          </w:tcPr>
          <w:p w14:paraId="530F5717" w14:textId="77777777" w:rsidR="00867946" w:rsidRPr="00867946" w:rsidRDefault="00867946" w:rsidP="00867946">
            <w:pPr>
              <w:jc w:val="right"/>
              <w:rPr>
                <w:rFonts w:eastAsia="Times New Roman" w:cs="Times New Roman"/>
              </w:rPr>
            </w:pPr>
            <w:r w:rsidRPr="00867946">
              <w:rPr>
                <w:rFonts w:eastAsia="Times New Roman" w:cs="Times New Roman"/>
              </w:rPr>
              <w:t>999</w:t>
            </w:r>
          </w:p>
        </w:tc>
        <w:tc>
          <w:tcPr>
            <w:tcW w:w="2600" w:type="dxa"/>
            <w:tcBorders>
              <w:top w:val="nil"/>
              <w:left w:val="nil"/>
              <w:bottom w:val="nil"/>
              <w:right w:val="nil"/>
            </w:tcBorders>
            <w:shd w:val="clear" w:color="auto" w:fill="auto"/>
            <w:noWrap/>
            <w:vAlign w:val="bottom"/>
            <w:hideMark/>
          </w:tcPr>
          <w:p w14:paraId="0E8CDD15" w14:textId="77777777" w:rsidR="00867946" w:rsidRPr="00867946" w:rsidRDefault="00867946" w:rsidP="00867946">
            <w:pPr>
              <w:jc w:val="right"/>
              <w:rPr>
                <w:rFonts w:eastAsia="Times New Roman" w:cs="Times New Roman"/>
              </w:rPr>
            </w:pPr>
            <w:r w:rsidRPr="00867946">
              <w:rPr>
                <w:rFonts w:eastAsia="Times New Roman" w:cs="Times New Roman"/>
              </w:rPr>
              <w:t>999</w:t>
            </w:r>
          </w:p>
        </w:tc>
      </w:tr>
    </w:tbl>
    <w:p w14:paraId="3586D7A7" w14:textId="77777777" w:rsidR="00867946" w:rsidRPr="00A53C1D" w:rsidRDefault="00867946" w:rsidP="0036026C">
      <w:pPr>
        <w:rPr>
          <w:rFonts w:cs="Times New Roman"/>
        </w:rPr>
      </w:pPr>
    </w:p>
    <w:p w14:paraId="7F8123FD" w14:textId="77777777" w:rsidR="00867946" w:rsidRPr="00A53C1D" w:rsidRDefault="00867946" w:rsidP="0036026C">
      <w:pPr>
        <w:rPr>
          <w:rFonts w:cs="Times New Roman"/>
        </w:rPr>
      </w:pPr>
    </w:p>
    <w:p w14:paraId="38366F1C" w14:textId="77777777" w:rsidR="00867946" w:rsidRPr="00A53C1D" w:rsidRDefault="00867946" w:rsidP="0036026C">
      <w:pPr>
        <w:rPr>
          <w:rFonts w:cs="Times New Roman"/>
        </w:rPr>
        <w:sectPr w:rsidR="00867946" w:rsidRPr="00A53C1D" w:rsidSect="006742BC">
          <w:pgSz w:w="12240" w:h="15840"/>
          <w:pgMar w:top="1440" w:right="1440" w:bottom="1440" w:left="1440" w:header="720" w:footer="720" w:gutter="0"/>
          <w:cols w:space="720"/>
          <w:docGrid w:linePitch="360"/>
        </w:sectPr>
      </w:pPr>
    </w:p>
    <w:p w14:paraId="2EB6721D" w14:textId="48D25468" w:rsidR="00E011FC" w:rsidRPr="00A53C1D" w:rsidRDefault="00E011FC" w:rsidP="00E011FC">
      <w:pPr>
        <w:rPr>
          <w:rFonts w:cs="Times New Roman"/>
          <w:b/>
          <w:bCs/>
        </w:rPr>
      </w:pPr>
      <w:r w:rsidRPr="00A53C1D">
        <w:rPr>
          <w:rFonts w:cs="Times New Roman"/>
          <w:b/>
          <w:bCs/>
        </w:rPr>
        <w:lastRenderedPageBreak/>
        <w:t xml:space="preserve">Table </w:t>
      </w:r>
      <w:r w:rsidR="00FD07E9">
        <w:rPr>
          <w:rFonts w:cs="Times New Roman"/>
          <w:b/>
          <w:bCs/>
        </w:rPr>
        <w:t>3.</w:t>
      </w:r>
      <w:r w:rsidRPr="00A53C1D">
        <w:rPr>
          <w:rFonts w:cs="Times New Roman"/>
          <w:b/>
          <w:bCs/>
        </w:rPr>
        <w:t>11 PERMANOVAs testing the effects of region, blood meal type, and blood meal richness on community composition (unweighted) and structure (weighted) across peridomestic palms after accounting for palm identity and developmental stage</w:t>
      </w:r>
    </w:p>
    <w:p w14:paraId="1BC6E470" w14:textId="28447C62" w:rsidR="00867946" w:rsidRPr="00A53C1D" w:rsidRDefault="00E011FC" w:rsidP="00E011FC">
      <w:pPr>
        <w:rPr>
          <w:rFonts w:cs="Times New Roman"/>
        </w:rPr>
      </w:pPr>
      <w:r w:rsidRPr="00A53C1D">
        <w:rPr>
          <w:rFonts w:cs="Times New Roman"/>
        </w:rPr>
        <w:t>Results highlighted in boldface indicate p-values of less than 0.05.</w:t>
      </w:r>
    </w:p>
    <w:p w14:paraId="48FB5E83" w14:textId="77777777" w:rsidR="00E011FC" w:rsidRPr="00A53C1D" w:rsidRDefault="00E011FC" w:rsidP="00E011FC">
      <w:pPr>
        <w:rPr>
          <w:rFonts w:cs="Times New Roman"/>
        </w:rPr>
      </w:pPr>
    </w:p>
    <w:p w14:paraId="4BD7CBAB" w14:textId="77777777" w:rsidR="00E011FC" w:rsidRPr="00A53C1D" w:rsidRDefault="00E011FC" w:rsidP="00E011FC">
      <w:pPr>
        <w:rPr>
          <w:rFonts w:cs="Times New Roman"/>
        </w:rPr>
      </w:pPr>
    </w:p>
    <w:tbl>
      <w:tblPr>
        <w:tblW w:w="12100" w:type="dxa"/>
        <w:tblLook w:val="04A0" w:firstRow="1" w:lastRow="0" w:firstColumn="1" w:lastColumn="0" w:noHBand="0" w:noVBand="1"/>
      </w:tblPr>
      <w:tblGrid>
        <w:gridCol w:w="2900"/>
        <w:gridCol w:w="900"/>
        <w:gridCol w:w="1700"/>
        <w:gridCol w:w="1660"/>
        <w:gridCol w:w="2120"/>
        <w:gridCol w:w="1420"/>
        <w:gridCol w:w="1400"/>
      </w:tblGrid>
      <w:tr w:rsidR="001A4E4B" w:rsidRPr="001A4E4B" w14:paraId="280A2993" w14:textId="77777777" w:rsidTr="001A4E4B">
        <w:trPr>
          <w:trHeight w:val="380"/>
        </w:trPr>
        <w:tc>
          <w:tcPr>
            <w:tcW w:w="2900" w:type="dxa"/>
            <w:tcBorders>
              <w:top w:val="nil"/>
              <w:left w:val="nil"/>
              <w:bottom w:val="nil"/>
              <w:right w:val="nil"/>
            </w:tcBorders>
            <w:shd w:val="clear" w:color="auto" w:fill="auto"/>
            <w:noWrap/>
            <w:vAlign w:val="bottom"/>
            <w:hideMark/>
          </w:tcPr>
          <w:p w14:paraId="2115D867" w14:textId="77777777" w:rsidR="001A4E4B" w:rsidRPr="001A4E4B" w:rsidRDefault="001A4E4B" w:rsidP="001A4E4B">
            <w:pPr>
              <w:rPr>
                <w:rFonts w:eastAsia="Times New Roman" w:cs="Times New Roman"/>
                <w:b/>
                <w:bCs/>
              </w:rPr>
            </w:pPr>
            <w:r w:rsidRPr="001A4E4B">
              <w:rPr>
                <w:rFonts w:eastAsia="Times New Roman" w:cs="Times New Roman"/>
                <w:b/>
                <w:bCs/>
              </w:rPr>
              <w:t>Unweighted UniFrac</w:t>
            </w:r>
          </w:p>
        </w:tc>
        <w:tc>
          <w:tcPr>
            <w:tcW w:w="900" w:type="dxa"/>
            <w:tcBorders>
              <w:top w:val="nil"/>
              <w:left w:val="nil"/>
              <w:bottom w:val="nil"/>
              <w:right w:val="nil"/>
            </w:tcBorders>
            <w:shd w:val="clear" w:color="auto" w:fill="auto"/>
            <w:noWrap/>
            <w:vAlign w:val="bottom"/>
            <w:hideMark/>
          </w:tcPr>
          <w:p w14:paraId="5E1BB2A5" w14:textId="77777777" w:rsidR="001A4E4B" w:rsidRPr="001A4E4B" w:rsidRDefault="001A4E4B" w:rsidP="001A4E4B">
            <w:pPr>
              <w:rPr>
                <w:rFonts w:eastAsia="Times New Roman" w:cs="Times New Roman"/>
                <w:b/>
                <w:bCs/>
              </w:rPr>
            </w:pPr>
          </w:p>
        </w:tc>
        <w:tc>
          <w:tcPr>
            <w:tcW w:w="1700" w:type="dxa"/>
            <w:tcBorders>
              <w:top w:val="nil"/>
              <w:left w:val="nil"/>
              <w:bottom w:val="nil"/>
              <w:right w:val="nil"/>
            </w:tcBorders>
            <w:shd w:val="clear" w:color="auto" w:fill="auto"/>
            <w:noWrap/>
            <w:vAlign w:val="bottom"/>
            <w:hideMark/>
          </w:tcPr>
          <w:p w14:paraId="67A14BDD" w14:textId="77777777" w:rsidR="001A4E4B" w:rsidRPr="001A4E4B" w:rsidRDefault="001A4E4B" w:rsidP="001A4E4B">
            <w:pPr>
              <w:rPr>
                <w:rFonts w:eastAsia="Times New Roman" w:cs="Times New Roman"/>
              </w:rPr>
            </w:pPr>
          </w:p>
        </w:tc>
        <w:tc>
          <w:tcPr>
            <w:tcW w:w="1660" w:type="dxa"/>
            <w:tcBorders>
              <w:top w:val="nil"/>
              <w:left w:val="nil"/>
              <w:bottom w:val="nil"/>
              <w:right w:val="nil"/>
            </w:tcBorders>
            <w:shd w:val="clear" w:color="auto" w:fill="auto"/>
            <w:noWrap/>
            <w:vAlign w:val="bottom"/>
            <w:hideMark/>
          </w:tcPr>
          <w:p w14:paraId="31E85B04" w14:textId="77777777" w:rsidR="001A4E4B" w:rsidRPr="001A4E4B" w:rsidRDefault="001A4E4B" w:rsidP="001A4E4B">
            <w:pPr>
              <w:rPr>
                <w:rFonts w:eastAsia="Times New Roman" w:cs="Times New Roman"/>
              </w:rPr>
            </w:pPr>
          </w:p>
        </w:tc>
        <w:tc>
          <w:tcPr>
            <w:tcW w:w="2120" w:type="dxa"/>
            <w:tcBorders>
              <w:top w:val="nil"/>
              <w:left w:val="nil"/>
              <w:bottom w:val="nil"/>
              <w:right w:val="nil"/>
            </w:tcBorders>
            <w:shd w:val="clear" w:color="auto" w:fill="auto"/>
            <w:noWrap/>
            <w:vAlign w:val="bottom"/>
            <w:hideMark/>
          </w:tcPr>
          <w:p w14:paraId="39F87A5A" w14:textId="77777777" w:rsidR="001A4E4B" w:rsidRPr="001A4E4B" w:rsidRDefault="001A4E4B" w:rsidP="001A4E4B">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0C7A96A1" w14:textId="77777777" w:rsidR="001A4E4B" w:rsidRPr="001A4E4B" w:rsidRDefault="001A4E4B" w:rsidP="001A4E4B">
            <w:pPr>
              <w:rPr>
                <w:rFonts w:eastAsia="Times New Roman" w:cs="Times New Roman"/>
              </w:rPr>
            </w:pPr>
          </w:p>
        </w:tc>
        <w:tc>
          <w:tcPr>
            <w:tcW w:w="1400" w:type="dxa"/>
            <w:tcBorders>
              <w:top w:val="nil"/>
              <w:left w:val="nil"/>
              <w:bottom w:val="nil"/>
              <w:right w:val="nil"/>
            </w:tcBorders>
            <w:shd w:val="clear" w:color="auto" w:fill="auto"/>
            <w:noWrap/>
            <w:vAlign w:val="bottom"/>
            <w:hideMark/>
          </w:tcPr>
          <w:p w14:paraId="55F16059" w14:textId="77777777" w:rsidR="001A4E4B" w:rsidRPr="001A4E4B" w:rsidRDefault="001A4E4B" w:rsidP="001A4E4B">
            <w:pPr>
              <w:rPr>
                <w:rFonts w:eastAsia="Times New Roman" w:cs="Times New Roman"/>
              </w:rPr>
            </w:pPr>
          </w:p>
        </w:tc>
      </w:tr>
      <w:tr w:rsidR="001A4E4B" w:rsidRPr="001A4E4B" w14:paraId="50545D8F" w14:textId="77777777" w:rsidTr="001A4E4B">
        <w:trPr>
          <w:trHeight w:val="380"/>
        </w:trPr>
        <w:tc>
          <w:tcPr>
            <w:tcW w:w="2900" w:type="dxa"/>
            <w:tcBorders>
              <w:top w:val="nil"/>
              <w:left w:val="nil"/>
              <w:bottom w:val="single" w:sz="4" w:space="0" w:color="auto"/>
              <w:right w:val="nil"/>
            </w:tcBorders>
            <w:shd w:val="clear" w:color="auto" w:fill="auto"/>
            <w:noWrap/>
            <w:vAlign w:val="bottom"/>
            <w:hideMark/>
          </w:tcPr>
          <w:p w14:paraId="28E9ADD1" w14:textId="77777777" w:rsidR="001A4E4B" w:rsidRPr="001A4E4B" w:rsidRDefault="001A4E4B" w:rsidP="001A4E4B">
            <w:pPr>
              <w:rPr>
                <w:rFonts w:eastAsia="Times New Roman" w:cs="Times New Roman"/>
              </w:rPr>
            </w:pPr>
            <w:r w:rsidRPr="001A4E4B">
              <w:rPr>
                <w:rFonts w:eastAsia="Times New Roman" w:cs="Times New Roman"/>
              </w:rPr>
              <w:t> </w:t>
            </w:r>
          </w:p>
        </w:tc>
        <w:tc>
          <w:tcPr>
            <w:tcW w:w="900" w:type="dxa"/>
            <w:tcBorders>
              <w:top w:val="nil"/>
              <w:left w:val="nil"/>
              <w:bottom w:val="single" w:sz="4" w:space="0" w:color="auto"/>
              <w:right w:val="nil"/>
            </w:tcBorders>
            <w:shd w:val="clear" w:color="auto" w:fill="auto"/>
            <w:noWrap/>
            <w:vAlign w:val="bottom"/>
            <w:hideMark/>
          </w:tcPr>
          <w:p w14:paraId="27BDF45B" w14:textId="77777777" w:rsidR="001A4E4B" w:rsidRPr="001A4E4B" w:rsidRDefault="001A4E4B" w:rsidP="001A4E4B">
            <w:pPr>
              <w:rPr>
                <w:rFonts w:eastAsia="Times New Roman" w:cs="Times New Roman"/>
                <w:b/>
                <w:bCs/>
              </w:rPr>
            </w:pPr>
            <w:r w:rsidRPr="001A4E4B">
              <w:rPr>
                <w:rFonts w:eastAsia="Times New Roman" w:cs="Times New Roman"/>
                <w:b/>
                <w:bCs/>
              </w:rPr>
              <w:t>Df</w:t>
            </w:r>
          </w:p>
        </w:tc>
        <w:tc>
          <w:tcPr>
            <w:tcW w:w="1700" w:type="dxa"/>
            <w:tcBorders>
              <w:top w:val="nil"/>
              <w:left w:val="nil"/>
              <w:bottom w:val="single" w:sz="4" w:space="0" w:color="auto"/>
              <w:right w:val="nil"/>
            </w:tcBorders>
            <w:shd w:val="clear" w:color="auto" w:fill="auto"/>
            <w:noWrap/>
            <w:vAlign w:val="bottom"/>
            <w:hideMark/>
          </w:tcPr>
          <w:p w14:paraId="3D542133" w14:textId="77777777" w:rsidR="001A4E4B" w:rsidRPr="001A4E4B" w:rsidRDefault="001A4E4B" w:rsidP="001A4E4B">
            <w:pPr>
              <w:rPr>
                <w:rFonts w:eastAsia="Times New Roman" w:cs="Times New Roman"/>
                <w:b/>
                <w:bCs/>
              </w:rPr>
            </w:pPr>
            <w:r w:rsidRPr="001A4E4B">
              <w:rPr>
                <w:rFonts w:eastAsia="Times New Roman" w:cs="Times New Roman"/>
                <w:b/>
                <w:bCs/>
              </w:rPr>
              <w:t>SumsOfSqs</w:t>
            </w:r>
          </w:p>
        </w:tc>
        <w:tc>
          <w:tcPr>
            <w:tcW w:w="1660" w:type="dxa"/>
            <w:tcBorders>
              <w:top w:val="nil"/>
              <w:left w:val="nil"/>
              <w:bottom w:val="single" w:sz="4" w:space="0" w:color="auto"/>
              <w:right w:val="nil"/>
            </w:tcBorders>
            <w:shd w:val="clear" w:color="auto" w:fill="auto"/>
            <w:noWrap/>
            <w:vAlign w:val="bottom"/>
            <w:hideMark/>
          </w:tcPr>
          <w:p w14:paraId="5F8A68B5" w14:textId="77777777" w:rsidR="001A4E4B" w:rsidRPr="001A4E4B" w:rsidRDefault="001A4E4B" w:rsidP="001A4E4B">
            <w:pPr>
              <w:rPr>
                <w:rFonts w:eastAsia="Times New Roman" w:cs="Times New Roman"/>
                <w:b/>
                <w:bCs/>
              </w:rPr>
            </w:pPr>
            <w:r w:rsidRPr="001A4E4B">
              <w:rPr>
                <w:rFonts w:eastAsia="Times New Roman" w:cs="Times New Roman"/>
                <w:b/>
                <w:bCs/>
              </w:rPr>
              <w:t>MeanSqs</w:t>
            </w:r>
          </w:p>
        </w:tc>
        <w:tc>
          <w:tcPr>
            <w:tcW w:w="2120" w:type="dxa"/>
            <w:tcBorders>
              <w:top w:val="nil"/>
              <w:left w:val="nil"/>
              <w:bottom w:val="single" w:sz="4" w:space="0" w:color="auto"/>
              <w:right w:val="nil"/>
            </w:tcBorders>
            <w:shd w:val="clear" w:color="auto" w:fill="auto"/>
            <w:noWrap/>
            <w:vAlign w:val="bottom"/>
            <w:hideMark/>
          </w:tcPr>
          <w:p w14:paraId="5BDFD705" w14:textId="77777777" w:rsidR="001A4E4B" w:rsidRPr="001A4E4B" w:rsidRDefault="001A4E4B" w:rsidP="001A4E4B">
            <w:pPr>
              <w:rPr>
                <w:rFonts w:eastAsia="Times New Roman" w:cs="Times New Roman"/>
                <w:b/>
                <w:bCs/>
              </w:rPr>
            </w:pPr>
            <w:r w:rsidRPr="001A4E4B">
              <w:rPr>
                <w:rFonts w:eastAsia="Times New Roman" w:cs="Times New Roman"/>
                <w:b/>
                <w:bCs/>
              </w:rPr>
              <w:t>F.Model</w:t>
            </w:r>
          </w:p>
        </w:tc>
        <w:tc>
          <w:tcPr>
            <w:tcW w:w="1420" w:type="dxa"/>
            <w:tcBorders>
              <w:top w:val="nil"/>
              <w:left w:val="nil"/>
              <w:bottom w:val="single" w:sz="4" w:space="0" w:color="auto"/>
              <w:right w:val="nil"/>
            </w:tcBorders>
            <w:shd w:val="clear" w:color="auto" w:fill="auto"/>
            <w:noWrap/>
            <w:vAlign w:val="bottom"/>
            <w:hideMark/>
          </w:tcPr>
          <w:p w14:paraId="3548D0E8" w14:textId="77777777" w:rsidR="001A4E4B" w:rsidRPr="001A4E4B" w:rsidRDefault="001A4E4B" w:rsidP="001A4E4B">
            <w:pPr>
              <w:rPr>
                <w:rFonts w:eastAsia="Times New Roman" w:cs="Times New Roman"/>
                <w:b/>
                <w:bCs/>
              </w:rPr>
            </w:pPr>
            <w:r w:rsidRPr="001A4E4B">
              <w:rPr>
                <w:rFonts w:eastAsia="Times New Roman" w:cs="Times New Roman"/>
                <w:b/>
                <w:bCs/>
              </w:rPr>
              <w:t>R2</w:t>
            </w:r>
          </w:p>
        </w:tc>
        <w:tc>
          <w:tcPr>
            <w:tcW w:w="1400" w:type="dxa"/>
            <w:tcBorders>
              <w:top w:val="nil"/>
              <w:left w:val="nil"/>
              <w:bottom w:val="single" w:sz="4" w:space="0" w:color="auto"/>
              <w:right w:val="nil"/>
            </w:tcBorders>
            <w:shd w:val="clear" w:color="auto" w:fill="auto"/>
            <w:noWrap/>
            <w:vAlign w:val="bottom"/>
            <w:hideMark/>
          </w:tcPr>
          <w:p w14:paraId="458311F2" w14:textId="77777777" w:rsidR="001A4E4B" w:rsidRPr="001A4E4B" w:rsidRDefault="001A4E4B" w:rsidP="001A4E4B">
            <w:pPr>
              <w:rPr>
                <w:rFonts w:eastAsia="Times New Roman" w:cs="Times New Roman"/>
                <w:b/>
                <w:bCs/>
              </w:rPr>
            </w:pPr>
            <w:r w:rsidRPr="001A4E4B">
              <w:rPr>
                <w:rFonts w:eastAsia="Times New Roman" w:cs="Times New Roman"/>
                <w:b/>
                <w:bCs/>
              </w:rPr>
              <w:t>p-value</w:t>
            </w:r>
          </w:p>
        </w:tc>
      </w:tr>
      <w:tr w:rsidR="001A4E4B" w:rsidRPr="001A4E4B" w14:paraId="3F9838D2"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4F961F53" w14:textId="77777777" w:rsidR="001A4E4B" w:rsidRPr="001A4E4B" w:rsidRDefault="001A4E4B" w:rsidP="001A4E4B">
            <w:pPr>
              <w:rPr>
                <w:rFonts w:eastAsia="Times New Roman" w:cs="Times New Roman"/>
                <w:b/>
                <w:bCs/>
              </w:rPr>
            </w:pPr>
            <w:r w:rsidRPr="001A4E4B">
              <w:rPr>
                <w:rFonts w:eastAsia="Times New Roman" w:cs="Times New Roman"/>
                <w:b/>
                <w:bCs/>
              </w:rPr>
              <w:t>Palm identity</w:t>
            </w:r>
          </w:p>
        </w:tc>
        <w:tc>
          <w:tcPr>
            <w:tcW w:w="900" w:type="dxa"/>
            <w:tcBorders>
              <w:top w:val="nil"/>
              <w:left w:val="nil"/>
              <w:bottom w:val="nil"/>
              <w:right w:val="nil"/>
            </w:tcBorders>
            <w:shd w:val="clear" w:color="auto" w:fill="auto"/>
            <w:noWrap/>
            <w:vAlign w:val="bottom"/>
            <w:hideMark/>
          </w:tcPr>
          <w:p w14:paraId="4D3C8DF7" w14:textId="77777777" w:rsidR="001A4E4B" w:rsidRPr="001A4E4B" w:rsidRDefault="001A4E4B" w:rsidP="001A4E4B">
            <w:pPr>
              <w:jc w:val="right"/>
              <w:rPr>
                <w:rFonts w:eastAsia="Times New Roman" w:cs="Times New Roman"/>
              </w:rPr>
            </w:pPr>
            <w:r w:rsidRPr="001A4E4B">
              <w:rPr>
                <w:rFonts w:eastAsia="Times New Roman" w:cs="Times New Roman"/>
              </w:rPr>
              <w:t>13</w:t>
            </w:r>
          </w:p>
        </w:tc>
        <w:tc>
          <w:tcPr>
            <w:tcW w:w="1700" w:type="dxa"/>
            <w:tcBorders>
              <w:top w:val="nil"/>
              <w:left w:val="nil"/>
              <w:bottom w:val="nil"/>
              <w:right w:val="nil"/>
            </w:tcBorders>
            <w:shd w:val="clear" w:color="auto" w:fill="auto"/>
            <w:noWrap/>
            <w:vAlign w:val="bottom"/>
            <w:hideMark/>
          </w:tcPr>
          <w:p w14:paraId="271F1C44" w14:textId="77777777" w:rsidR="001A4E4B" w:rsidRPr="001A4E4B" w:rsidRDefault="001A4E4B" w:rsidP="001A4E4B">
            <w:pPr>
              <w:jc w:val="right"/>
              <w:rPr>
                <w:rFonts w:eastAsia="Times New Roman" w:cs="Times New Roman"/>
              </w:rPr>
            </w:pPr>
            <w:r w:rsidRPr="001A4E4B">
              <w:rPr>
                <w:rFonts w:eastAsia="Times New Roman" w:cs="Times New Roman"/>
              </w:rPr>
              <w:t>6.160405</w:t>
            </w:r>
          </w:p>
        </w:tc>
        <w:tc>
          <w:tcPr>
            <w:tcW w:w="1660" w:type="dxa"/>
            <w:tcBorders>
              <w:top w:val="nil"/>
              <w:left w:val="nil"/>
              <w:bottom w:val="nil"/>
              <w:right w:val="nil"/>
            </w:tcBorders>
            <w:shd w:val="clear" w:color="auto" w:fill="auto"/>
            <w:noWrap/>
            <w:vAlign w:val="bottom"/>
            <w:hideMark/>
          </w:tcPr>
          <w:p w14:paraId="6F8C26E1" w14:textId="77777777" w:rsidR="001A4E4B" w:rsidRPr="001A4E4B" w:rsidRDefault="001A4E4B" w:rsidP="001A4E4B">
            <w:pPr>
              <w:jc w:val="right"/>
              <w:rPr>
                <w:rFonts w:eastAsia="Times New Roman" w:cs="Times New Roman"/>
              </w:rPr>
            </w:pPr>
            <w:r w:rsidRPr="001A4E4B">
              <w:rPr>
                <w:rFonts w:eastAsia="Times New Roman" w:cs="Times New Roman"/>
              </w:rPr>
              <w:t>0.473877</w:t>
            </w:r>
          </w:p>
        </w:tc>
        <w:tc>
          <w:tcPr>
            <w:tcW w:w="2120" w:type="dxa"/>
            <w:tcBorders>
              <w:top w:val="nil"/>
              <w:left w:val="nil"/>
              <w:bottom w:val="nil"/>
              <w:right w:val="nil"/>
            </w:tcBorders>
            <w:shd w:val="clear" w:color="auto" w:fill="auto"/>
            <w:noWrap/>
            <w:vAlign w:val="bottom"/>
            <w:hideMark/>
          </w:tcPr>
          <w:p w14:paraId="6EBC7F32" w14:textId="77777777" w:rsidR="001A4E4B" w:rsidRPr="001A4E4B" w:rsidRDefault="001A4E4B" w:rsidP="001A4E4B">
            <w:pPr>
              <w:jc w:val="right"/>
              <w:rPr>
                <w:rFonts w:eastAsia="Times New Roman" w:cs="Times New Roman"/>
              </w:rPr>
            </w:pPr>
            <w:r w:rsidRPr="001A4E4B">
              <w:rPr>
                <w:rFonts w:eastAsia="Times New Roman" w:cs="Times New Roman"/>
              </w:rPr>
              <w:t>3.291909</w:t>
            </w:r>
          </w:p>
        </w:tc>
        <w:tc>
          <w:tcPr>
            <w:tcW w:w="1420" w:type="dxa"/>
            <w:tcBorders>
              <w:top w:val="nil"/>
              <w:left w:val="nil"/>
              <w:bottom w:val="nil"/>
              <w:right w:val="nil"/>
            </w:tcBorders>
            <w:shd w:val="clear" w:color="auto" w:fill="auto"/>
            <w:noWrap/>
            <w:vAlign w:val="bottom"/>
            <w:hideMark/>
          </w:tcPr>
          <w:p w14:paraId="50688BF0" w14:textId="77777777" w:rsidR="001A4E4B" w:rsidRPr="001A4E4B" w:rsidRDefault="001A4E4B" w:rsidP="001A4E4B">
            <w:pPr>
              <w:jc w:val="right"/>
              <w:rPr>
                <w:rFonts w:eastAsia="Times New Roman" w:cs="Times New Roman"/>
              </w:rPr>
            </w:pPr>
            <w:r w:rsidRPr="001A4E4B">
              <w:rPr>
                <w:rFonts w:eastAsia="Times New Roman" w:cs="Times New Roman"/>
              </w:rPr>
              <w:t>0.401659</w:t>
            </w:r>
          </w:p>
        </w:tc>
        <w:tc>
          <w:tcPr>
            <w:tcW w:w="1400" w:type="dxa"/>
            <w:tcBorders>
              <w:top w:val="nil"/>
              <w:left w:val="nil"/>
              <w:bottom w:val="nil"/>
              <w:right w:val="nil"/>
            </w:tcBorders>
            <w:shd w:val="clear" w:color="auto" w:fill="auto"/>
            <w:noWrap/>
            <w:vAlign w:val="bottom"/>
            <w:hideMark/>
          </w:tcPr>
          <w:p w14:paraId="55CD49E2" w14:textId="77777777" w:rsidR="001A4E4B" w:rsidRPr="001A4E4B" w:rsidRDefault="001A4E4B" w:rsidP="001A4E4B">
            <w:pPr>
              <w:jc w:val="right"/>
              <w:rPr>
                <w:rFonts w:eastAsia="Times New Roman" w:cs="Times New Roman"/>
                <w:b/>
                <w:bCs/>
              </w:rPr>
            </w:pPr>
            <w:r w:rsidRPr="001A4E4B">
              <w:rPr>
                <w:rFonts w:eastAsia="Times New Roman" w:cs="Times New Roman"/>
                <w:b/>
                <w:bCs/>
              </w:rPr>
              <w:t>0.001</w:t>
            </w:r>
          </w:p>
        </w:tc>
      </w:tr>
      <w:tr w:rsidR="001A4E4B" w:rsidRPr="001A4E4B" w14:paraId="0308111D"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4DC8A256" w14:textId="77777777" w:rsidR="001A4E4B" w:rsidRPr="001A4E4B" w:rsidRDefault="001A4E4B" w:rsidP="001A4E4B">
            <w:pPr>
              <w:rPr>
                <w:rFonts w:eastAsia="Times New Roman" w:cs="Times New Roman"/>
                <w:b/>
                <w:bCs/>
              </w:rPr>
            </w:pPr>
            <w:r w:rsidRPr="001A4E4B">
              <w:rPr>
                <w:rFonts w:eastAsia="Times New Roman" w:cs="Times New Roman"/>
                <w:b/>
                <w:bCs/>
              </w:rPr>
              <w:t>Age group</w:t>
            </w:r>
          </w:p>
        </w:tc>
        <w:tc>
          <w:tcPr>
            <w:tcW w:w="900" w:type="dxa"/>
            <w:tcBorders>
              <w:top w:val="nil"/>
              <w:left w:val="nil"/>
              <w:bottom w:val="nil"/>
              <w:right w:val="nil"/>
            </w:tcBorders>
            <w:shd w:val="clear" w:color="auto" w:fill="auto"/>
            <w:noWrap/>
            <w:vAlign w:val="bottom"/>
            <w:hideMark/>
          </w:tcPr>
          <w:p w14:paraId="2508931D" w14:textId="77777777" w:rsidR="001A4E4B" w:rsidRPr="001A4E4B" w:rsidRDefault="001A4E4B" w:rsidP="001A4E4B">
            <w:pPr>
              <w:jc w:val="right"/>
              <w:rPr>
                <w:rFonts w:eastAsia="Times New Roman" w:cs="Times New Roman"/>
              </w:rPr>
            </w:pPr>
            <w:r w:rsidRPr="001A4E4B">
              <w:rPr>
                <w:rFonts w:eastAsia="Times New Roman" w:cs="Times New Roman"/>
              </w:rPr>
              <w:t>1</w:t>
            </w:r>
          </w:p>
        </w:tc>
        <w:tc>
          <w:tcPr>
            <w:tcW w:w="1700" w:type="dxa"/>
            <w:tcBorders>
              <w:top w:val="nil"/>
              <w:left w:val="nil"/>
              <w:bottom w:val="nil"/>
              <w:right w:val="nil"/>
            </w:tcBorders>
            <w:shd w:val="clear" w:color="auto" w:fill="auto"/>
            <w:noWrap/>
            <w:vAlign w:val="bottom"/>
            <w:hideMark/>
          </w:tcPr>
          <w:p w14:paraId="55007927" w14:textId="77777777" w:rsidR="001A4E4B" w:rsidRPr="001A4E4B" w:rsidRDefault="001A4E4B" w:rsidP="001A4E4B">
            <w:pPr>
              <w:jc w:val="right"/>
              <w:rPr>
                <w:rFonts w:eastAsia="Times New Roman" w:cs="Times New Roman"/>
              </w:rPr>
            </w:pPr>
            <w:r w:rsidRPr="001A4E4B">
              <w:rPr>
                <w:rFonts w:eastAsia="Times New Roman" w:cs="Times New Roman"/>
              </w:rPr>
              <w:t>0.343783</w:t>
            </w:r>
          </w:p>
        </w:tc>
        <w:tc>
          <w:tcPr>
            <w:tcW w:w="1660" w:type="dxa"/>
            <w:tcBorders>
              <w:top w:val="nil"/>
              <w:left w:val="nil"/>
              <w:bottom w:val="nil"/>
              <w:right w:val="nil"/>
            </w:tcBorders>
            <w:shd w:val="clear" w:color="auto" w:fill="auto"/>
            <w:noWrap/>
            <w:vAlign w:val="bottom"/>
            <w:hideMark/>
          </w:tcPr>
          <w:p w14:paraId="0E34C129" w14:textId="77777777" w:rsidR="001A4E4B" w:rsidRPr="001A4E4B" w:rsidRDefault="001A4E4B" w:rsidP="001A4E4B">
            <w:pPr>
              <w:jc w:val="right"/>
              <w:rPr>
                <w:rFonts w:eastAsia="Times New Roman" w:cs="Times New Roman"/>
              </w:rPr>
            </w:pPr>
            <w:r w:rsidRPr="001A4E4B">
              <w:rPr>
                <w:rFonts w:eastAsia="Times New Roman" w:cs="Times New Roman"/>
              </w:rPr>
              <w:t>0.343783</w:t>
            </w:r>
          </w:p>
        </w:tc>
        <w:tc>
          <w:tcPr>
            <w:tcW w:w="2120" w:type="dxa"/>
            <w:tcBorders>
              <w:top w:val="nil"/>
              <w:left w:val="nil"/>
              <w:bottom w:val="nil"/>
              <w:right w:val="nil"/>
            </w:tcBorders>
            <w:shd w:val="clear" w:color="auto" w:fill="auto"/>
            <w:noWrap/>
            <w:vAlign w:val="bottom"/>
            <w:hideMark/>
          </w:tcPr>
          <w:p w14:paraId="18E2FC44" w14:textId="77777777" w:rsidR="001A4E4B" w:rsidRPr="001A4E4B" w:rsidRDefault="001A4E4B" w:rsidP="001A4E4B">
            <w:pPr>
              <w:jc w:val="right"/>
              <w:rPr>
                <w:rFonts w:eastAsia="Times New Roman" w:cs="Times New Roman"/>
              </w:rPr>
            </w:pPr>
            <w:r w:rsidRPr="001A4E4B">
              <w:rPr>
                <w:rFonts w:eastAsia="Times New Roman" w:cs="Times New Roman"/>
              </w:rPr>
              <w:t>2.388178</w:t>
            </w:r>
          </w:p>
        </w:tc>
        <w:tc>
          <w:tcPr>
            <w:tcW w:w="1420" w:type="dxa"/>
            <w:tcBorders>
              <w:top w:val="nil"/>
              <w:left w:val="nil"/>
              <w:bottom w:val="nil"/>
              <w:right w:val="nil"/>
            </w:tcBorders>
            <w:shd w:val="clear" w:color="auto" w:fill="auto"/>
            <w:noWrap/>
            <w:vAlign w:val="bottom"/>
            <w:hideMark/>
          </w:tcPr>
          <w:p w14:paraId="56F48349" w14:textId="77777777" w:rsidR="001A4E4B" w:rsidRPr="001A4E4B" w:rsidRDefault="001A4E4B" w:rsidP="001A4E4B">
            <w:pPr>
              <w:jc w:val="right"/>
              <w:rPr>
                <w:rFonts w:eastAsia="Times New Roman" w:cs="Times New Roman"/>
              </w:rPr>
            </w:pPr>
            <w:r w:rsidRPr="001A4E4B">
              <w:rPr>
                <w:rFonts w:eastAsia="Times New Roman" w:cs="Times New Roman"/>
              </w:rPr>
              <w:t>0.022415</w:t>
            </w:r>
          </w:p>
        </w:tc>
        <w:tc>
          <w:tcPr>
            <w:tcW w:w="1400" w:type="dxa"/>
            <w:tcBorders>
              <w:top w:val="nil"/>
              <w:left w:val="nil"/>
              <w:bottom w:val="nil"/>
              <w:right w:val="nil"/>
            </w:tcBorders>
            <w:shd w:val="clear" w:color="auto" w:fill="auto"/>
            <w:noWrap/>
            <w:vAlign w:val="bottom"/>
            <w:hideMark/>
          </w:tcPr>
          <w:p w14:paraId="7D5D6567" w14:textId="77777777" w:rsidR="001A4E4B" w:rsidRPr="001A4E4B" w:rsidRDefault="001A4E4B" w:rsidP="001A4E4B">
            <w:pPr>
              <w:jc w:val="right"/>
              <w:rPr>
                <w:rFonts w:eastAsia="Times New Roman" w:cs="Times New Roman"/>
                <w:b/>
                <w:bCs/>
              </w:rPr>
            </w:pPr>
            <w:r w:rsidRPr="001A4E4B">
              <w:rPr>
                <w:rFonts w:eastAsia="Times New Roman" w:cs="Times New Roman"/>
                <w:b/>
                <w:bCs/>
              </w:rPr>
              <w:t>0.003</w:t>
            </w:r>
          </w:p>
        </w:tc>
      </w:tr>
      <w:tr w:rsidR="001A4E4B" w:rsidRPr="001A4E4B" w14:paraId="6CC52CBF"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67854034" w14:textId="77777777" w:rsidR="001A4E4B" w:rsidRPr="001A4E4B" w:rsidRDefault="001A4E4B" w:rsidP="001A4E4B">
            <w:pPr>
              <w:rPr>
                <w:rFonts w:eastAsia="Times New Roman" w:cs="Times New Roman"/>
                <w:b/>
                <w:bCs/>
              </w:rPr>
            </w:pPr>
            <w:r w:rsidRPr="001A4E4B">
              <w:rPr>
                <w:rFonts w:eastAsia="Times New Roman" w:cs="Times New Roman"/>
                <w:b/>
                <w:bCs/>
              </w:rPr>
              <w:t>Sampling region</w:t>
            </w:r>
          </w:p>
        </w:tc>
        <w:tc>
          <w:tcPr>
            <w:tcW w:w="900" w:type="dxa"/>
            <w:tcBorders>
              <w:top w:val="nil"/>
              <w:left w:val="nil"/>
              <w:bottom w:val="nil"/>
              <w:right w:val="nil"/>
            </w:tcBorders>
            <w:shd w:val="clear" w:color="auto" w:fill="auto"/>
            <w:noWrap/>
            <w:vAlign w:val="bottom"/>
            <w:hideMark/>
          </w:tcPr>
          <w:p w14:paraId="7DFCED58" w14:textId="77777777" w:rsidR="001A4E4B" w:rsidRPr="001A4E4B" w:rsidRDefault="001A4E4B" w:rsidP="001A4E4B">
            <w:pPr>
              <w:jc w:val="right"/>
              <w:rPr>
                <w:rFonts w:eastAsia="Times New Roman" w:cs="Times New Roman"/>
              </w:rPr>
            </w:pPr>
            <w:r w:rsidRPr="001A4E4B">
              <w:rPr>
                <w:rFonts w:eastAsia="Times New Roman" w:cs="Times New Roman"/>
              </w:rPr>
              <w:t>2</w:t>
            </w:r>
          </w:p>
        </w:tc>
        <w:tc>
          <w:tcPr>
            <w:tcW w:w="1700" w:type="dxa"/>
            <w:tcBorders>
              <w:top w:val="nil"/>
              <w:left w:val="nil"/>
              <w:bottom w:val="nil"/>
              <w:right w:val="nil"/>
            </w:tcBorders>
            <w:shd w:val="clear" w:color="auto" w:fill="auto"/>
            <w:noWrap/>
            <w:vAlign w:val="bottom"/>
            <w:hideMark/>
          </w:tcPr>
          <w:p w14:paraId="6B2A53BC" w14:textId="77777777" w:rsidR="001A4E4B" w:rsidRPr="001A4E4B" w:rsidRDefault="001A4E4B" w:rsidP="001A4E4B">
            <w:pPr>
              <w:jc w:val="right"/>
              <w:rPr>
                <w:rFonts w:eastAsia="Times New Roman" w:cs="Times New Roman"/>
              </w:rPr>
            </w:pPr>
            <w:r w:rsidRPr="001A4E4B">
              <w:rPr>
                <w:rFonts w:eastAsia="Times New Roman" w:cs="Times New Roman"/>
              </w:rPr>
              <w:t>0</w:t>
            </w:r>
          </w:p>
        </w:tc>
        <w:tc>
          <w:tcPr>
            <w:tcW w:w="1660" w:type="dxa"/>
            <w:tcBorders>
              <w:top w:val="nil"/>
              <w:left w:val="nil"/>
              <w:bottom w:val="nil"/>
              <w:right w:val="nil"/>
            </w:tcBorders>
            <w:shd w:val="clear" w:color="auto" w:fill="auto"/>
            <w:noWrap/>
            <w:vAlign w:val="bottom"/>
            <w:hideMark/>
          </w:tcPr>
          <w:p w14:paraId="51DB3C6C" w14:textId="77777777" w:rsidR="001A4E4B" w:rsidRPr="001A4E4B" w:rsidRDefault="001A4E4B" w:rsidP="001A4E4B">
            <w:pPr>
              <w:jc w:val="right"/>
              <w:rPr>
                <w:rFonts w:eastAsia="Times New Roman" w:cs="Times New Roman"/>
              </w:rPr>
            </w:pPr>
            <w:r w:rsidRPr="001A4E4B">
              <w:rPr>
                <w:rFonts w:eastAsia="Times New Roman" w:cs="Times New Roman"/>
              </w:rPr>
              <w:t>0</w:t>
            </w:r>
          </w:p>
        </w:tc>
        <w:tc>
          <w:tcPr>
            <w:tcW w:w="2120" w:type="dxa"/>
            <w:tcBorders>
              <w:top w:val="nil"/>
              <w:left w:val="nil"/>
              <w:bottom w:val="nil"/>
              <w:right w:val="nil"/>
            </w:tcBorders>
            <w:shd w:val="clear" w:color="auto" w:fill="auto"/>
            <w:noWrap/>
            <w:vAlign w:val="bottom"/>
            <w:hideMark/>
          </w:tcPr>
          <w:p w14:paraId="62A9CF14" w14:textId="77777777" w:rsidR="001A4E4B" w:rsidRPr="001A4E4B" w:rsidRDefault="001A4E4B" w:rsidP="001A4E4B">
            <w:pPr>
              <w:jc w:val="right"/>
              <w:rPr>
                <w:rFonts w:eastAsia="Times New Roman" w:cs="Times New Roman"/>
              </w:rPr>
            </w:pPr>
            <w:r w:rsidRPr="001A4E4B">
              <w:rPr>
                <w:rFonts w:eastAsia="Times New Roman" w:cs="Times New Roman"/>
              </w:rPr>
              <w:t>0</w:t>
            </w:r>
          </w:p>
        </w:tc>
        <w:tc>
          <w:tcPr>
            <w:tcW w:w="1420" w:type="dxa"/>
            <w:tcBorders>
              <w:top w:val="nil"/>
              <w:left w:val="nil"/>
              <w:bottom w:val="nil"/>
              <w:right w:val="nil"/>
            </w:tcBorders>
            <w:shd w:val="clear" w:color="auto" w:fill="auto"/>
            <w:noWrap/>
            <w:vAlign w:val="bottom"/>
            <w:hideMark/>
          </w:tcPr>
          <w:p w14:paraId="277A15EC" w14:textId="77777777" w:rsidR="001A4E4B" w:rsidRPr="001A4E4B" w:rsidRDefault="001A4E4B" w:rsidP="001A4E4B">
            <w:pPr>
              <w:jc w:val="right"/>
              <w:rPr>
                <w:rFonts w:eastAsia="Times New Roman" w:cs="Times New Roman"/>
              </w:rPr>
            </w:pPr>
            <w:r w:rsidRPr="001A4E4B">
              <w:rPr>
                <w:rFonts w:eastAsia="Times New Roman" w:cs="Times New Roman"/>
              </w:rPr>
              <w:t>0</w:t>
            </w:r>
          </w:p>
        </w:tc>
        <w:tc>
          <w:tcPr>
            <w:tcW w:w="1400" w:type="dxa"/>
            <w:tcBorders>
              <w:top w:val="nil"/>
              <w:left w:val="nil"/>
              <w:bottom w:val="nil"/>
              <w:right w:val="nil"/>
            </w:tcBorders>
            <w:shd w:val="clear" w:color="auto" w:fill="auto"/>
            <w:noWrap/>
            <w:vAlign w:val="bottom"/>
            <w:hideMark/>
          </w:tcPr>
          <w:p w14:paraId="11A7C88B" w14:textId="77777777" w:rsidR="001A4E4B" w:rsidRPr="001A4E4B" w:rsidRDefault="001A4E4B" w:rsidP="001A4E4B">
            <w:pPr>
              <w:jc w:val="right"/>
              <w:rPr>
                <w:rFonts w:eastAsia="Times New Roman" w:cs="Times New Roman"/>
              </w:rPr>
            </w:pPr>
            <w:r w:rsidRPr="001A4E4B">
              <w:rPr>
                <w:rFonts w:eastAsia="Times New Roman" w:cs="Times New Roman"/>
              </w:rPr>
              <w:t>NaN</w:t>
            </w:r>
          </w:p>
        </w:tc>
      </w:tr>
      <w:tr w:rsidR="001A4E4B" w:rsidRPr="001A4E4B" w14:paraId="7BD4DD9B"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63529AB0" w14:textId="77777777" w:rsidR="001A4E4B" w:rsidRPr="001A4E4B" w:rsidRDefault="001A4E4B" w:rsidP="001A4E4B">
            <w:pPr>
              <w:rPr>
                <w:rFonts w:eastAsia="Times New Roman" w:cs="Times New Roman"/>
                <w:b/>
                <w:bCs/>
              </w:rPr>
            </w:pPr>
            <w:r w:rsidRPr="001A4E4B">
              <w:rPr>
                <w:rFonts w:eastAsia="Times New Roman" w:cs="Times New Roman"/>
                <w:b/>
                <w:bCs/>
              </w:rPr>
              <w:t>Dominant blood meal</w:t>
            </w:r>
          </w:p>
        </w:tc>
        <w:tc>
          <w:tcPr>
            <w:tcW w:w="900" w:type="dxa"/>
            <w:tcBorders>
              <w:top w:val="nil"/>
              <w:left w:val="nil"/>
              <w:bottom w:val="nil"/>
              <w:right w:val="nil"/>
            </w:tcBorders>
            <w:shd w:val="clear" w:color="auto" w:fill="auto"/>
            <w:noWrap/>
            <w:vAlign w:val="bottom"/>
            <w:hideMark/>
          </w:tcPr>
          <w:p w14:paraId="73054327" w14:textId="77777777" w:rsidR="001A4E4B" w:rsidRPr="001A4E4B" w:rsidRDefault="001A4E4B" w:rsidP="001A4E4B">
            <w:pPr>
              <w:jc w:val="right"/>
              <w:rPr>
                <w:rFonts w:eastAsia="Times New Roman" w:cs="Times New Roman"/>
              </w:rPr>
            </w:pPr>
            <w:r w:rsidRPr="001A4E4B">
              <w:rPr>
                <w:rFonts w:eastAsia="Times New Roman" w:cs="Times New Roman"/>
              </w:rPr>
              <w:t>6</w:t>
            </w:r>
          </w:p>
        </w:tc>
        <w:tc>
          <w:tcPr>
            <w:tcW w:w="1700" w:type="dxa"/>
            <w:tcBorders>
              <w:top w:val="nil"/>
              <w:left w:val="nil"/>
              <w:bottom w:val="nil"/>
              <w:right w:val="nil"/>
            </w:tcBorders>
            <w:shd w:val="clear" w:color="auto" w:fill="auto"/>
            <w:noWrap/>
            <w:vAlign w:val="bottom"/>
            <w:hideMark/>
          </w:tcPr>
          <w:p w14:paraId="2BEE1A9E" w14:textId="77777777" w:rsidR="001A4E4B" w:rsidRPr="001A4E4B" w:rsidRDefault="001A4E4B" w:rsidP="001A4E4B">
            <w:pPr>
              <w:jc w:val="right"/>
              <w:rPr>
                <w:rFonts w:eastAsia="Times New Roman" w:cs="Times New Roman"/>
              </w:rPr>
            </w:pPr>
            <w:r w:rsidRPr="001A4E4B">
              <w:rPr>
                <w:rFonts w:eastAsia="Times New Roman" w:cs="Times New Roman"/>
              </w:rPr>
              <w:t>1.005242</w:t>
            </w:r>
          </w:p>
        </w:tc>
        <w:tc>
          <w:tcPr>
            <w:tcW w:w="1660" w:type="dxa"/>
            <w:tcBorders>
              <w:top w:val="nil"/>
              <w:left w:val="nil"/>
              <w:bottom w:val="nil"/>
              <w:right w:val="nil"/>
            </w:tcBorders>
            <w:shd w:val="clear" w:color="auto" w:fill="auto"/>
            <w:noWrap/>
            <w:vAlign w:val="bottom"/>
            <w:hideMark/>
          </w:tcPr>
          <w:p w14:paraId="687FE528" w14:textId="77777777" w:rsidR="001A4E4B" w:rsidRPr="001A4E4B" w:rsidRDefault="001A4E4B" w:rsidP="001A4E4B">
            <w:pPr>
              <w:jc w:val="right"/>
              <w:rPr>
                <w:rFonts w:eastAsia="Times New Roman" w:cs="Times New Roman"/>
              </w:rPr>
            </w:pPr>
            <w:r w:rsidRPr="001A4E4B">
              <w:rPr>
                <w:rFonts w:eastAsia="Times New Roman" w:cs="Times New Roman"/>
              </w:rPr>
              <w:t>0.16754</w:t>
            </w:r>
          </w:p>
        </w:tc>
        <w:tc>
          <w:tcPr>
            <w:tcW w:w="2120" w:type="dxa"/>
            <w:tcBorders>
              <w:top w:val="nil"/>
              <w:left w:val="nil"/>
              <w:bottom w:val="nil"/>
              <w:right w:val="nil"/>
            </w:tcBorders>
            <w:shd w:val="clear" w:color="auto" w:fill="auto"/>
            <w:noWrap/>
            <w:vAlign w:val="bottom"/>
            <w:hideMark/>
          </w:tcPr>
          <w:p w14:paraId="0D870D7F" w14:textId="77777777" w:rsidR="001A4E4B" w:rsidRPr="001A4E4B" w:rsidRDefault="001A4E4B" w:rsidP="001A4E4B">
            <w:pPr>
              <w:jc w:val="right"/>
              <w:rPr>
                <w:rFonts w:eastAsia="Times New Roman" w:cs="Times New Roman"/>
              </w:rPr>
            </w:pPr>
            <w:r w:rsidRPr="001A4E4B">
              <w:rPr>
                <w:rFonts w:eastAsia="Times New Roman" w:cs="Times New Roman"/>
              </w:rPr>
              <w:t>1.163861</w:t>
            </w:r>
          </w:p>
        </w:tc>
        <w:tc>
          <w:tcPr>
            <w:tcW w:w="1420" w:type="dxa"/>
            <w:tcBorders>
              <w:top w:val="nil"/>
              <w:left w:val="nil"/>
              <w:bottom w:val="nil"/>
              <w:right w:val="nil"/>
            </w:tcBorders>
            <w:shd w:val="clear" w:color="auto" w:fill="auto"/>
            <w:noWrap/>
            <w:vAlign w:val="bottom"/>
            <w:hideMark/>
          </w:tcPr>
          <w:p w14:paraId="111D6C13" w14:textId="77777777" w:rsidR="001A4E4B" w:rsidRPr="001A4E4B" w:rsidRDefault="001A4E4B" w:rsidP="001A4E4B">
            <w:pPr>
              <w:jc w:val="right"/>
              <w:rPr>
                <w:rFonts w:eastAsia="Times New Roman" w:cs="Times New Roman"/>
              </w:rPr>
            </w:pPr>
            <w:r w:rsidRPr="001A4E4B">
              <w:rPr>
                <w:rFonts w:eastAsia="Times New Roman" w:cs="Times New Roman"/>
              </w:rPr>
              <w:t>0.065542</w:t>
            </w:r>
          </w:p>
        </w:tc>
        <w:tc>
          <w:tcPr>
            <w:tcW w:w="1400" w:type="dxa"/>
            <w:tcBorders>
              <w:top w:val="nil"/>
              <w:left w:val="nil"/>
              <w:bottom w:val="nil"/>
              <w:right w:val="nil"/>
            </w:tcBorders>
            <w:shd w:val="clear" w:color="auto" w:fill="auto"/>
            <w:noWrap/>
            <w:vAlign w:val="bottom"/>
            <w:hideMark/>
          </w:tcPr>
          <w:p w14:paraId="30C7CB74" w14:textId="77777777" w:rsidR="001A4E4B" w:rsidRPr="001A4E4B" w:rsidRDefault="001A4E4B" w:rsidP="001A4E4B">
            <w:pPr>
              <w:jc w:val="right"/>
              <w:rPr>
                <w:rFonts w:eastAsia="Times New Roman" w:cs="Times New Roman"/>
              </w:rPr>
            </w:pPr>
            <w:r w:rsidRPr="001A4E4B">
              <w:rPr>
                <w:rFonts w:eastAsia="Times New Roman" w:cs="Times New Roman"/>
              </w:rPr>
              <w:t>0.121</w:t>
            </w:r>
          </w:p>
        </w:tc>
      </w:tr>
      <w:tr w:rsidR="001A4E4B" w:rsidRPr="001A4E4B" w14:paraId="50ED03D7"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3046738D" w14:textId="77777777" w:rsidR="001A4E4B" w:rsidRPr="001A4E4B" w:rsidRDefault="001A4E4B" w:rsidP="001A4E4B">
            <w:pPr>
              <w:rPr>
                <w:rFonts w:eastAsia="Times New Roman" w:cs="Times New Roman"/>
                <w:b/>
                <w:bCs/>
              </w:rPr>
            </w:pPr>
            <w:r w:rsidRPr="001A4E4B">
              <w:rPr>
                <w:rFonts w:eastAsia="Times New Roman" w:cs="Times New Roman"/>
                <w:b/>
                <w:bCs/>
              </w:rPr>
              <w:t>Blood meal richness</w:t>
            </w:r>
          </w:p>
        </w:tc>
        <w:tc>
          <w:tcPr>
            <w:tcW w:w="900" w:type="dxa"/>
            <w:tcBorders>
              <w:top w:val="nil"/>
              <w:left w:val="nil"/>
              <w:bottom w:val="nil"/>
              <w:right w:val="nil"/>
            </w:tcBorders>
            <w:shd w:val="clear" w:color="auto" w:fill="auto"/>
            <w:noWrap/>
            <w:vAlign w:val="bottom"/>
            <w:hideMark/>
          </w:tcPr>
          <w:p w14:paraId="19CBC5F6" w14:textId="77777777" w:rsidR="001A4E4B" w:rsidRPr="001A4E4B" w:rsidRDefault="001A4E4B" w:rsidP="001A4E4B">
            <w:pPr>
              <w:jc w:val="right"/>
              <w:rPr>
                <w:rFonts w:eastAsia="Times New Roman" w:cs="Times New Roman"/>
              </w:rPr>
            </w:pPr>
            <w:r w:rsidRPr="001A4E4B">
              <w:rPr>
                <w:rFonts w:eastAsia="Times New Roman" w:cs="Times New Roman"/>
              </w:rPr>
              <w:t>3</w:t>
            </w:r>
          </w:p>
        </w:tc>
        <w:tc>
          <w:tcPr>
            <w:tcW w:w="1700" w:type="dxa"/>
            <w:tcBorders>
              <w:top w:val="nil"/>
              <w:left w:val="nil"/>
              <w:bottom w:val="nil"/>
              <w:right w:val="nil"/>
            </w:tcBorders>
            <w:shd w:val="clear" w:color="auto" w:fill="auto"/>
            <w:noWrap/>
            <w:vAlign w:val="bottom"/>
            <w:hideMark/>
          </w:tcPr>
          <w:p w14:paraId="39762AC3" w14:textId="77777777" w:rsidR="001A4E4B" w:rsidRPr="001A4E4B" w:rsidRDefault="001A4E4B" w:rsidP="001A4E4B">
            <w:pPr>
              <w:jc w:val="right"/>
              <w:rPr>
                <w:rFonts w:eastAsia="Times New Roman" w:cs="Times New Roman"/>
              </w:rPr>
            </w:pPr>
            <w:r w:rsidRPr="001A4E4B">
              <w:rPr>
                <w:rFonts w:eastAsia="Times New Roman" w:cs="Times New Roman"/>
              </w:rPr>
              <w:t>0.486432</w:t>
            </w:r>
          </w:p>
        </w:tc>
        <w:tc>
          <w:tcPr>
            <w:tcW w:w="1660" w:type="dxa"/>
            <w:tcBorders>
              <w:top w:val="nil"/>
              <w:left w:val="nil"/>
              <w:bottom w:val="nil"/>
              <w:right w:val="nil"/>
            </w:tcBorders>
            <w:shd w:val="clear" w:color="auto" w:fill="auto"/>
            <w:noWrap/>
            <w:vAlign w:val="bottom"/>
            <w:hideMark/>
          </w:tcPr>
          <w:p w14:paraId="05533DC1" w14:textId="77777777" w:rsidR="001A4E4B" w:rsidRPr="001A4E4B" w:rsidRDefault="001A4E4B" w:rsidP="001A4E4B">
            <w:pPr>
              <w:jc w:val="right"/>
              <w:rPr>
                <w:rFonts w:eastAsia="Times New Roman" w:cs="Times New Roman"/>
              </w:rPr>
            </w:pPr>
            <w:r w:rsidRPr="001A4E4B">
              <w:rPr>
                <w:rFonts w:eastAsia="Times New Roman" w:cs="Times New Roman"/>
              </w:rPr>
              <w:t>0.162144</w:t>
            </w:r>
          </w:p>
        </w:tc>
        <w:tc>
          <w:tcPr>
            <w:tcW w:w="2120" w:type="dxa"/>
            <w:tcBorders>
              <w:top w:val="nil"/>
              <w:left w:val="nil"/>
              <w:bottom w:val="nil"/>
              <w:right w:val="nil"/>
            </w:tcBorders>
            <w:shd w:val="clear" w:color="auto" w:fill="auto"/>
            <w:noWrap/>
            <w:vAlign w:val="bottom"/>
            <w:hideMark/>
          </w:tcPr>
          <w:p w14:paraId="6574D074" w14:textId="77777777" w:rsidR="001A4E4B" w:rsidRPr="001A4E4B" w:rsidRDefault="001A4E4B" w:rsidP="001A4E4B">
            <w:pPr>
              <w:jc w:val="right"/>
              <w:rPr>
                <w:rFonts w:eastAsia="Times New Roman" w:cs="Times New Roman"/>
              </w:rPr>
            </w:pPr>
            <w:r w:rsidRPr="001A4E4B">
              <w:rPr>
                <w:rFonts w:eastAsia="Times New Roman" w:cs="Times New Roman"/>
              </w:rPr>
              <w:t>1.126374</w:t>
            </w:r>
          </w:p>
        </w:tc>
        <w:tc>
          <w:tcPr>
            <w:tcW w:w="1420" w:type="dxa"/>
            <w:tcBorders>
              <w:top w:val="nil"/>
              <w:left w:val="nil"/>
              <w:bottom w:val="nil"/>
              <w:right w:val="nil"/>
            </w:tcBorders>
            <w:shd w:val="clear" w:color="auto" w:fill="auto"/>
            <w:noWrap/>
            <w:vAlign w:val="bottom"/>
            <w:hideMark/>
          </w:tcPr>
          <w:p w14:paraId="4D6DECF3" w14:textId="77777777" w:rsidR="001A4E4B" w:rsidRPr="001A4E4B" w:rsidRDefault="001A4E4B" w:rsidP="001A4E4B">
            <w:pPr>
              <w:jc w:val="right"/>
              <w:rPr>
                <w:rFonts w:eastAsia="Times New Roman" w:cs="Times New Roman"/>
              </w:rPr>
            </w:pPr>
            <w:r w:rsidRPr="001A4E4B">
              <w:rPr>
                <w:rFonts w:eastAsia="Times New Roman" w:cs="Times New Roman"/>
              </w:rPr>
              <w:t>0.031715</w:t>
            </w:r>
          </w:p>
        </w:tc>
        <w:tc>
          <w:tcPr>
            <w:tcW w:w="1400" w:type="dxa"/>
            <w:tcBorders>
              <w:top w:val="nil"/>
              <w:left w:val="nil"/>
              <w:bottom w:val="nil"/>
              <w:right w:val="nil"/>
            </w:tcBorders>
            <w:shd w:val="clear" w:color="auto" w:fill="auto"/>
            <w:noWrap/>
            <w:vAlign w:val="bottom"/>
            <w:hideMark/>
          </w:tcPr>
          <w:p w14:paraId="0D27F4F5" w14:textId="77777777" w:rsidR="001A4E4B" w:rsidRPr="001A4E4B" w:rsidRDefault="001A4E4B" w:rsidP="001A4E4B">
            <w:pPr>
              <w:jc w:val="right"/>
              <w:rPr>
                <w:rFonts w:eastAsia="Times New Roman" w:cs="Times New Roman"/>
              </w:rPr>
            </w:pPr>
            <w:r w:rsidRPr="001A4E4B">
              <w:rPr>
                <w:rFonts w:eastAsia="Times New Roman" w:cs="Times New Roman"/>
              </w:rPr>
              <w:t>0.255</w:t>
            </w:r>
          </w:p>
        </w:tc>
      </w:tr>
      <w:tr w:rsidR="001A4E4B" w:rsidRPr="001A4E4B" w14:paraId="40689952"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2FB928B9" w14:textId="77777777" w:rsidR="001A4E4B" w:rsidRPr="001A4E4B" w:rsidRDefault="001A4E4B" w:rsidP="001A4E4B">
            <w:pPr>
              <w:rPr>
                <w:rFonts w:eastAsia="Times New Roman" w:cs="Times New Roman"/>
                <w:b/>
                <w:bCs/>
              </w:rPr>
            </w:pPr>
            <w:r w:rsidRPr="001A4E4B">
              <w:rPr>
                <w:rFonts w:eastAsia="Times New Roman" w:cs="Times New Roman"/>
                <w:b/>
                <w:bCs/>
              </w:rPr>
              <w:t>Residuals</w:t>
            </w:r>
          </w:p>
        </w:tc>
        <w:tc>
          <w:tcPr>
            <w:tcW w:w="900" w:type="dxa"/>
            <w:tcBorders>
              <w:top w:val="nil"/>
              <w:left w:val="nil"/>
              <w:bottom w:val="nil"/>
              <w:right w:val="nil"/>
            </w:tcBorders>
            <w:shd w:val="clear" w:color="auto" w:fill="auto"/>
            <w:noWrap/>
            <w:vAlign w:val="bottom"/>
            <w:hideMark/>
          </w:tcPr>
          <w:p w14:paraId="6D5BFDF9" w14:textId="77777777" w:rsidR="001A4E4B" w:rsidRPr="001A4E4B" w:rsidRDefault="001A4E4B" w:rsidP="001A4E4B">
            <w:pPr>
              <w:jc w:val="right"/>
              <w:rPr>
                <w:rFonts w:eastAsia="Times New Roman" w:cs="Times New Roman"/>
              </w:rPr>
            </w:pPr>
            <w:r w:rsidRPr="001A4E4B">
              <w:rPr>
                <w:rFonts w:eastAsia="Times New Roman" w:cs="Times New Roman"/>
              </w:rPr>
              <w:t>51</w:t>
            </w:r>
          </w:p>
        </w:tc>
        <w:tc>
          <w:tcPr>
            <w:tcW w:w="1700" w:type="dxa"/>
            <w:tcBorders>
              <w:top w:val="nil"/>
              <w:left w:val="nil"/>
              <w:bottom w:val="nil"/>
              <w:right w:val="nil"/>
            </w:tcBorders>
            <w:shd w:val="clear" w:color="auto" w:fill="auto"/>
            <w:noWrap/>
            <w:vAlign w:val="bottom"/>
            <w:hideMark/>
          </w:tcPr>
          <w:p w14:paraId="7D2B1F35" w14:textId="77777777" w:rsidR="001A4E4B" w:rsidRPr="001A4E4B" w:rsidRDefault="001A4E4B" w:rsidP="001A4E4B">
            <w:pPr>
              <w:jc w:val="right"/>
              <w:rPr>
                <w:rFonts w:eastAsia="Times New Roman" w:cs="Times New Roman"/>
              </w:rPr>
            </w:pPr>
            <w:r w:rsidRPr="001A4E4B">
              <w:rPr>
                <w:rFonts w:eastAsia="Times New Roman" w:cs="Times New Roman"/>
              </w:rPr>
              <w:t>7.341558</w:t>
            </w:r>
          </w:p>
        </w:tc>
        <w:tc>
          <w:tcPr>
            <w:tcW w:w="1660" w:type="dxa"/>
            <w:tcBorders>
              <w:top w:val="nil"/>
              <w:left w:val="nil"/>
              <w:bottom w:val="nil"/>
              <w:right w:val="nil"/>
            </w:tcBorders>
            <w:shd w:val="clear" w:color="auto" w:fill="auto"/>
            <w:noWrap/>
            <w:vAlign w:val="bottom"/>
            <w:hideMark/>
          </w:tcPr>
          <w:p w14:paraId="7A5927DD" w14:textId="77777777" w:rsidR="001A4E4B" w:rsidRPr="001A4E4B" w:rsidRDefault="001A4E4B" w:rsidP="001A4E4B">
            <w:pPr>
              <w:jc w:val="right"/>
              <w:rPr>
                <w:rFonts w:eastAsia="Times New Roman" w:cs="Times New Roman"/>
              </w:rPr>
            </w:pPr>
            <w:r w:rsidRPr="001A4E4B">
              <w:rPr>
                <w:rFonts w:eastAsia="Times New Roman" w:cs="Times New Roman"/>
              </w:rPr>
              <w:t>0.143952</w:t>
            </w:r>
          </w:p>
        </w:tc>
        <w:tc>
          <w:tcPr>
            <w:tcW w:w="2120" w:type="dxa"/>
            <w:tcBorders>
              <w:top w:val="nil"/>
              <w:left w:val="nil"/>
              <w:bottom w:val="nil"/>
              <w:right w:val="nil"/>
            </w:tcBorders>
            <w:shd w:val="clear" w:color="auto" w:fill="auto"/>
            <w:noWrap/>
            <w:vAlign w:val="bottom"/>
            <w:hideMark/>
          </w:tcPr>
          <w:p w14:paraId="495B53FA" w14:textId="77777777" w:rsidR="001A4E4B" w:rsidRPr="001A4E4B" w:rsidRDefault="001A4E4B" w:rsidP="001A4E4B">
            <w:pPr>
              <w:jc w:val="right"/>
              <w:rPr>
                <w:rFonts w:eastAsia="Times New Roman" w:cs="Times New Roman"/>
              </w:rPr>
            </w:pPr>
            <w:r w:rsidRPr="001A4E4B">
              <w:rPr>
                <w:rFonts w:eastAsia="Times New Roman" w:cs="Times New Roman"/>
              </w:rPr>
              <w:t>NaN</w:t>
            </w:r>
          </w:p>
        </w:tc>
        <w:tc>
          <w:tcPr>
            <w:tcW w:w="1420" w:type="dxa"/>
            <w:tcBorders>
              <w:top w:val="nil"/>
              <w:left w:val="nil"/>
              <w:bottom w:val="nil"/>
              <w:right w:val="nil"/>
            </w:tcBorders>
            <w:shd w:val="clear" w:color="auto" w:fill="auto"/>
            <w:noWrap/>
            <w:vAlign w:val="bottom"/>
            <w:hideMark/>
          </w:tcPr>
          <w:p w14:paraId="4FB1800D" w14:textId="77777777" w:rsidR="001A4E4B" w:rsidRPr="001A4E4B" w:rsidRDefault="001A4E4B" w:rsidP="001A4E4B">
            <w:pPr>
              <w:jc w:val="right"/>
              <w:rPr>
                <w:rFonts w:eastAsia="Times New Roman" w:cs="Times New Roman"/>
              </w:rPr>
            </w:pPr>
            <w:r w:rsidRPr="001A4E4B">
              <w:rPr>
                <w:rFonts w:eastAsia="Times New Roman" w:cs="Times New Roman"/>
              </w:rPr>
              <w:t>0.47867</w:t>
            </w:r>
          </w:p>
        </w:tc>
        <w:tc>
          <w:tcPr>
            <w:tcW w:w="1400" w:type="dxa"/>
            <w:tcBorders>
              <w:top w:val="nil"/>
              <w:left w:val="nil"/>
              <w:bottom w:val="nil"/>
              <w:right w:val="nil"/>
            </w:tcBorders>
            <w:shd w:val="clear" w:color="auto" w:fill="auto"/>
            <w:noWrap/>
            <w:vAlign w:val="bottom"/>
            <w:hideMark/>
          </w:tcPr>
          <w:p w14:paraId="678A5194" w14:textId="77777777" w:rsidR="001A4E4B" w:rsidRPr="001A4E4B" w:rsidRDefault="001A4E4B" w:rsidP="001A4E4B">
            <w:pPr>
              <w:jc w:val="right"/>
              <w:rPr>
                <w:rFonts w:eastAsia="Times New Roman" w:cs="Times New Roman"/>
              </w:rPr>
            </w:pPr>
            <w:r w:rsidRPr="001A4E4B">
              <w:rPr>
                <w:rFonts w:eastAsia="Times New Roman" w:cs="Times New Roman"/>
              </w:rPr>
              <w:t>NaN</w:t>
            </w:r>
          </w:p>
        </w:tc>
      </w:tr>
      <w:tr w:rsidR="001A4E4B" w:rsidRPr="001A4E4B" w14:paraId="02D1BAD9"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07CEB09D" w14:textId="77777777" w:rsidR="001A4E4B" w:rsidRPr="001A4E4B" w:rsidRDefault="001A4E4B" w:rsidP="001A4E4B">
            <w:pPr>
              <w:rPr>
                <w:rFonts w:eastAsia="Times New Roman" w:cs="Times New Roman"/>
                <w:b/>
                <w:bCs/>
              </w:rPr>
            </w:pPr>
            <w:r w:rsidRPr="001A4E4B">
              <w:rPr>
                <w:rFonts w:eastAsia="Times New Roman" w:cs="Times New Roman"/>
                <w:b/>
                <w:bCs/>
              </w:rPr>
              <w:t>Total</w:t>
            </w:r>
          </w:p>
        </w:tc>
        <w:tc>
          <w:tcPr>
            <w:tcW w:w="900" w:type="dxa"/>
            <w:tcBorders>
              <w:top w:val="nil"/>
              <w:left w:val="nil"/>
              <w:bottom w:val="nil"/>
              <w:right w:val="nil"/>
            </w:tcBorders>
            <w:shd w:val="clear" w:color="auto" w:fill="auto"/>
            <w:noWrap/>
            <w:vAlign w:val="bottom"/>
            <w:hideMark/>
          </w:tcPr>
          <w:p w14:paraId="1F5A3800" w14:textId="77777777" w:rsidR="001A4E4B" w:rsidRPr="001A4E4B" w:rsidRDefault="001A4E4B" w:rsidP="001A4E4B">
            <w:pPr>
              <w:jc w:val="right"/>
              <w:rPr>
                <w:rFonts w:eastAsia="Times New Roman" w:cs="Times New Roman"/>
              </w:rPr>
            </w:pPr>
            <w:r w:rsidRPr="001A4E4B">
              <w:rPr>
                <w:rFonts w:eastAsia="Times New Roman" w:cs="Times New Roman"/>
              </w:rPr>
              <w:t>74</w:t>
            </w:r>
          </w:p>
        </w:tc>
        <w:tc>
          <w:tcPr>
            <w:tcW w:w="1700" w:type="dxa"/>
            <w:tcBorders>
              <w:top w:val="nil"/>
              <w:left w:val="nil"/>
              <w:bottom w:val="nil"/>
              <w:right w:val="nil"/>
            </w:tcBorders>
            <w:shd w:val="clear" w:color="auto" w:fill="auto"/>
            <w:noWrap/>
            <w:vAlign w:val="bottom"/>
            <w:hideMark/>
          </w:tcPr>
          <w:p w14:paraId="63231DFB" w14:textId="77777777" w:rsidR="001A4E4B" w:rsidRPr="001A4E4B" w:rsidRDefault="001A4E4B" w:rsidP="001A4E4B">
            <w:pPr>
              <w:jc w:val="right"/>
              <w:rPr>
                <w:rFonts w:eastAsia="Times New Roman" w:cs="Times New Roman"/>
              </w:rPr>
            </w:pPr>
            <w:r w:rsidRPr="001A4E4B">
              <w:rPr>
                <w:rFonts w:eastAsia="Times New Roman" w:cs="Times New Roman"/>
              </w:rPr>
              <w:t>15.337419</w:t>
            </w:r>
          </w:p>
        </w:tc>
        <w:tc>
          <w:tcPr>
            <w:tcW w:w="1660" w:type="dxa"/>
            <w:tcBorders>
              <w:top w:val="nil"/>
              <w:left w:val="nil"/>
              <w:bottom w:val="nil"/>
              <w:right w:val="nil"/>
            </w:tcBorders>
            <w:shd w:val="clear" w:color="auto" w:fill="auto"/>
            <w:noWrap/>
            <w:vAlign w:val="bottom"/>
            <w:hideMark/>
          </w:tcPr>
          <w:p w14:paraId="5542190C" w14:textId="77777777" w:rsidR="001A4E4B" w:rsidRPr="001A4E4B" w:rsidRDefault="001A4E4B" w:rsidP="001A4E4B">
            <w:pPr>
              <w:jc w:val="right"/>
              <w:rPr>
                <w:rFonts w:eastAsia="Times New Roman" w:cs="Times New Roman"/>
              </w:rPr>
            </w:pPr>
            <w:r w:rsidRPr="001A4E4B">
              <w:rPr>
                <w:rFonts w:eastAsia="Times New Roman" w:cs="Times New Roman"/>
              </w:rPr>
              <w:t>NaN</w:t>
            </w:r>
          </w:p>
        </w:tc>
        <w:tc>
          <w:tcPr>
            <w:tcW w:w="2120" w:type="dxa"/>
            <w:tcBorders>
              <w:top w:val="nil"/>
              <w:left w:val="nil"/>
              <w:bottom w:val="nil"/>
              <w:right w:val="nil"/>
            </w:tcBorders>
            <w:shd w:val="clear" w:color="auto" w:fill="auto"/>
            <w:noWrap/>
            <w:vAlign w:val="bottom"/>
            <w:hideMark/>
          </w:tcPr>
          <w:p w14:paraId="63C7CCA8" w14:textId="77777777" w:rsidR="001A4E4B" w:rsidRPr="001A4E4B" w:rsidRDefault="001A4E4B" w:rsidP="001A4E4B">
            <w:pPr>
              <w:jc w:val="right"/>
              <w:rPr>
                <w:rFonts w:eastAsia="Times New Roman" w:cs="Times New Roman"/>
              </w:rPr>
            </w:pPr>
            <w:r w:rsidRPr="001A4E4B">
              <w:rPr>
                <w:rFonts w:eastAsia="Times New Roman" w:cs="Times New Roman"/>
              </w:rPr>
              <w:t>NaN</w:t>
            </w:r>
          </w:p>
        </w:tc>
        <w:tc>
          <w:tcPr>
            <w:tcW w:w="1420" w:type="dxa"/>
            <w:tcBorders>
              <w:top w:val="nil"/>
              <w:left w:val="nil"/>
              <w:bottom w:val="nil"/>
              <w:right w:val="nil"/>
            </w:tcBorders>
            <w:shd w:val="clear" w:color="auto" w:fill="auto"/>
            <w:noWrap/>
            <w:vAlign w:val="bottom"/>
            <w:hideMark/>
          </w:tcPr>
          <w:p w14:paraId="03032712" w14:textId="77777777" w:rsidR="001A4E4B" w:rsidRPr="001A4E4B" w:rsidRDefault="001A4E4B" w:rsidP="001A4E4B">
            <w:pPr>
              <w:jc w:val="right"/>
              <w:rPr>
                <w:rFonts w:eastAsia="Times New Roman" w:cs="Times New Roman"/>
              </w:rPr>
            </w:pPr>
            <w:r w:rsidRPr="001A4E4B">
              <w:rPr>
                <w:rFonts w:eastAsia="Times New Roman" w:cs="Times New Roman"/>
              </w:rPr>
              <w:t>1</w:t>
            </w:r>
          </w:p>
        </w:tc>
        <w:tc>
          <w:tcPr>
            <w:tcW w:w="1400" w:type="dxa"/>
            <w:tcBorders>
              <w:top w:val="nil"/>
              <w:left w:val="nil"/>
              <w:bottom w:val="nil"/>
              <w:right w:val="nil"/>
            </w:tcBorders>
            <w:shd w:val="clear" w:color="auto" w:fill="auto"/>
            <w:noWrap/>
            <w:vAlign w:val="bottom"/>
            <w:hideMark/>
          </w:tcPr>
          <w:p w14:paraId="2AFE8F71" w14:textId="77777777" w:rsidR="001A4E4B" w:rsidRPr="001A4E4B" w:rsidRDefault="001A4E4B" w:rsidP="001A4E4B">
            <w:pPr>
              <w:jc w:val="right"/>
              <w:rPr>
                <w:rFonts w:eastAsia="Times New Roman" w:cs="Times New Roman"/>
              </w:rPr>
            </w:pPr>
            <w:r w:rsidRPr="001A4E4B">
              <w:rPr>
                <w:rFonts w:eastAsia="Times New Roman" w:cs="Times New Roman"/>
              </w:rPr>
              <w:t>NaN</w:t>
            </w:r>
          </w:p>
        </w:tc>
      </w:tr>
    </w:tbl>
    <w:p w14:paraId="7F9490DD" w14:textId="77777777" w:rsidR="00E011FC" w:rsidRPr="00A53C1D" w:rsidRDefault="00E011FC" w:rsidP="00E011FC">
      <w:pPr>
        <w:rPr>
          <w:rFonts w:cs="Times New Roman"/>
        </w:rPr>
      </w:pPr>
    </w:p>
    <w:p w14:paraId="7A14A3F4" w14:textId="77777777" w:rsidR="001A4E4B" w:rsidRPr="00A53C1D" w:rsidRDefault="001A4E4B" w:rsidP="00E011FC">
      <w:pPr>
        <w:rPr>
          <w:rFonts w:cs="Times New Roman"/>
        </w:rPr>
      </w:pPr>
    </w:p>
    <w:p w14:paraId="07BB2204" w14:textId="77777777" w:rsidR="001A4E4B" w:rsidRPr="00A53C1D" w:rsidRDefault="001A4E4B" w:rsidP="00E011FC">
      <w:pPr>
        <w:rPr>
          <w:rFonts w:cs="Times New Roman"/>
        </w:rPr>
      </w:pPr>
    </w:p>
    <w:tbl>
      <w:tblPr>
        <w:tblW w:w="12100" w:type="dxa"/>
        <w:tblLook w:val="04A0" w:firstRow="1" w:lastRow="0" w:firstColumn="1" w:lastColumn="0" w:noHBand="0" w:noVBand="1"/>
      </w:tblPr>
      <w:tblGrid>
        <w:gridCol w:w="2900"/>
        <w:gridCol w:w="900"/>
        <w:gridCol w:w="1700"/>
        <w:gridCol w:w="1660"/>
        <w:gridCol w:w="2120"/>
        <w:gridCol w:w="1420"/>
        <w:gridCol w:w="1400"/>
      </w:tblGrid>
      <w:tr w:rsidR="001A4E4B" w:rsidRPr="001A4E4B" w14:paraId="4C0A7398" w14:textId="77777777" w:rsidTr="001A4E4B">
        <w:trPr>
          <w:trHeight w:val="380"/>
        </w:trPr>
        <w:tc>
          <w:tcPr>
            <w:tcW w:w="2900" w:type="dxa"/>
            <w:tcBorders>
              <w:top w:val="nil"/>
              <w:left w:val="nil"/>
              <w:bottom w:val="nil"/>
              <w:right w:val="nil"/>
            </w:tcBorders>
            <w:shd w:val="clear" w:color="auto" w:fill="auto"/>
            <w:noWrap/>
            <w:vAlign w:val="bottom"/>
            <w:hideMark/>
          </w:tcPr>
          <w:p w14:paraId="36A6C96D" w14:textId="77777777" w:rsidR="001A4E4B" w:rsidRPr="001A4E4B" w:rsidRDefault="001A4E4B" w:rsidP="001A4E4B">
            <w:pPr>
              <w:rPr>
                <w:rFonts w:eastAsia="Times New Roman" w:cs="Times New Roman"/>
                <w:b/>
                <w:bCs/>
              </w:rPr>
            </w:pPr>
            <w:r w:rsidRPr="001A4E4B">
              <w:rPr>
                <w:rFonts w:eastAsia="Times New Roman" w:cs="Times New Roman"/>
                <w:b/>
                <w:bCs/>
              </w:rPr>
              <w:t>Weighted UniFrac</w:t>
            </w:r>
          </w:p>
        </w:tc>
        <w:tc>
          <w:tcPr>
            <w:tcW w:w="900" w:type="dxa"/>
            <w:tcBorders>
              <w:top w:val="nil"/>
              <w:left w:val="nil"/>
              <w:bottom w:val="nil"/>
              <w:right w:val="nil"/>
            </w:tcBorders>
            <w:shd w:val="clear" w:color="auto" w:fill="auto"/>
            <w:noWrap/>
            <w:vAlign w:val="bottom"/>
            <w:hideMark/>
          </w:tcPr>
          <w:p w14:paraId="378A1B69" w14:textId="77777777" w:rsidR="001A4E4B" w:rsidRPr="001A4E4B" w:rsidRDefault="001A4E4B" w:rsidP="001A4E4B">
            <w:pPr>
              <w:rPr>
                <w:rFonts w:eastAsia="Times New Roman" w:cs="Times New Roman"/>
                <w:b/>
                <w:bCs/>
              </w:rPr>
            </w:pPr>
          </w:p>
        </w:tc>
        <w:tc>
          <w:tcPr>
            <w:tcW w:w="1700" w:type="dxa"/>
            <w:tcBorders>
              <w:top w:val="nil"/>
              <w:left w:val="nil"/>
              <w:bottom w:val="nil"/>
              <w:right w:val="nil"/>
            </w:tcBorders>
            <w:shd w:val="clear" w:color="auto" w:fill="auto"/>
            <w:noWrap/>
            <w:vAlign w:val="bottom"/>
            <w:hideMark/>
          </w:tcPr>
          <w:p w14:paraId="484A698E" w14:textId="77777777" w:rsidR="001A4E4B" w:rsidRPr="001A4E4B" w:rsidRDefault="001A4E4B" w:rsidP="001A4E4B">
            <w:pPr>
              <w:rPr>
                <w:rFonts w:eastAsia="Times New Roman" w:cs="Times New Roman"/>
              </w:rPr>
            </w:pPr>
          </w:p>
        </w:tc>
        <w:tc>
          <w:tcPr>
            <w:tcW w:w="1660" w:type="dxa"/>
            <w:tcBorders>
              <w:top w:val="nil"/>
              <w:left w:val="nil"/>
              <w:bottom w:val="nil"/>
              <w:right w:val="nil"/>
            </w:tcBorders>
            <w:shd w:val="clear" w:color="auto" w:fill="auto"/>
            <w:noWrap/>
            <w:vAlign w:val="bottom"/>
            <w:hideMark/>
          </w:tcPr>
          <w:p w14:paraId="69C04154" w14:textId="77777777" w:rsidR="001A4E4B" w:rsidRPr="001A4E4B" w:rsidRDefault="001A4E4B" w:rsidP="001A4E4B">
            <w:pPr>
              <w:rPr>
                <w:rFonts w:eastAsia="Times New Roman" w:cs="Times New Roman"/>
              </w:rPr>
            </w:pPr>
          </w:p>
        </w:tc>
        <w:tc>
          <w:tcPr>
            <w:tcW w:w="2120" w:type="dxa"/>
            <w:tcBorders>
              <w:top w:val="nil"/>
              <w:left w:val="nil"/>
              <w:bottom w:val="nil"/>
              <w:right w:val="nil"/>
            </w:tcBorders>
            <w:shd w:val="clear" w:color="auto" w:fill="auto"/>
            <w:noWrap/>
            <w:vAlign w:val="bottom"/>
            <w:hideMark/>
          </w:tcPr>
          <w:p w14:paraId="0F971E11" w14:textId="77777777" w:rsidR="001A4E4B" w:rsidRPr="001A4E4B" w:rsidRDefault="001A4E4B" w:rsidP="001A4E4B">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336930E4" w14:textId="77777777" w:rsidR="001A4E4B" w:rsidRPr="001A4E4B" w:rsidRDefault="001A4E4B" w:rsidP="001A4E4B">
            <w:pPr>
              <w:rPr>
                <w:rFonts w:eastAsia="Times New Roman" w:cs="Times New Roman"/>
              </w:rPr>
            </w:pPr>
          </w:p>
        </w:tc>
        <w:tc>
          <w:tcPr>
            <w:tcW w:w="1400" w:type="dxa"/>
            <w:tcBorders>
              <w:top w:val="nil"/>
              <w:left w:val="nil"/>
              <w:bottom w:val="nil"/>
              <w:right w:val="nil"/>
            </w:tcBorders>
            <w:shd w:val="clear" w:color="auto" w:fill="auto"/>
            <w:noWrap/>
            <w:vAlign w:val="bottom"/>
            <w:hideMark/>
          </w:tcPr>
          <w:p w14:paraId="658575F0" w14:textId="77777777" w:rsidR="001A4E4B" w:rsidRPr="001A4E4B" w:rsidRDefault="001A4E4B" w:rsidP="001A4E4B">
            <w:pPr>
              <w:rPr>
                <w:rFonts w:eastAsia="Times New Roman" w:cs="Times New Roman"/>
              </w:rPr>
            </w:pPr>
          </w:p>
        </w:tc>
      </w:tr>
      <w:tr w:rsidR="001A4E4B" w:rsidRPr="001A4E4B" w14:paraId="75BF6840" w14:textId="77777777" w:rsidTr="001A4E4B">
        <w:trPr>
          <w:trHeight w:val="380"/>
        </w:trPr>
        <w:tc>
          <w:tcPr>
            <w:tcW w:w="2900" w:type="dxa"/>
            <w:tcBorders>
              <w:top w:val="nil"/>
              <w:left w:val="nil"/>
              <w:bottom w:val="single" w:sz="4" w:space="0" w:color="auto"/>
              <w:right w:val="nil"/>
            </w:tcBorders>
            <w:shd w:val="clear" w:color="auto" w:fill="auto"/>
            <w:noWrap/>
            <w:vAlign w:val="bottom"/>
            <w:hideMark/>
          </w:tcPr>
          <w:p w14:paraId="48016E47" w14:textId="77777777" w:rsidR="001A4E4B" w:rsidRPr="001A4E4B" w:rsidRDefault="001A4E4B" w:rsidP="001A4E4B">
            <w:pPr>
              <w:rPr>
                <w:rFonts w:eastAsia="Times New Roman" w:cs="Times New Roman"/>
              </w:rPr>
            </w:pPr>
            <w:r w:rsidRPr="001A4E4B">
              <w:rPr>
                <w:rFonts w:eastAsia="Times New Roman" w:cs="Times New Roman"/>
              </w:rPr>
              <w:t> </w:t>
            </w:r>
          </w:p>
        </w:tc>
        <w:tc>
          <w:tcPr>
            <w:tcW w:w="900" w:type="dxa"/>
            <w:tcBorders>
              <w:top w:val="nil"/>
              <w:left w:val="nil"/>
              <w:bottom w:val="single" w:sz="4" w:space="0" w:color="auto"/>
              <w:right w:val="nil"/>
            </w:tcBorders>
            <w:shd w:val="clear" w:color="auto" w:fill="auto"/>
            <w:noWrap/>
            <w:vAlign w:val="bottom"/>
            <w:hideMark/>
          </w:tcPr>
          <w:p w14:paraId="79F06E62" w14:textId="77777777" w:rsidR="001A4E4B" w:rsidRPr="001A4E4B" w:rsidRDefault="001A4E4B" w:rsidP="001A4E4B">
            <w:pPr>
              <w:rPr>
                <w:rFonts w:eastAsia="Times New Roman" w:cs="Times New Roman"/>
                <w:b/>
                <w:bCs/>
              </w:rPr>
            </w:pPr>
            <w:r w:rsidRPr="001A4E4B">
              <w:rPr>
                <w:rFonts w:eastAsia="Times New Roman" w:cs="Times New Roman"/>
                <w:b/>
                <w:bCs/>
              </w:rPr>
              <w:t>Df</w:t>
            </w:r>
          </w:p>
        </w:tc>
        <w:tc>
          <w:tcPr>
            <w:tcW w:w="1700" w:type="dxa"/>
            <w:tcBorders>
              <w:top w:val="nil"/>
              <w:left w:val="nil"/>
              <w:bottom w:val="single" w:sz="4" w:space="0" w:color="auto"/>
              <w:right w:val="nil"/>
            </w:tcBorders>
            <w:shd w:val="clear" w:color="auto" w:fill="auto"/>
            <w:noWrap/>
            <w:vAlign w:val="bottom"/>
            <w:hideMark/>
          </w:tcPr>
          <w:p w14:paraId="17C7A894" w14:textId="77777777" w:rsidR="001A4E4B" w:rsidRPr="001A4E4B" w:rsidRDefault="001A4E4B" w:rsidP="001A4E4B">
            <w:pPr>
              <w:rPr>
                <w:rFonts w:eastAsia="Times New Roman" w:cs="Times New Roman"/>
                <w:b/>
                <w:bCs/>
              </w:rPr>
            </w:pPr>
            <w:r w:rsidRPr="001A4E4B">
              <w:rPr>
                <w:rFonts w:eastAsia="Times New Roman" w:cs="Times New Roman"/>
                <w:b/>
                <w:bCs/>
              </w:rPr>
              <w:t>SumsOfSqs</w:t>
            </w:r>
          </w:p>
        </w:tc>
        <w:tc>
          <w:tcPr>
            <w:tcW w:w="1660" w:type="dxa"/>
            <w:tcBorders>
              <w:top w:val="nil"/>
              <w:left w:val="nil"/>
              <w:bottom w:val="single" w:sz="4" w:space="0" w:color="auto"/>
              <w:right w:val="nil"/>
            </w:tcBorders>
            <w:shd w:val="clear" w:color="auto" w:fill="auto"/>
            <w:noWrap/>
            <w:vAlign w:val="bottom"/>
            <w:hideMark/>
          </w:tcPr>
          <w:p w14:paraId="619AFCB9" w14:textId="77777777" w:rsidR="001A4E4B" w:rsidRPr="001A4E4B" w:rsidRDefault="001A4E4B" w:rsidP="001A4E4B">
            <w:pPr>
              <w:rPr>
                <w:rFonts w:eastAsia="Times New Roman" w:cs="Times New Roman"/>
                <w:b/>
                <w:bCs/>
              </w:rPr>
            </w:pPr>
            <w:r w:rsidRPr="001A4E4B">
              <w:rPr>
                <w:rFonts w:eastAsia="Times New Roman" w:cs="Times New Roman"/>
                <w:b/>
                <w:bCs/>
              </w:rPr>
              <w:t>MeanSqs</w:t>
            </w:r>
          </w:p>
        </w:tc>
        <w:tc>
          <w:tcPr>
            <w:tcW w:w="2120" w:type="dxa"/>
            <w:tcBorders>
              <w:top w:val="nil"/>
              <w:left w:val="nil"/>
              <w:bottom w:val="single" w:sz="4" w:space="0" w:color="auto"/>
              <w:right w:val="nil"/>
            </w:tcBorders>
            <w:shd w:val="clear" w:color="auto" w:fill="auto"/>
            <w:noWrap/>
            <w:vAlign w:val="bottom"/>
            <w:hideMark/>
          </w:tcPr>
          <w:p w14:paraId="11DE1F93" w14:textId="77777777" w:rsidR="001A4E4B" w:rsidRPr="001A4E4B" w:rsidRDefault="001A4E4B" w:rsidP="001A4E4B">
            <w:pPr>
              <w:rPr>
                <w:rFonts w:eastAsia="Times New Roman" w:cs="Times New Roman"/>
                <w:b/>
                <w:bCs/>
              </w:rPr>
            </w:pPr>
            <w:r w:rsidRPr="001A4E4B">
              <w:rPr>
                <w:rFonts w:eastAsia="Times New Roman" w:cs="Times New Roman"/>
                <w:b/>
                <w:bCs/>
              </w:rPr>
              <w:t>F.Model</w:t>
            </w:r>
          </w:p>
        </w:tc>
        <w:tc>
          <w:tcPr>
            <w:tcW w:w="1420" w:type="dxa"/>
            <w:tcBorders>
              <w:top w:val="nil"/>
              <w:left w:val="nil"/>
              <w:bottom w:val="single" w:sz="4" w:space="0" w:color="auto"/>
              <w:right w:val="nil"/>
            </w:tcBorders>
            <w:shd w:val="clear" w:color="auto" w:fill="auto"/>
            <w:noWrap/>
            <w:vAlign w:val="bottom"/>
            <w:hideMark/>
          </w:tcPr>
          <w:p w14:paraId="116E0021" w14:textId="77777777" w:rsidR="001A4E4B" w:rsidRPr="001A4E4B" w:rsidRDefault="001A4E4B" w:rsidP="001A4E4B">
            <w:pPr>
              <w:rPr>
                <w:rFonts w:eastAsia="Times New Roman" w:cs="Times New Roman"/>
                <w:b/>
                <w:bCs/>
              </w:rPr>
            </w:pPr>
            <w:r w:rsidRPr="001A4E4B">
              <w:rPr>
                <w:rFonts w:eastAsia="Times New Roman" w:cs="Times New Roman"/>
                <w:b/>
                <w:bCs/>
              </w:rPr>
              <w:t>R2</w:t>
            </w:r>
          </w:p>
        </w:tc>
        <w:tc>
          <w:tcPr>
            <w:tcW w:w="1400" w:type="dxa"/>
            <w:tcBorders>
              <w:top w:val="nil"/>
              <w:left w:val="nil"/>
              <w:bottom w:val="single" w:sz="4" w:space="0" w:color="auto"/>
              <w:right w:val="nil"/>
            </w:tcBorders>
            <w:shd w:val="clear" w:color="auto" w:fill="auto"/>
            <w:noWrap/>
            <w:vAlign w:val="bottom"/>
            <w:hideMark/>
          </w:tcPr>
          <w:p w14:paraId="4407AE88" w14:textId="77777777" w:rsidR="001A4E4B" w:rsidRPr="001A4E4B" w:rsidRDefault="001A4E4B" w:rsidP="001A4E4B">
            <w:pPr>
              <w:rPr>
                <w:rFonts w:eastAsia="Times New Roman" w:cs="Times New Roman"/>
                <w:b/>
                <w:bCs/>
              </w:rPr>
            </w:pPr>
            <w:r w:rsidRPr="001A4E4B">
              <w:rPr>
                <w:rFonts w:eastAsia="Times New Roman" w:cs="Times New Roman"/>
                <w:b/>
                <w:bCs/>
              </w:rPr>
              <w:t>p-value</w:t>
            </w:r>
          </w:p>
        </w:tc>
      </w:tr>
      <w:tr w:rsidR="001A4E4B" w:rsidRPr="001A4E4B" w14:paraId="10CF3DD2"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4B0F5F14" w14:textId="77777777" w:rsidR="001A4E4B" w:rsidRPr="001A4E4B" w:rsidRDefault="001A4E4B" w:rsidP="001A4E4B">
            <w:pPr>
              <w:rPr>
                <w:rFonts w:eastAsia="Times New Roman" w:cs="Times New Roman"/>
                <w:b/>
                <w:bCs/>
              </w:rPr>
            </w:pPr>
            <w:r w:rsidRPr="001A4E4B">
              <w:rPr>
                <w:rFonts w:eastAsia="Times New Roman" w:cs="Times New Roman"/>
                <w:b/>
                <w:bCs/>
              </w:rPr>
              <w:t>Palm identity</w:t>
            </w:r>
          </w:p>
        </w:tc>
        <w:tc>
          <w:tcPr>
            <w:tcW w:w="900" w:type="dxa"/>
            <w:tcBorders>
              <w:top w:val="nil"/>
              <w:left w:val="nil"/>
              <w:bottom w:val="nil"/>
              <w:right w:val="nil"/>
            </w:tcBorders>
            <w:shd w:val="clear" w:color="auto" w:fill="auto"/>
            <w:noWrap/>
            <w:vAlign w:val="bottom"/>
            <w:hideMark/>
          </w:tcPr>
          <w:p w14:paraId="27BF579C" w14:textId="77777777" w:rsidR="001A4E4B" w:rsidRPr="001A4E4B" w:rsidRDefault="001A4E4B" w:rsidP="001A4E4B">
            <w:pPr>
              <w:jc w:val="right"/>
              <w:rPr>
                <w:rFonts w:eastAsia="Times New Roman" w:cs="Times New Roman"/>
              </w:rPr>
            </w:pPr>
            <w:r w:rsidRPr="001A4E4B">
              <w:rPr>
                <w:rFonts w:eastAsia="Times New Roman" w:cs="Times New Roman"/>
              </w:rPr>
              <w:t>13</w:t>
            </w:r>
          </w:p>
        </w:tc>
        <w:tc>
          <w:tcPr>
            <w:tcW w:w="1700" w:type="dxa"/>
            <w:tcBorders>
              <w:top w:val="nil"/>
              <w:left w:val="nil"/>
              <w:bottom w:val="nil"/>
              <w:right w:val="nil"/>
            </w:tcBorders>
            <w:shd w:val="clear" w:color="auto" w:fill="auto"/>
            <w:noWrap/>
            <w:vAlign w:val="bottom"/>
            <w:hideMark/>
          </w:tcPr>
          <w:p w14:paraId="7290D13D" w14:textId="77777777" w:rsidR="001A4E4B" w:rsidRPr="001A4E4B" w:rsidRDefault="001A4E4B" w:rsidP="001A4E4B">
            <w:pPr>
              <w:jc w:val="right"/>
              <w:rPr>
                <w:rFonts w:eastAsia="Times New Roman" w:cs="Times New Roman"/>
              </w:rPr>
            </w:pPr>
            <w:r w:rsidRPr="001A4E4B">
              <w:rPr>
                <w:rFonts w:eastAsia="Times New Roman" w:cs="Times New Roman"/>
              </w:rPr>
              <w:t>0.727384</w:t>
            </w:r>
          </w:p>
        </w:tc>
        <w:tc>
          <w:tcPr>
            <w:tcW w:w="1660" w:type="dxa"/>
            <w:tcBorders>
              <w:top w:val="nil"/>
              <w:left w:val="nil"/>
              <w:bottom w:val="nil"/>
              <w:right w:val="nil"/>
            </w:tcBorders>
            <w:shd w:val="clear" w:color="auto" w:fill="auto"/>
            <w:noWrap/>
            <w:vAlign w:val="bottom"/>
            <w:hideMark/>
          </w:tcPr>
          <w:p w14:paraId="38B7FBA2" w14:textId="77777777" w:rsidR="001A4E4B" w:rsidRPr="001A4E4B" w:rsidRDefault="001A4E4B" w:rsidP="001A4E4B">
            <w:pPr>
              <w:jc w:val="right"/>
              <w:rPr>
                <w:rFonts w:eastAsia="Times New Roman" w:cs="Times New Roman"/>
              </w:rPr>
            </w:pPr>
            <w:r w:rsidRPr="001A4E4B">
              <w:rPr>
                <w:rFonts w:eastAsia="Times New Roman" w:cs="Times New Roman"/>
              </w:rPr>
              <w:t>0.055953</w:t>
            </w:r>
          </w:p>
        </w:tc>
        <w:tc>
          <w:tcPr>
            <w:tcW w:w="2120" w:type="dxa"/>
            <w:tcBorders>
              <w:top w:val="nil"/>
              <w:left w:val="nil"/>
              <w:bottom w:val="nil"/>
              <w:right w:val="nil"/>
            </w:tcBorders>
            <w:shd w:val="clear" w:color="auto" w:fill="auto"/>
            <w:noWrap/>
            <w:vAlign w:val="bottom"/>
            <w:hideMark/>
          </w:tcPr>
          <w:p w14:paraId="053D540A" w14:textId="77777777" w:rsidR="001A4E4B" w:rsidRPr="001A4E4B" w:rsidRDefault="001A4E4B" w:rsidP="001A4E4B">
            <w:pPr>
              <w:jc w:val="right"/>
              <w:rPr>
                <w:rFonts w:eastAsia="Times New Roman" w:cs="Times New Roman"/>
              </w:rPr>
            </w:pPr>
            <w:r w:rsidRPr="001A4E4B">
              <w:rPr>
                <w:rFonts w:eastAsia="Times New Roman" w:cs="Times New Roman"/>
              </w:rPr>
              <w:t>3.758583</w:t>
            </w:r>
          </w:p>
        </w:tc>
        <w:tc>
          <w:tcPr>
            <w:tcW w:w="1420" w:type="dxa"/>
            <w:tcBorders>
              <w:top w:val="nil"/>
              <w:left w:val="nil"/>
              <w:bottom w:val="nil"/>
              <w:right w:val="nil"/>
            </w:tcBorders>
            <w:shd w:val="clear" w:color="auto" w:fill="auto"/>
            <w:noWrap/>
            <w:vAlign w:val="bottom"/>
            <w:hideMark/>
          </w:tcPr>
          <w:p w14:paraId="1CCDC379" w14:textId="77777777" w:rsidR="001A4E4B" w:rsidRPr="001A4E4B" w:rsidRDefault="001A4E4B" w:rsidP="001A4E4B">
            <w:pPr>
              <w:jc w:val="right"/>
              <w:rPr>
                <w:rFonts w:eastAsia="Times New Roman" w:cs="Times New Roman"/>
              </w:rPr>
            </w:pPr>
            <w:r w:rsidRPr="001A4E4B">
              <w:rPr>
                <w:rFonts w:eastAsia="Times New Roman" w:cs="Times New Roman"/>
              </w:rPr>
              <w:t>0.407883</w:t>
            </w:r>
          </w:p>
        </w:tc>
        <w:tc>
          <w:tcPr>
            <w:tcW w:w="1400" w:type="dxa"/>
            <w:tcBorders>
              <w:top w:val="nil"/>
              <w:left w:val="nil"/>
              <w:bottom w:val="nil"/>
              <w:right w:val="nil"/>
            </w:tcBorders>
            <w:shd w:val="clear" w:color="auto" w:fill="auto"/>
            <w:noWrap/>
            <w:vAlign w:val="bottom"/>
            <w:hideMark/>
          </w:tcPr>
          <w:p w14:paraId="1CD0C982" w14:textId="77777777" w:rsidR="001A4E4B" w:rsidRPr="001A4E4B" w:rsidRDefault="001A4E4B" w:rsidP="001A4E4B">
            <w:pPr>
              <w:jc w:val="right"/>
              <w:rPr>
                <w:rFonts w:eastAsia="Times New Roman" w:cs="Times New Roman"/>
                <w:b/>
                <w:bCs/>
              </w:rPr>
            </w:pPr>
            <w:r w:rsidRPr="001A4E4B">
              <w:rPr>
                <w:rFonts w:eastAsia="Times New Roman" w:cs="Times New Roman"/>
                <w:b/>
                <w:bCs/>
              </w:rPr>
              <w:t>0.001</w:t>
            </w:r>
          </w:p>
        </w:tc>
      </w:tr>
      <w:tr w:rsidR="001A4E4B" w:rsidRPr="001A4E4B" w14:paraId="728B5755"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7983609A" w14:textId="77777777" w:rsidR="001A4E4B" w:rsidRPr="001A4E4B" w:rsidRDefault="001A4E4B" w:rsidP="001A4E4B">
            <w:pPr>
              <w:rPr>
                <w:rFonts w:eastAsia="Times New Roman" w:cs="Times New Roman"/>
                <w:b/>
                <w:bCs/>
              </w:rPr>
            </w:pPr>
            <w:r w:rsidRPr="001A4E4B">
              <w:rPr>
                <w:rFonts w:eastAsia="Times New Roman" w:cs="Times New Roman"/>
                <w:b/>
                <w:bCs/>
              </w:rPr>
              <w:t>Age group</w:t>
            </w:r>
          </w:p>
        </w:tc>
        <w:tc>
          <w:tcPr>
            <w:tcW w:w="900" w:type="dxa"/>
            <w:tcBorders>
              <w:top w:val="nil"/>
              <w:left w:val="nil"/>
              <w:bottom w:val="nil"/>
              <w:right w:val="nil"/>
            </w:tcBorders>
            <w:shd w:val="clear" w:color="auto" w:fill="auto"/>
            <w:noWrap/>
            <w:vAlign w:val="bottom"/>
            <w:hideMark/>
          </w:tcPr>
          <w:p w14:paraId="401DE071" w14:textId="77777777" w:rsidR="001A4E4B" w:rsidRPr="001A4E4B" w:rsidRDefault="001A4E4B" w:rsidP="001A4E4B">
            <w:pPr>
              <w:jc w:val="right"/>
              <w:rPr>
                <w:rFonts w:eastAsia="Times New Roman" w:cs="Times New Roman"/>
              </w:rPr>
            </w:pPr>
            <w:r w:rsidRPr="001A4E4B">
              <w:rPr>
                <w:rFonts w:eastAsia="Times New Roman" w:cs="Times New Roman"/>
              </w:rPr>
              <w:t>1</w:t>
            </w:r>
          </w:p>
        </w:tc>
        <w:tc>
          <w:tcPr>
            <w:tcW w:w="1700" w:type="dxa"/>
            <w:tcBorders>
              <w:top w:val="nil"/>
              <w:left w:val="nil"/>
              <w:bottom w:val="nil"/>
              <w:right w:val="nil"/>
            </w:tcBorders>
            <w:shd w:val="clear" w:color="auto" w:fill="auto"/>
            <w:noWrap/>
            <w:vAlign w:val="bottom"/>
            <w:hideMark/>
          </w:tcPr>
          <w:p w14:paraId="5538297D" w14:textId="77777777" w:rsidR="001A4E4B" w:rsidRPr="001A4E4B" w:rsidRDefault="001A4E4B" w:rsidP="001A4E4B">
            <w:pPr>
              <w:jc w:val="right"/>
              <w:rPr>
                <w:rFonts w:eastAsia="Times New Roman" w:cs="Times New Roman"/>
              </w:rPr>
            </w:pPr>
            <w:r w:rsidRPr="001A4E4B">
              <w:rPr>
                <w:rFonts w:eastAsia="Times New Roman" w:cs="Times New Roman"/>
              </w:rPr>
              <w:t>0.154646</w:t>
            </w:r>
          </w:p>
        </w:tc>
        <w:tc>
          <w:tcPr>
            <w:tcW w:w="1660" w:type="dxa"/>
            <w:tcBorders>
              <w:top w:val="nil"/>
              <w:left w:val="nil"/>
              <w:bottom w:val="nil"/>
              <w:right w:val="nil"/>
            </w:tcBorders>
            <w:shd w:val="clear" w:color="auto" w:fill="auto"/>
            <w:noWrap/>
            <w:vAlign w:val="bottom"/>
            <w:hideMark/>
          </w:tcPr>
          <w:p w14:paraId="669C8377" w14:textId="77777777" w:rsidR="001A4E4B" w:rsidRPr="001A4E4B" w:rsidRDefault="001A4E4B" w:rsidP="001A4E4B">
            <w:pPr>
              <w:jc w:val="right"/>
              <w:rPr>
                <w:rFonts w:eastAsia="Times New Roman" w:cs="Times New Roman"/>
              </w:rPr>
            </w:pPr>
            <w:r w:rsidRPr="001A4E4B">
              <w:rPr>
                <w:rFonts w:eastAsia="Times New Roman" w:cs="Times New Roman"/>
              </w:rPr>
              <w:t>0.154646</w:t>
            </w:r>
          </w:p>
        </w:tc>
        <w:tc>
          <w:tcPr>
            <w:tcW w:w="2120" w:type="dxa"/>
            <w:tcBorders>
              <w:top w:val="nil"/>
              <w:left w:val="nil"/>
              <w:bottom w:val="nil"/>
              <w:right w:val="nil"/>
            </w:tcBorders>
            <w:shd w:val="clear" w:color="auto" w:fill="auto"/>
            <w:noWrap/>
            <w:vAlign w:val="bottom"/>
            <w:hideMark/>
          </w:tcPr>
          <w:p w14:paraId="1D6C4B04" w14:textId="77777777" w:rsidR="001A4E4B" w:rsidRPr="001A4E4B" w:rsidRDefault="001A4E4B" w:rsidP="001A4E4B">
            <w:pPr>
              <w:jc w:val="right"/>
              <w:rPr>
                <w:rFonts w:eastAsia="Times New Roman" w:cs="Times New Roman"/>
              </w:rPr>
            </w:pPr>
            <w:r w:rsidRPr="001A4E4B">
              <w:rPr>
                <w:rFonts w:eastAsia="Times New Roman" w:cs="Times New Roman"/>
              </w:rPr>
              <w:t>10.388255</w:t>
            </w:r>
          </w:p>
        </w:tc>
        <w:tc>
          <w:tcPr>
            <w:tcW w:w="1420" w:type="dxa"/>
            <w:tcBorders>
              <w:top w:val="nil"/>
              <w:left w:val="nil"/>
              <w:bottom w:val="nil"/>
              <w:right w:val="nil"/>
            </w:tcBorders>
            <w:shd w:val="clear" w:color="auto" w:fill="auto"/>
            <w:noWrap/>
            <w:vAlign w:val="bottom"/>
            <w:hideMark/>
          </w:tcPr>
          <w:p w14:paraId="5E86A9AD" w14:textId="77777777" w:rsidR="001A4E4B" w:rsidRPr="001A4E4B" w:rsidRDefault="001A4E4B" w:rsidP="001A4E4B">
            <w:pPr>
              <w:jc w:val="right"/>
              <w:rPr>
                <w:rFonts w:eastAsia="Times New Roman" w:cs="Times New Roman"/>
              </w:rPr>
            </w:pPr>
            <w:r w:rsidRPr="001A4E4B">
              <w:rPr>
                <w:rFonts w:eastAsia="Times New Roman" w:cs="Times New Roman"/>
              </w:rPr>
              <w:t>0.086718</w:t>
            </w:r>
          </w:p>
        </w:tc>
        <w:tc>
          <w:tcPr>
            <w:tcW w:w="1400" w:type="dxa"/>
            <w:tcBorders>
              <w:top w:val="nil"/>
              <w:left w:val="nil"/>
              <w:bottom w:val="nil"/>
              <w:right w:val="nil"/>
            </w:tcBorders>
            <w:shd w:val="clear" w:color="auto" w:fill="auto"/>
            <w:noWrap/>
            <w:vAlign w:val="bottom"/>
            <w:hideMark/>
          </w:tcPr>
          <w:p w14:paraId="6F2827CA" w14:textId="77777777" w:rsidR="001A4E4B" w:rsidRPr="001A4E4B" w:rsidRDefault="001A4E4B" w:rsidP="001A4E4B">
            <w:pPr>
              <w:jc w:val="right"/>
              <w:rPr>
                <w:rFonts w:eastAsia="Times New Roman" w:cs="Times New Roman"/>
                <w:b/>
                <w:bCs/>
              </w:rPr>
            </w:pPr>
            <w:r w:rsidRPr="001A4E4B">
              <w:rPr>
                <w:rFonts w:eastAsia="Times New Roman" w:cs="Times New Roman"/>
                <w:b/>
                <w:bCs/>
              </w:rPr>
              <w:t>0.001</w:t>
            </w:r>
          </w:p>
        </w:tc>
      </w:tr>
      <w:tr w:rsidR="001A4E4B" w:rsidRPr="001A4E4B" w14:paraId="790C69A1"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66A247E5" w14:textId="77777777" w:rsidR="001A4E4B" w:rsidRPr="001A4E4B" w:rsidRDefault="001A4E4B" w:rsidP="001A4E4B">
            <w:pPr>
              <w:rPr>
                <w:rFonts w:eastAsia="Times New Roman" w:cs="Times New Roman"/>
                <w:b/>
                <w:bCs/>
              </w:rPr>
            </w:pPr>
            <w:r w:rsidRPr="001A4E4B">
              <w:rPr>
                <w:rFonts w:eastAsia="Times New Roman" w:cs="Times New Roman"/>
                <w:b/>
                <w:bCs/>
              </w:rPr>
              <w:t>Sampling region</w:t>
            </w:r>
          </w:p>
        </w:tc>
        <w:tc>
          <w:tcPr>
            <w:tcW w:w="900" w:type="dxa"/>
            <w:tcBorders>
              <w:top w:val="nil"/>
              <w:left w:val="nil"/>
              <w:bottom w:val="nil"/>
              <w:right w:val="nil"/>
            </w:tcBorders>
            <w:shd w:val="clear" w:color="auto" w:fill="auto"/>
            <w:noWrap/>
            <w:vAlign w:val="bottom"/>
            <w:hideMark/>
          </w:tcPr>
          <w:p w14:paraId="7AAD0B4F" w14:textId="77777777" w:rsidR="001A4E4B" w:rsidRPr="001A4E4B" w:rsidRDefault="001A4E4B" w:rsidP="001A4E4B">
            <w:pPr>
              <w:jc w:val="right"/>
              <w:rPr>
                <w:rFonts w:eastAsia="Times New Roman" w:cs="Times New Roman"/>
              </w:rPr>
            </w:pPr>
            <w:r w:rsidRPr="001A4E4B">
              <w:rPr>
                <w:rFonts w:eastAsia="Times New Roman" w:cs="Times New Roman"/>
              </w:rPr>
              <w:t>2</w:t>
            </w:r>
          </w:p>
        </w:tc>
        <w:tc>
          <w:tcPr>
            <w:tcW w:w="1700" w:type="dxa"/>
            <w:tcBorders>
              <w:top w:val="nil"/>
              <w:left w:val="nil"/>
              <w:bottom w:val="nil"/>
              <w:right w:val="nil"/>
            </w:tcBorders>
            <w:shd w:val="clear" w:color="auto" w:fill="auto"/>
            <w:noWrap/>
            <w:vAlign w:val="bottom"/>
            <w:hideMark/>
          </w:tcPr>
          <w:p w14:paraId="5B97BDD9" w14:textId="77777777" w:rsidR="001A4E4B" w:rsidRPr="001A4E4B" w:rsidRDefault="001A4E4B" w:rsidP="001A4E4B">
            <w:pPr>
              <w:jc w:val="right"/>
              <w:rPr>
                <w:rFonts w:eastAsia="Times New Roman" w:cs="Times New Roman"/>
              </w:rPr>
            </w:pPr>
            <w:r w:rsidRPr="001A4E4B">
              <w:rPr>
                <w:rFonts w:eastAsia="Times New Roman" w:cs="Times New Roman"/>
              </w:rPr>
              <w:t>0</w:t>
            </w:r>
          </w:p>
        </w:tc>
        <w:tc>
          <w:tcPr>
            <w:tcW w:w="1660" w:type="dxa"/>
            <w:tcBorders>
              <w:top w:val="nil"/>
              <w:left w:val="nil"/>
              <w:bottom w:val="nil"/>
              <w:right w:val="nil"/>
            </w:tcBorders>
            <w:shd w:val="clear" w:color="auto" w:fill="auto"/>
            <w:noWrap/>
            <w:vAlign w:val="bottom"/>
            <w:hideMark/>
          </w:tcPr>
          <w:p w14:paraId="675B1A40" w14:textId="77777777" w:rsidR="001A4E4B" w:rsidRPr="001A4E4B" w:rsidRDefault="001A4E4B" w:rsidP="001A4E4B">
            <w:pPr>
              <w:jc w:val="right"/>
              <w:rPr>
                <w:rFonts w:eastAsia="Times New Roman" w:cs="Times New Roman"/>
              </w:rPr>
            </w:pPr>
            <w:r w:rsidRPr="001A4E4B">
              <w:rPr>
                <w:rFonts w:eastAsia="Times New Roman" w:cs="Times New Roman"/>
              </w:rPr>
              <w:t>0</w:t>
            </w:r>
          </w:p>
        </w:tc>
        <w:tc>
          <w:tcPr>
            <w:tcW w:w="2120" w:type="dxa"/>
            <w:tcBorders>
              <w:top w:val="nil"/>
              <w:left w:val="nil"/>
              <w:bottom w:val="nil"/>
              <w:right w:val="nil"/>
            </w:tcBorders>
            <w:shd w:val="clear" w:color="auto" w:fill="auto"/>
            <w:noWrap/>
            <w:vAlign w:val="bottom"/>
            <w:hideMark/>
          </w:tcPr>
          <w:p w14:paraId="2D0B0316" w14:textId="77777777" w:rsidR="001A4E4B" w:rsidRPr="001A4E4B" w:rsidRDefault="001A4E4B" w:rsidP="001A4E4B">
            <w:pPr>
              <w:jc w:val="right"/>
              <w:rPr>
                <w:rFonts w:eastAsia="Times New Roman" w:cs="Times New Roman"/>
              </w:rPr>
            </w:pPr>
            <w:r w:rsidRPr="001A4E4B">
              <w:rPr>
                <w:rFonts w:eastAsia="Times New Roman" w:cs="Times New Roman"/>
              </w:rPr>
              <w:t>0</w:t>
            </w:r>
          </w:p>
        </w:tc>
        <w:tc>
          <w:tcPr>
            <w:tcW w:w="1420" w:type="dxa"/>
            <w:tcBorders>
              <w:top w:val="nil"/>
              <w:left w:val="nil"/>
              <w:bottom w:val="nil"/>
              <w:right w:val="nil"/>
            </w:tcBorders>
            <w:shd w:val="clear" w:color="auto" w:fill="auto"/>
            <w:noWrap/>
            <w:vAlign w:val="bottom"/>
            <w:hideMark/>
          </w:tcPr>
          <w:p w14:paraId="1A8223CF" w14:textId="77777777" w:rsidR="001A4E4B" w:rsidRPr="001A4E4B" w:rsidRDefault="001A4E4B" w:rsidP="001A4E4B">
            <w:pPr>
              <w:jc w:val="right"/>
              <w:rPr>
                <w:rFonts w:eastAsia="Times New Roman" w:cs="Times New Roman"/>
              </w:rPr>
            </w:pPr>
            <w:r w:rsidRPr="001A4E4B">
              <w:rPr>
                <w:rFonts w:eastAsia="Times New Roman" w:cs="Times New Roman"/>
              </w:rPr>
              <w:t>0</w:t>
            </w:r>
          </w:p>
        </w:tc>
        <w:tc>
          <w:tcPr>
            <w:tcW w:w="1400" w:type="dxa"/>
            <w:tcBorders>
              <w:top w:val="nil"/>
              <w:left w:val="nil"/>
              <w:bottom w:val="nil"/>
              <w:right w:val="nil"/>
            </w:tcBorders>
            <w:shd w:val="clear" w:color="auto" w:fill="auto"/>
            <w:noWrap/>
            <w:vAlign w:val="bottom"/>
            <w:hideMark/>
          </w:tcPr>
          <w:p w14:paraId="0DA47440" w14:textId="77777777" w:rsidR="001A4E4B" w:rsidRPr="001A4E4B" w:rsidRDefault="001A4E4B" w:rsidP="001A4E4B">
            <w:pPr>
              <w:jc w:val="right"/>
              <w:rPr>
                <w:rFonts w:eastAsia="Times New Roman" w:cs="Times New Roman"/>
              </w:rPr>
            </w:pPr>
            <w:r w:rsidRPr="001A4E4B">
              <w:rPr>
                <w:rFonts w:eastAsia="Times New Roman" w:cs="Times New Roman"/>
              </w:rPr>
              <w:t>NaN</w:t>
            </w:r>
          </w:p>
        </w:tc>
      </w:tr>
      <w:tr w:rsidR="001A4E4B" w:rsidRPr="001A4E4B" w14:paraId="08B811E4"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6C3D3009" w14:textId="77777777" w:rsidR="001A4E4B" w:rsidRPr="001A4E4B" w:rsidRDefault="001A4E4B" w:rsidP="001A4E4B">
            <w:pPr>
              <w:rPr>
                <w:rFonts w:eastAsia="Times New Roman" w:cs="Times New Roman"/>
                <w:b/>
                <w:bCs/>
              </w:rPr>
            </w:pPr>
            <w:r w:rsidRPr="001A4E4B">
              <w:rPr>
                <w:rFonts w:eastAsia="Times New Roman" w:cs="Times New Roman"/>
                <w:b/>
                <w:bCs/>
              </w:rPr>
              <w:t>Dominant blood meal</w:t>
            </w:r>
          </w:p>
        </w:tc>
        <w:tc>
          <w:tcPr>
            <w:tcW w:w="900" w:type="dxa"/>
            <w:tcBorders>
              <w:top w:val="nil"/>
              <w:left w:val="nil"/>
              <w:bottom w:val="nil"/>
              <w:right w:val="nil"/>
            </w:tcBorders>
            <w:shd w:val="clear" w:color="auto" w:fill="auto"/>
            <w:noWrap/>
            <w:vAlign w:val="bottom"/>
            <w:hideMark/>
          </w:tcPr>
          <w:p w14:paraId="0268AE80" w14:textId="77777777" w:rsidR="001A4E4B" w:rsidRPr="001A4E4B" w:rsidRDefault="001A4E4B" w:rsidP="001A4E4B">
            <w:pPr>
              <w:jc w:val="right"/>
              <w:rPr>
                <w:rFonts w:eastAsia="Times New Roman" w:cs="Times New Roman"/>
              </w:rPr>
            </w:pPr>
            <w:r w:rsidRPr="001A4E4B">
              <w:rPr>
                <w:rFonts w:eastAsia="Times New Roman" w:cs="Times New Roman"/>
              </w:rPr>
              <w:t>6</w:t>
            </w:r>
          </w:p>
        </w:tc>
        <w:tc>
          <w:tcPr>
            <w:tcW w:w="1700" w:type="dxa"/>
            <w:tcBorders>
              <w:top w:val="nil"/>
              <w:left w:val="nil"/>
              <w:bottom w:val="nil"/>
              <w:right w:val="nil"/>
            </w:tcBorders>
            <w:shd w:val="clear" w:color="auto" w:fill="auto"/>
            <w:noWrap/>
            <w:vAlign w:val="bottom"/>
            <w:hideMark/>
          </w:tcPr>
          <w:p w14:paraId="04FB2744" w14:textId="77777777" w:rsidR="001A4E4B" w:rsidRPr="001A4E4B" w:rsidRDefault="001A4E4B" w:rsidP="001A4E4B">
            <w:pPr>
              <w:jc w:val="right"/>
              <w:rPr>
                <w:rFonts w:eastAsia="Times New Roman" w:cs="Times New Roman"/>
              </w:rPr>
            </w:pPr>
            <w:r w:rsidRPr="001A4E4B">
              <w:rPr>
                <w:rFonts w:eastAsia="Times New Roman" w:cs="Times New Roman"/>
              </w:rPr>
              <w:t>0.105508</w:t>
            </w:r>
          </w:p>
        </w:tc>
        <w:tc>
          <w:tcPr>
            <w:tcW w:w="1660" w:type="dxa"/>
            <w:tcBorders>
              <w:top w:val="nil"/>
              <w:left w:val="nil"/>
              <w:bottom w:val="nil"/>
              <w:right w:val="nil"/>
            </w:tcBorders>
            <w:shd w:val="clear" w:color="auto" w:fill="auto"/>
            <w:noWrap/>
            <w:vAlign w:val="bottom"/>
            <w:hideMark/>
          </w:tcPr>
          <w:p w14:paraId="321E091D" w14:textId="77777777" w:rsidR="001A4E4B" w:rsidRPr="001A4E4B" w:rsidRDefault="001A4E4B" w:rsidP="001A4E4B">
            <w:pPr>
              <w:jc w:val="right"/>
              <w:rPr>
                <w:rFonts w:eastAsia="Times New Roman" w:cs="Times New Roman"/>
              </w:rPr>
            </w:pPr>
            <w:r w:rsidRPr="001A4E4B">
              <w:rPr>
                <w:rFonts w:eastAsia="Times New Roman" w:cs="Times New Roman"/>
              </w:rPr>
              <w:t>0.017585</w:t>
            </w:r>
          </w:p>
        </w:tc>
        <w:tc>
          <w:tcPr>
            <w:tcW w:w="2120" w:type="dxa"/>
            <w:tcBorders>
              <w:top w:val="nil"/>
              <w:left w:val="nil"/>
              <w:bottom w:val="nil"/>
              <w:right w:val="nil"/>
            </w:tcBorders>
            <w:shd w:val="clear" w:color="auto" w:fill="auto"/>
            <w:noWrap/>
            <w:vAlign w:val="bottom"/>
            <w:hideMark/>
          </w:tcPr>
          <w:p w14:paraId="45506ADA" w14:textId="77777777" w:rsidR="001A4E4B" w:rsidRPr="001A4E4B" w:rsidRDefault="001A4E4B" w:rsidP="001A4E4B">
            <w:pPr>
              <w:jc w:val="right"/>
              <w:rPr>
                <w:rFonts w:eastAsia="Times New Roman" w:cs="Times New Roman"/>
              </w:rPr>
            </w:pPr>
            <w:r w:rsidRPr="001A4E4B">
              <w:rPr>
                <w:rFonts w:eastAsia="Times New Roman" w:cs="Times New Roman"/>
              </w:rPr>
              <w:t>1.181233</w:t>
            </w:r>
          </w:p>
        </w:tc>
        <w:tc>
          <w:tcPr>
            <w:tcW w:w="1420" w:type="dxa"/>
            <w:tcBorders>
              <w:top w:val="nil"/>
              <w:left w:val="nil"/>
              <w:bottom w:val="nil"/>
              <w:right w:val="nil"/>
            </w:tcBorders>
            <w:shd w:val="clear" w:color="auto" w:fill="auto"/>
            <w:noWrap/>
            <w:vAlign w:val="bottom"/>
            <w:hideMark/>
          </w:tcPr>
          <w:p w14:paraId="3920092C" w14:textId="77777777" w:rsidR="001A4E4B" w:rsidRPr="001A4E4B" w:rsidRDefault="001A4E4B" w:rsidP="001A4E4B">
            <w:pPr>
              <w:jc w:val="right"/>
              <w:rPr>
                <w:rFonts w:eastAsia="Times New Roman" w:cs="Times New Roman"/>
              </w:rPr>
            </w:pPr>
            <w:r w:rsidRPr="001A4E4B">
              <w:rPr>
                <w:rFonts w:eastAsia="Times New Roman" w:cs="Times New Roman"/>
              </w:rPr>
              <w:t>0.059164</w:t>
            </w:r>
          </w:p>
        </w:tc>
        <w:tc>
          <w:tcPr>
            <w:tcW w:w="1400" w:type="dxa"/>
            <w:tcBorders>
              <w:top w:val="nil"/>
              <w:left w:val="nil"/>
              <w:bottom w:val="nil"/>
              <w:right w:val="nil"/>
            </w:tcBorders>
            <w:shd w:val="clear" w:color="auto" w:fill="auto"/>
            <w:noWrap/>
            <w:vAlign w:val="bottom"/>
            <w:hideMark/>
          </w:tcPr>
          <w:p w14:paraId="1D0CA238" w14:textId="77777777" w:rsidR="001A4E4B" w:rsidRPr="001A4E4B" w:rsidRDefault="001A4E4B" w:rsidP="001A4E4B">
            <w:pPr>
              <w:jc w:val="right"/>
              <w:rPr>
                <w:rFonts w:eastAsia="Times New Roman" w:cs="Times New Roman"/>
              </w:rPr>
            </w:pPr>
            <w:r w:rsidRPr="001A4E4B">
              <w:rPr>
                <w:rFonts w:eastAsia="Times New Roman" w:cs="Times New Roman"/>
              </w:rPr>
              <w:t>0.273</w:t>
            </w:r>
          </w:p>
        </w:tc>
      </w:tr>
      <w:tr w:rsidR="001A4E4B" w:rsidRPr="001A4E4B" w14:paraId="59153AF7"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18931F9D" w14:textId="77777777" w:rsidR="001A4E4B" w:rsidRPr="001A4E4B" w:rsidRDefault="001A4E4B" w:rsidP="001A4E4B">
            <w:pPr>
              <w:rPr>
                <w:rFonts w:eastAsia="Times New Roman" w:cs="Times New Roman"/>
                <w:b/>
                <w:bCs/>
              </w:rPr>
            </w:pPr>
            <w:r w:rsidRPr="001A4E4B">
              <w:rPr>
                <w:rFonts w:eastAsia="Times New Roman" w:cs="Times New Roman"/>
                <w:b/>
                <w:bCs/>
              </w:rPr>
              <w:t>Blood meal richness</w:t>
            </w:r>
          </w:p>
        </w:tc>
        <w:tc>
          <w:tcPr>
            <w:tcW w:w="900" w:type="dxa"/>
            <w:tcBorders>
              <w:top w:val="nil"/>
              <w:left w:val="nil"/>
              <w:bottom w:val="nil"/>
              <w:right w:val="nil"/>
            </w:tcBorders>
            <w:shd w:val="clear" w:color="auto" w:fill="auto"/>
            <w:noWrap/>
            <w:vAlign w:val="bottom"/>
            <w:hideMark/>
          </w:tcPr>
          <w:p w14:paraId="5F307DF5" w14:textId="77777777" w:rsidR="001A4E4B" w:rsidRPr="001A4E4B" w:rsidRDefault="001A4E4B" w:rsidP="001A4E4B">
            <w:pPr>
              <w:jc w:val="right"/>
              <w:rPr>
                <w:rFonts w:eastAsia="Times New Roman" w:cs="Times New Roman"/>
              </w:rPr>
            </w:pPr>
            <w:r w:rsidRPr="001A4E4B">
              <w:rPr>
                <w:rFonts w:eastAsia="Times New Roman" w:cs="Times New Roman"/>
              </w:rPr>
              <w:t>3</w:t>
            </w:r>
          </w:p>
        </w:tc>
        <w:tc>
          <w:tcPr>
            <w:tcW w:w="1700" w:type="dxa"/>
            <w:tcBorders>
              <w:top w:val="nil"/>
              <w:left w:val="nil"/>
              <w:bottom w:val="nil"/>
              <w:right w:val="nil"/>
            </w:tcBorders>
            <w:shd w:val="clear" w:color="auto" w:fill="auto"/>
            <w:noWrap/>
            <w:vAlign w:val="bottom"/>
            <w:hideMark/>
          </w:tcPr>
          <w:p w14:paraId="625D1B7C" w14:textId="77777777" w:rsidR="001A4E4B" w:rsidRPr="001A4E4B" w:rsidRDefault="001A4E4B" w:rsidP="001A4E4B">
            <w:pPr>
              <w:jc w:val="right"/>
              <w:rPr>
                <w:rFonts w:eastAsia="Times New Roman" w:cs="Times New Roman"/>
              </w:rPr>
            </w:pPr>
            <w:r w:rsidRPr="001A4E4B">
              <w:rPr>
                <w:rFonts w:eastAsia="Times New Roman" w:cs="Times New Roman"/>
              </w:rPr>
              <w:t>0.036562</w:t>
            </w:r>
          </w:p>
        </w:tc>
        <w:tc>
          <w:tcPr>
            <w:tcW w:w="1660" w:type="dxa"/>
            <w:tcBorders>
              <w:top w:val="nil"/>
              <w:left w:val="nil"/>
              <w:bottom w:val="nil"/>
              <w:right w:val="nil"/>
            </w:tcBorders>
            <w:shd w:val="clear" w:color="auto" w:fill="auto"/>
            <w:noWrap/>
            <w:vAlign w:val="bottom"/>
            <w:hideMark/>
          </w:tcPr>
          <w:p w14:paraId="28F44B13" w14:textId="77777777" w:rsidR="001A4E4B" w:rsidRPr="001A4E4B" w:rsidRDefault="001A4E4B" w:rsidP="001A4E4B">
            <w:pPr>
              <w:jc w:val="right"/>
              <w:rPr>
                <w:rFonts w:eastAsia="Times New Roman" w:cs="Times New Roman"/>
              </w:rPr>
            </w:pPr>
            <w:r w:rsidRPr="001A4E4B">
              <w:rPr>
                <w:rFonts w:eastAsia="Times New Roman" w:cs="Times New Roman"/>
              </w:rPr>
              <w:t>0.012187</w:t>
            </w:r>
          </w:p>
        </w:tc>
        <w:tc>
          <w:tcPr>
            <w:tcW w:w="2120" w:type="dxa"/>
            <w:tcBorders>
              <w:top w:val="nil"/>
              <w:left w:val="nil"/>
              <w:bottom w:val="nil"/>
              <w:right w:val="nil"/>
            </w:tcBorders>
            <w:shd w:val="clear" w:color="auto" w:fill="auto"/>
            <w:noWrap/>
            <w:vAlign w:val="bottom"/>
            <w:hideMark/>
          </w:tcPr>
          <w:p w14:paraId="3EF0E860" w14:textId="77777777" w:rsidR="001A4E4B" w:rsidRPr="001A4E4B" w:rsidRDefault="001A4E4B" w:rsidP="001A4E4B">
            <w:pPr>
              <w:jc w:val="right"/>
              <w:rPr>
                <w:rFonts w:eastAsia="Times New Roman" w:cs="Times New Roman"/>
              </w:rPr>
            </w:pPr>
            <w:r w:rsidRPr="001A4E4B">
              <w:rPr>
                <w:rFonts w:eastAsia="Times New Roman" w:cs="Times New Roman"/>
              </w:rPr>
              <w:t>0.818668</w:t>
            </w:r>
          </w:p>
        </w:tc>
        <w:tc>
          <w:tcPr>
            <w:tcW w:w="1420" w:type="dxa"/>
            <w:tcBorders>
              <w:top w:val="nil"/>
              <w:left w:val="nil"/>
              <w:bottom w:val="nil"/>
              <w:right w:val="nil"/>
            </w:tcBorders>
            <w:shd w:val="clear" w:color="auto" w:fill="auto"/>
            <w:noWrap/>
            <w:vAlign w:val="bottom"/>
            <w:hideMark/>
          </w:tcPr>
          <w:p w14:paraId="3B0F87DD" w14:textId="77777777" w:rsidR="001A4E4B" w:rsidRPr="001A4E4B" w:rsidRDefault="001A4E4B" w:rsidP="001A4E4B">
            <w:pPr>
              <w:jc w:val="right"/>
              <w:rPr>
                <w:rFonts w:eastAsia="Times New Roman" w:cs="Times New Roman"/>
              </w:rPr>
            </w:pPr>
            <w:r w:rsidRPr="001A4E4B">
              <w:rPr>
                <w:rFonts w:eastAsia="Times New Roman" w:cs="Times New Roman"/>
              </w:rPr>
              <w:t>0.020502</w:t>
            </w:r>
          </w:p>
        </w:tc>
        <w:tc>
          <w:tcPr>
            <w:tcW w:w="1400" w:type="dxa"/>
            <w:tcBorders>
              <w:top w:val="nil"/>
              <w:left w:val="nil"/>
              <w:bottom w:val="nil"/>
              <w:right w:val="nil"/>
            </w:tcBorders>
            <w:shd w:val="clear" w:color="auto" w:fill="auto"/>
            <w:noWrap/>
            <w:vAlign w:val="bottom"/>
            <w:hideMark/>
          </w:tcPr>
          <w:p w14:paraId="5DDBECB8" w14:textId="77777777" w:rsidR="001A4E4B" w:rsidRPr="001A4E4B" w:rsidRDefault="001A4E4B" w:rsidP="001A4E4B">
            <w:pPr>
              <w:jc w:val="right"/>
              <w:rPr>
                <w:rFonts w:eastAsia="Times New Roman" w:cs="Times New Roman"/>
              </w:rPr>
            </w:pPr>
            <w:r w:rsidRPr="001A4E4B">
              <w:rPr>
                <w:rFonts w:eastAsia="Times New Roman" w:cs="Times New Roman"/>
              </w:rPr>
              <w:t>0.663</w:t>
            </w:r>
          </w:p>
        </w:tc>
      </w:tr>
      <w:tr w:rsidR="001A4E4B" w:rsidRPr="001A4E4B" w14:paraId="6061192C"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1E83F3B1" w14:textId="77777777" w:rsidR="001A4E4B" w:rsidRPr="001A4E4B" w:rsidRDefault="001A4E4B" w:rsidP="001A4E4B">
            <w:pPr>
              <w:rPr>
                <w:rFonts w:eastAsia="Times New Roman" w:cs="Times New Roman"/>
                <w:b/>
                <w:bCs/>
              </w:rPr>
            </w:pPr>
            <w:r w:rsidRPr="001A4E4B">
              <w:rPr>
                <w:rFonts w:eastAsia="Times New Roman" w:cs="Times New Roman"/>
                <w:b/>
                <w:bCs/>
              </w:rPr>
              <w:t>Residuals</w:t>
            </w:r>
          </w:p>
        </w:tc>
        <w:tc>
          <w:tcPr>
            <w:tcW w:w="900" w:type="dxa"/>
            <w:tcBorders>
              <w:top w:val="nil"/>
              <w:left w:val="nil"/>
              <w:bottom w:val="nil"/>
              <w:right w:val="nil"/>
            </w:tcBorders>
            <w:shd w:val="clear" w:color="auto" w:fill="auto"/>
            <w:noWrap/>
            <w:vAlign w:val="bottom"/>
            <w:hideMark/>
          </w:tcPr>
          <w:p w14:paraId="47289E99" w14:textId="77777777" w:rsidR="001A4E4B" w:rsidRPr="001A4E4B" w:rsidRDefault="001A4E4B" w:rsidP="001A4E4B">
            <w:pPr>
              <w:jc w:val="right"/>
              <w:rPr>
                <w:rFonts w:eastAsia="Times New Roman" w:cs="Times New Roman"/>
              </w:rPr>
            </w:pPr>
            <w:r w:rsidRPr="001A4E4B">
              <w:rPr>
                <w:rFonts w:eastAsia="Times New Roman" w:cs="Times New Roman"/>
              </w:rPr>
              <w:t>51</w:t>
            </w:r>
          </w:p>
        </w:tc>
        <w:tc>
          <w:tcPr>
            <w:tcW w:w="1700" w:type="dxa"/>
            <w:tcBorders>
              <w:top w:val="nil"/>
              <w:left w:val="nil"/>
              <w:bottom w:val="nil"/>
              <w:right w:val="nil"/>
            </w:tcBorders>
            <w:shd w:val="clear" w:color="auto" w:fill="auto"/>
            <w:noWrap/>
            <w:vAlign w:val="bottom"/>
            <w:hideMark/>
          </w:tcPr>
          <w:p w14:paraId="7C59307D" w14:textId="77777777" w:rsidR="001A4E4B" w:rsidRPr="001A4E4B" w:rsidRDefault="001A4E4B" w:rsidP="001A4E4B">
            <w:pPr>
              <w:jc w:val="right"/>
              <w:rPr>
                <w:rFonts w:eastAsia="Times New Roman" w:cs="Times New Roman"/>
              </w:rPr>
            </w:pPr>
            <w:r w:rsidRPr="001A4E4B">
              <w:rPr>
                <w:rFonts w:eastAsia="Times New Roman" w:cs="Times New Roman"/>
              </w:rPr>
              <w:t>0.759218</w:t>
            </w:r>
          </w:p>
        </w:tc>
        <w:tc>
          <w:tcPr>
            <w:tcW w:w="1660" w:type="dxa"/>
            <w:tcBorders>
              <w:top w:val="nil"/>
              <w:left w:val="nil"/>
              <w:bottom w:val="nil"/>
              <w:right w:val="nil"/>
            </w:tcBorders>
            <w:shd w:val="clear" w:color="auto" w:fill="auto"/>
            <w:noWrap/>
            <w:vAlign w:val="bottom"/>
            <w:hideMark/>
          </w:tcPr>
          <w:p w14:paraId="04A6349C" w14:textId="77777777" w:rsidR="001A4E4B" w:rsidRPr="001A4E4B" w:rsidRDefault="001A4E4B" w:rsidP="001A4E4B">
            <w:pPr>
              <w:jc w:val="right"/>
              <w:rPr>
                <w:rFonts w:eastAsia="Times New Roman" w:cs="Times New Roman"/>
              </w:rPr>
            </w:pPr>
            <w:r w:rsidRPr="001A4E4B">
              <w:rPr>
                <w:rFonts w:eastAsia="Times New Roman" w:cs="Times New Roman"/>
              </w:rPr>
              <w:t>0.014887</w:t>
            </w:r>
          </w:p>
        </w:tc>
        <w:tc>
          <w:tcPr>
            <w:tcW w:w="2120" w:type="dxa"/>
            <w:tcBorders>
              <w:top w:val="nil"/>
              <w:left w:val="nil"/>
              <w:bottom w:val="nil"/>
              <w:right w:val="nil"/>
            </w:tcBorders>
            <w:shd w:val="clear" w:color="auto" w:fill="auto"/>
            <w:noWrap/>
            <w:vAlign w:val="bottom"/>
            <w:hideMark/>
          </w:tcPr>
          <w:p w14:paraId="773CE843" w14:textId="77777777" w:rsidR="001A4E4B" w:rsidRPr="001A4E4B" w:rsidRDefault="001A4E4B" w:rsidP="001A4E4B">
            <w:pPr>
              <w:jc w:val="right"/>
              <w:rPr>
                <w:rFonts w:eastAsia="Times New Roman" w:cs="Times New Roman"/>
              </w:rPr>
            </w:pPr>
            <w:r w:rsidRPr="001A4E4B">
              <w:rPr>
                <w:rFonts w:eastAsia="Times New Roman" w:cs="Times New Roman"/>
              </w:rPr>
              <w:t>NaN</w:t>
            </w:r>
          </w:p>
        </w:tc>
        <w:tc>
          <w:tcPr>
            <w:tcW w:w="1420" w:type="dxa"/>
            <w:tcBorders>
              <w:top w:val="nil"/>
              <w:left w:val="nil"/>
              <w:bottom w:val="nil"/>
              <w:right w:val="nil"/>
            </w:tcBorders>
            <w:shd w:val="clear" w:color="auto" w:fill="auto"/>
            <w:noWrap/>
            <w:vAlign w:val="bottom"/>
            <w:hideMark/>
          </w:tcPr>
          <w:p w14:paraId="76A736E4" w14:textId="77777777" w:rsidR="001A4E4B" w:rsidRPr="001A4E4B" w:rsidRDefault="001A4E4B" w:rsidP="001A4E4B">
            <w:pPr>
              <w:jc w:val="right"/>
              <w:rPr>
                <w:rFonts w:eastAsia="Times New Roman" w:cs="Times New Roman"/>
              </w:rPr>
            </w:pPr>
            <w:r w:rsidRPr="001A4E4B">
              <w:rPr>
                <w:rFonts w:eastAsia="Times New Roman" w:cs="Times New Roman"/>
              </w:rPr>
              <w:t>0.425734</w:t>
            </w:r>
          </w:p>
        </w:tc>
        <w:tc>
          <w:tcPr>
            <w:tcW w:w="1400" w:type="dxa"/>
            <w:tcBorders>
              <w:top w:val="nil"/>
              <w:left w:val="nil"/>
              <w:bottom w:val="nil"/>
              <w:right w:val="nil"/>
            </w:tcBorders>
            <w:shd w:val="clear" w:color="auto" w:fill="auto"/>
            <w:noWrap/>
            <w:vAlign w:val="bottom"/>
            <w:hideMark/>
          </w:tcPr>
          <w:p w14:paraId="07F1C00B" w14:textId="77777777" w:rsidR="001A4E4B" w:rsidRPr="001A4E4B" w:rsidRDefault="001A4E4B" w:rsidP="001A4E4B">
            <w:pPr>
              <w:jc w:val="right"/>
              <w:rPr>
                <w:rFonts w:eastAsia="Times New Roman" w:cs="Times New Roman"/>
              </w:rPr>
            </w:pPr>
            <w:r w:rsidRPr="001A4E4B">
              <w:rPr>
                <w:rFonts w:eastAsia="Times New Roman" w:cs="Times New Roman"/>
              </w:rPr>
              <w:t>NaN</w:t>
            </w:r>
          </w:p>
        </w:tc>
      </w:tr>
      <w:tr w:rsidR="001A4E4B" w:rsidRPr="001A4E4B" w14:paraId="19374A55" w14:textId="77777777" w:rsidTr="001A4E4B">
        <w:trPr>
          <w:trHeight w:val="380"/>
        </w:trPr>
        <w:tc>
          <w:tcPr>
            <w:tcW w:w="2900" w:type="dxa"/>
            <w:tcBorders>
              <w:top w:val="nil"/>
              <w:left w:val="nil"/>
              <w:bottom w:val="nil"/>
              <w:right w:val="single" w:sz="4" w:space="0" w:color="auto"/>
            </w:tcBorders>
            <w:shd w:val="clear" w:color="auto" w:fill="auto"/>
            <w:noWrap/>
            <w:vAlign w:val="bottom"/>
            <w:hideMark/>
          </w:tcPr>
          <w:p w14:paraId="080F8926" w14:textId="77777777" w:rsidR="001A4E4B" w:rsidRPr="001A4E4B" w:rsidRDefault="001A4E4B" w:rsidP="001A4E4B">
            <w:pPr>
              <w:rPr>
                <w:rFonts w:eastAsia="Times New Roman" w:cs="Times New Roman"/>
                <w:b/>
                <w:bCs/>
              </w:rPr>
            </w:pPr>
            <w:r w:rsidRPr="001A4E4B">
              <w:rPr>
                <w:rFonts w:eastAsia="Times New Roman" w:cs="Times New Roman"/>
                <w:b/>
                <w:bCs/>
              </w:rPr>
              <w:t>Total</w:t>
            </w:r>
          </w:p>
        </w:tc>
        <w:tc>
          <w:tcPr>
            <w:tcW w:w="900" w:type="dxa"/>
            <w:tcBorders>
              <w:top w:val="nil"/>
              <w:left w:val="nil"/>
              <w:bottom w:val="nil"/>
              <w:right w:val="nil"/>
            </w:tcBorders>
            <w:shd w:val="clear" w:color="auto" w:fill="auto"/>
            <w:noWrap/>
            <w:vAlign w:val="bottom"/>
            <w:hideMark/>
          </w:tcPr>
          <w:p w14:paraId="570D3A50" w14:textId="77777777" w:rsidR="001A4E4B" w:rsidRPr="001A4E4B" w:rsidRDefault="001A4E4B" w:rsidP="001A4E4B">
            <w:pPr>
              <w:jc w:val="right"/>
              <w:rPr>
                <w:rFonts w:eastAsia="Times New Roman" w:cs="Times New Roman"/>
              </w:rPr>
            </w:pPr>
            <w:r w:rsidRPr="001A4E4B">
              <w:rPr>
                <w:rFonts w:eastAsia="Times New Roman" w:cs="Times New Roman"/>
              </w:rPr>
              <w:t>74</w:t>
            </w:r>
          </w:p>
        </w:tc>
        <w:tc>
          <w:tcPr>
            <w:tcW w:w="1700" w:type="dxa"/>
            <w:tcBorders>
              <w:top w:val="nil"/>
              <w:left w:val="nil"/>
              <w:bottom w:val="nil"/>
              <w:right w:val="nil"/>
            </w:tcBorders>
            <w:shd w:val="clear" w:color="auto" w:fill="auto"/>
            <w:noWrap/>
            <w:vAlign w:val="bottom"/>
            <w:hideMark/>
          </w:tcPr>
          <w:p w14:paraId="31830227" w14:textId="77777777" w:rsidR="001A4E4B" w:rsidRPr="001A4E4B" w:rsidRDefault="001A4E4B" w:rsidP="001A4E4B">
            <w:pPr>
              <w:jc w:val="right"/>
              <w:rPr>
                <w:rFonts w:eastAsia="Times New Roman" w:cs="Times New Roman"/>
              </w:rPr>
            </w:pPr>
            <w:r w:rsidRPr="001A4E4B">
              <w:rPr>
                <w:rFonts w:eastAsia="Times New Roman" w:cs="Times New Roman"/>
              </w:rPr>
              <w:t>1.783318</w:t>
            </w:r>
          </w:p>
        </w:tc>
        <w:tc>
          <w:tcPr>
            <w:tcW w:w="1660" w:type="dxa"/>
            <w:tcBorders>
              <w:top w:val="nil"/>
              <w:left w:val="nil"/>
              <w:bottom w:val="nil"/>
              <w:right w:val="nil"/>
            </w:tcBorders>
            <w:shd w:val="clear" w:color="auto" w:fill="auto"/>
            <w:noWrap/>
            <w:vAlign w:val="bottom"/>
            <w:hideMark/>
          </w:tcPr>
          <w:p w14:paraId="09F66C03" w14:textId="77777777" w:rsidR="001A4E4B" w:rsidRPr="001A4E4B" w:rsidRDefault="001A4E4B" w:rsidP="001A4E4B">
            <w:pPr>
              <w:jc w:val="right"/>
              <w:rPr>
                <w:rFonts w:eastAsia="Times New Roman" w:cs="Times New Roman"/>
              </w:rPr>
            </w:pPr>
            <w:r w:rsidRPr="001A4E4B">
              <w:rPr>
                <w:rFonts w:eastAsia="Times New Roman" w:cs="Times New Roman"/>
              </w:rPr>
              <w:t>NaN</w:t>
            </w:r>
          </w:p>
        </w:tc>
        <w:tc>
          <w:tcPr>
            <w:tcW w:w="2120" w:type="dxa"/>
            <w:tcBorders>
              <w:top w:val="nil"/>
              <w:left w:val="nil"/>
              <w:bottom w:val="nil"/>
              <w:right w:val="nil"/>
            </w:tcBorders>
            <w:shd w:val="clear" w:color="auto" w:fill="auto"/>
            <w:noWrap/>
            <w:vAlign w:val="bottom"/>
            <w:hideMark/>
          </w:tcPr>
          <w:p w14:paraId="4D9A5A66" w14:textId="77777777" w:rsidR="001A4E4B" w:rsidRPr="001A4E4B" w:rsidRDefault="001A4E4B" w:rsidP="001A4E4B">
            <w:pPr>
              <w:jc w:val="right"/>
              <w:rPr>
                <w:rFonts w:eastAsia="Times New Roman" w:cs="Times New Roman"/>
              </w:rPr>
            </w:pPr>
            <w:r w:rsidRPr="001A4E4B">
              <w:rPr>
                <w:rFonts w:eastAsia="Times New Roman" w:cs="Times New Roman"/>
              </w:rPr>
              <w:t>NaN</w:t>
            </w:r>
          </w:p>
        </w:tc>
        <w:tc>
          <w:tcPr>
            <w:tcW w:w="1420" w:type="dxa"/>
            <w:tcBorders>
              <w:top w:val="nil"/>
              <w:left w:val="nil"/>
              <w:bottom w:val="nil"/>
              <w:right w:val="nil"/>
            </w:tcBorders>
            <w:shd w:val="clear" w:color="auto" w:fill="auto"/>
            <w:noWrap/>
            <w:vAlign w:val="bottom"/>
            <w:hideMark/>
          </w:tcPr>
          <w:p w14:paraId="358AD472" w14:textId="77777777" w:rsidR="001A4E4B" w:rsidRPr="001A4E4B" w:rsidRDefault="001A4E4B" w:rsidP="001A4E4B">
            <w:pPr>
              <w:jc w:val="right"/>
              <w:rPr>
                <w:rFonts w:eastAsia="Times New Roman" w:cs="Times New Roman"/>
              </w:rPr>
            </w:pPr>
            <w:r w:rsidRPr="001A4E4B">
              <w:rPr>
                <w:rFonts w:eastAsia="Times New Roman" w:cs="Times New Roman"/>
              </w:rPr>
              <w:t>1</w:t>
            </w:r>
          </w:p>
        </w:tc>
        <w:tc>
          <w:tcPr>
            <w:tcW w:w="1400" w:type="dxa"/>
            <w:tcBorders>
              <w:top w:val="nil"/>
              <w:left w:val="nil"/>
              <w:bottom w:val="nil"/>
              <w:right w:val="nil"/>
            </w:tcBorders>
            <w:shd w:val="clear" w:color="auto" w:fill="auto"/>
            <w:noWrap/>
            <w:vAlign w:val="bottom"/>
            <w:hideMark/>
          </w:tcPr>
          <w:p w14:paraId="2A04E7A4" w14:textId="77777777" w:rsidR="001A4E4B" w:rsidRPr="001A4E4B" w:rsidRDefault="001A4E4B" w:rsidP="001A4E4B">
            <w:pPr>
              <w:jc w:val="right"/>
              <w:rPr>
                <w:rFonts w:eastAsia="Times New Roman" w:cs="Times New Roman"/>
              </w:rPr>
            </w:pPr>
            <w:r w:rsidRPr="001A4E4B">
              <w:rPr>
                <w:rFonts w:eastAsia="Times New Roman" w:cs="Times New Roman"/>
              </w:rPr>
              <w:t>NaN</w:t>
            </w:r>
          </w:p>
        </w:tc>
      </w:tr>
    </w:tbl>
    <w:p w14:paraId="5D25B7FB" w14:textId="77777777" w:rsidR="00EE20C2" w:rsidRPr="00A53C1D" w:rsidRDefault="00EE20C2" w:rsidP="00E011FC">
      <w:pPr>
        <w:rPr>
          <w:rFonts w:cs="Times New Roman"/>
        </w:rPr>
        <w:sectPr w:rsidR="00EE20C2" w:rsidRPr="00A53C1D" w:rsidSect="00867946">
          <w:pgSz w:w="15840" w:h="12240" w:orient="landscape"/>
          <w:pgMar w:top="1440" w:right="1440" w:bottom="1440" w:left="1440" w:header="720" w:footer="720" w:gutter="0"/>
          <w:cols w:space="720"/>
          <w:docGrid w:linePitch="360"/>
        </w:sectPr>
      </w:pPr>
    </w:p>
    <w:p w14:paraId="6F0CE8EA" w14:textId="2D715031" w:rsidR="00C3036B" w:rsidRPr="00A53C1D" w:rsidRDefault="00C3036B" w:rsidP="00C3036B">
      <w:pPr>
        <w:rPr>
          <w:rFonts w:cs="Times New Roman"/>
          <w:b/>
          <w:bCs/>
        </w:rPr>
      </w:pPr>
      <w:r w:rsidRPr="00A53C1D">
        <w:rPr>
          <w:rFonts w:cs="Times New Roman"/>
          <w:b/>
          <w:bCs/>
        </w:rPr>
        <w:lastRenderedPageBreak/>
        <w:t xml:space="preserve">Table </w:t>
      </w:r>
      <w:r w:rsidR="00FD07E9">
        <w:rPr>
          <w:rFonts w:cs="Times New Roman"/>
          <w:b/>
          <w:bCs/>
        </w:rPr>
        <w:t>3.</w:t>
      </w:r>
      <w:r w:rsidRPr="00A53C1D">
        <w:rPr>
          <w:rFonts w:cs="Times New Roman"/>
          <w:b/>
          <w:bCs/>
        </w:rPr>
        <w:t>12 Pairwise Wilcoxon rank-sum test comparisons of four different alpha diversity metrics across samples from Capira</w:t>
      </w:r>
    </w:p>
    <w:p w14:paraId="3FF5F6B9" w14:textId="0D885C01" w:rsidR="001A4E4B" w:rsidRPr="00A53C1D" w:rsidRDefault="00C3036B" w:rsidP="00C3036B">
      <w:pPr>
        <w:rPr>
          <w:rFonts w:cs="Times New Roman"/>
        </w:rPr>
      </w:pPr>
      <w:r w:rsidRPr="00A53C1D">
        <w:rPr>
          <w:rFonts w:cs="Times New Roman"/>
        </w:rPr>
        <w:t>Results highlighted in boldface indicate p-values of less than 0.05. All p-values were corrected with Benjamini-Hochberg adjustments</w:t>
      </w:r>
      <w:r w:rsidR="00673E90">
        <w:rPr>
          <w:rFonts w:cs="Times New Roman"/>
        </w:rPr>
        <w:t>.</w:t>
      </w:r>
    </w:p>
    <w:p w14:paraId="53701830" w14:textId="77777777" w:rsidR="00C3036B" w:rsidRPr="00A53C1D" w:rsidRDefault="00C3036B" w:rsidP="00C3036B">
      <w:pPr>
        <w:rPr>
          <w:rFonts w:cs="Times New Roman"/>
        </w:rPr>
      </w:pPr>
    </w:p>
    <w:p w14:paraId="17F2EA03" w14:textId="77777777" w:rsidR="00C3036B" w:rsidRPr="00A53C1D" w:rsidRDefault="00C3036B" w:rsidP="00C3036B">
      <w:pPr>
        <w:rPr>
          <w:rFonts w:cs="Times New Roman"/>
        </w:rPr>
      </w:pPr>
    </w:p>
    <w:tbl>
      <w:tblPr>
        <w:tblW w:w="4820" w:type="dxa"/>
        <w:tblLook w:val="04A0" w:firstRow="1" w:lastRow="0" w:firstColumn="1" w:lastColumn="0" w:noHBand="0" w:noVBand="1"/>
      </w:tblPr>
      <w:tblGrid>
        <w:gridCol w:w="2340"/>
        <w:gridCol w:w="2480"/>
      </w:tblGrid>
      <w:tr w:rsidR="00C3036B" w:rsidRPr="00C3036B" w14:paraId="0C7DEED8" w14:textId="77777777" w:rsidTr="00C3036B">
        <w:trPr>
          <w:trHeight w:val="380"/>
        </w:trPr>
        <w:tc>
          <w:tcPr>
            <w:tcW w:w="234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7B594557" w14:textId="77777777" w:rsidR="00C3036B" w:rsidRPr="00C3036B" w:rsidRDefault="00C3036B" w:rsidP="00C3036B">
            <w:pPr>
              <w:rPr>
                <w:rFonts w:eastAsia="Times New Roman" w:cs="Times New Roman"/>
              </w:rPr>
            </w:pPr>
            <w:r w:rsidRPr="00C3036B">
              <w:rPr>
                <w:rFonts w:eastAsia="Times New Roman" w:cs="Times New Roman"/>
              </w:rPr>
              <w:t>Capira Samples</w:t>
            </w:r>
          </w:p>
        </w:tc>
        <w:tc>
          <w:tcPr>
            <w:tcW w:w="2480" w:type="dxa"/>
            <w:tcBorders>
              <w:top w:val="single" w:sz="4" w:space="0" w:color="auto"/>
              <w:left w:val="nil"/>
              <w:bottom w:val="single" w:sz="4" w:space="0" w:color="auto"/>
              <w:right w:val="single" w:sz="4" w:space="0" w:color="auto"/>
            </w:tcBorders>
            <w:shd w:val="clear" w:color="000000" w:fill="E7E6E6"/>
            <w:noWrap/>
            <w:vAlign w:val="bottom"/>
            <w:hideMark/>
          </w:tcPr>
          <w:p w14:paraId="2AC61770" w14:textId="77777777" w:rsidR="00C3036B" w:rsidRPr="00C3036B" w:rsidRDefault="00C3036B" w:rsidP="00C3036B">
            <w:pPr>
              <w:rPr>
                <w:rFonts w:eastAsia="Times New Roman" w:cs="Times New Roman"/>
              </w:rPr>
            </w:pPr>
            <w:r w:rsidRPr="00C3036B">
              <w:rPr>
                <w:rFonts w:eastAsia="Times New Roman" w:cs="Times New Roman"/>
              </w:rPr>
              <w:t>Pasture:Peridomestic</w:t>
            </w:r>
          </w:p>
        </w:tc>
      </w:tr>
      <w:tr w:rsidR="00C3036B" w:rsidRPr="00C3036B" w14:paraId="468C3F7F" w14:textId="77777777" w:rsidTr="00C3036B">
        <w:trPr>
          <w:trHeight w:val="380"/>
        </w:trPr>
        <w:tc>
          <w:tcPr>
            <w:tcW w:w="2340" w:type="dxa"/>
            <w:tcBorders>
              <w:top w:val="nil"/>
              <w:left w:val="single" w:sz="4" w:space="0" w:color="auto"/>
              <w:bottom w:val="single" w:sz="4" w:space="0" w:color="auto"/>
              <w:right w:val="single" w:sz="4" w:space="0" w:color="auto"/>
            </w:tcBorders>
            <w:shd w:val="clear" w:color="000000" w:fill="E7E6E6"/>
            <w:noWrap/>
            <w:vAlign w:val="bottom"/>
            <w:hideMark/>
          </w:tcPr>
          <w:p w14:paraId="56408F10" w14:textId="77777777" w:rsidR="00C3036B" w:rsidRPr="00C3036B" w:rsidRDefault="00C3036B" w:rsidP="00C3036B">
            <w:pPr>
              <w:rPr>
                <w:rFonts w:eastAsia="Times New Roman" w:cs="Times New Roman"/>
              </w:rPr>
            </w:pPr>
            <w:r w:rsidRPr="00C3036B">
              <w:rPr>
                <w:rFonts w:eastAsia="Times New Roman" w:cs="Times New Roman"/>
              </w:rPr>
              <w:t>Richness</w:t>
            </w:r>
          </w:p>
        </w:tc>
        <w:tc>
          <w:tcPr>
            <w:tcW w:w="2480" w:type="dxa"/>
            <w:tcBorders>
              <w:top w:val="nil"/>
              <w:left w:val="nil"/>
              <w:bottom w:val="single" w:sz="4" w:space="0" w:color="auto"/>
              <w:right w:val="single" w:sz="4" w:space="0" w:color="auto"/>
            </w:tcBorders>
            <w:shd w:val="clear" w:color="auto" w:fill="auto"/>
            <w:noWrap/>
            <w:vAlign w:val="bottom"/>
            <w:hideMark/>
          </w:tcPr>
          <w:p w14:paraId="05BD344E" w14:textId="77777777" w:rsidR="00C3036B" w:rsidRPr="00C3036B" w:rsidRDefault="00C3036B" w:rsidP="00C3036B">
            <w:pPr>
              <w:jc w:val="right"/>
              <w:rPr>
                <w:rFonts w:eastAsia="Times New Roman" w:cs="Times New Roman"/>
                <w:b/>
                <w:bCs/>
              </w:rPr>
            </w:pPr>
            <w:r w:rsidRPr="00C3036B">
              <w:rPr>
                <w:rFonts w:eastAsia="Times New Roman" w:cs="Times New Roman"/>
                <w:b/>
                <w:bCs/>
              </w:rPr>
              <w:t>0.0074</w:t>
            </w:r>
          </w:p>
        </w:tc>
      </w:tr>
      <w:tr w:rsidR="00C3036B" w:rsidRPr="00C3036B" w14:paraId="515E5C28" w14:textId="77777777" w:rsidTr="00C3036B">
        <w:trPr>
          <w:trHeight w:val="380"/>
        </w:trPr>
        <w:tc>
          <w:tcPr>
            <w:tcW w:w="2340" w:type="dxa"/>
            <w:tcBorders>
              <w:top w:val="nil"/>
              <w:left w:val="single" w:sz="4" w:space="0" w:color="auto"/>
              <w:bottom w:val="single" w:sz="4" w:space="0" w:color="auto"/>
              <w:right w:val="single" w:sz="4" w:space="0" w:color="auto"/>
            </w:tcBorders>
            <w:shd w:val="clear" w:color="000000" w:fill="E7E6E6"/>
            <w:noWrap/>
            <w:vAlign w:val="bottom"/>
            <w:hideMark/>
          </w:tcPr>
          <w:p w14:paraId="0D6CB698" w14:textId="77777777" w:rsidR="00C3036B" w:rsidRPr="00C3036B" w:rsidRDefault="00C3036B" w:rsidP="00C3036B">
            <w:pPr>
              <w:rPr>
                <w:rFonts w:eastAsia="Times New Roman" w:cs="Times New Roman"/>
              </w:rPr>
            </w:pPr>
            <w:r w:rsidRPr="00C3036B">
              <w:rPr>
                <w:rFonts w:eastAsia="Times New Roman" w:cs="Times New Roman"/>
              </w:rPr>
              <w:t>Shannon Diversity</w:t>
            </w:r>
          </w:p>
        </w:tc>
        <w:tc>
          <w:tcPr>
            <w:tcW w:w="2480" w:type="dxa"/>
            <w:tcBorders>
              <w:top w:val="nil"/>
              <w:left w:val="nil"/>
              <w:bottom w:val="single" w:sz="4" w:space="0" w:color="auto"/>
              <w:right w:val="single" w:sz="4" w:space="0" w:color="auto"/>
            </w:tcBorders>
            <w:shd w:val="clear" w:color="auto" w:fill="auto"/>
            <w:noWrap/>
            <w:vAlign w:val="bottom"/>
            <w:hideMark/>
          </w:tcPr>
          <w:p w14:paraId="1EA59553" w14:textId="77777777" w:rsidR="00C3036B" w:rsidRPr="00C3036B" w:rsidRDefault="00C3036B" w:rsidP="00C3036B">
            <w:pPr>
              <w:jc w:val="right"/>
              <w:rPr>
                <w:rFonts w:eastAsia="Times New Roman" w:cs="Times New Roman"/>
              </w:rPr>
            </w:pPr>
            <w:r w:rsidRPr="00C3036B">
              <w:rPr>
                <w:rFonts w:eastAsia="Times New Roman" w:cs="Times New Roman"/>
              </w:rPr>
              <w:t>0.088</w:t>
            </w:r>
          </w:p>
        </w:tc>
      </w:tr>
      <w:tr w:rsidR="00C3036B" w:rsidRPr="00C3036B" w14:paraId="3AEFBA6A" w14:textId="77777777" w:rsidTr="00C3036B">
        <w:trPr>
          <w:trHeight w:val="380"/>
        </w:trPr>
        <w:tc>
          <w:tcPr>
            <w:tcW w:w="2340" w:type="dxa"/>
            <w:tcBorders>
              <w:top w:val="nil"/>
              <w:left w:val="single" w:sz="4" w:space="0" w:color="auto"/>
              <w:bottom w:val="single" w:sz="4" w:space="0" w:color="auto"/>
              <w:right w:val="single" w:sz="4" w:space="0" w:color="auto"/>
            </w:tcBorders>
            <w:shd w:val="clear" w:color="000000" w:fill="E7E6E6"/>
            <w:noWrap/>
            <w:vAlign w:val="bottom"/>
            <w:hideMark/>
          </w:tcPr>
          <w:p w14:paraId="2C023D8E" w14:textId="77777777" w:rsidR="00C3036B" w:rsidRPr="00C3036B" w:rsidRDefault="00C3036B" w:rsidP="00C3036B">
            <w:pPr>
              <w:rPr>
                <w:rFonts w:eastAsia="Times New Roman" w:cs="Times New Roman"/>
              </w:rPr>
            </w:pPr>
            <w:r w:rsidRPr="00C3036B">
              <w:rPr>
                <w:rFonts w:eastAsia="Times New Roman" w:cs="Times New Roman"/>
              </w:rPr>
              <w:t>Faith's PD</w:t>
            </w:r>
          </w:p>
        </w:tc>
        <w:tc>
          <w:tcPr>
            <w:tcW w:w="2480" w:type="dxa"/>
            <w:tcBorders>
              <w:top w:val="nil"/>
              <w:left w:val="nil"/>
              <w:bottom w:val="single" w:sz="4" w:space="0" w:color="auto"/>
              <w:right w:val="single" w:sz="4" w:space="0" w:color="auto"/>
            </w:tcBorders>
            <w:shd w:val="clear" w:color="auto" w:fill="auto"/>
            <w:noWrap/>
            <w:vAlign w:val="bottom"/>
            <w:hideMark/>
          </w:tcPr>
          <w:p w14:paraId="6D002DF3" w14:textId="77777777" w:rsidR="00C3036B" w:rsidRPr="00C3036B" w:rsidRDefault="00C3036B" w:rsidP="00C3036B">
            <w:pPr>
              <w:jc w:val="right"/>
              <w:rPr>
                <w:rFonts w:eastAsia="Times New Roman" w:cs="Times New Roman"/>
              </w:rPr>
            </w:pPr>
            <w:r w:rsidRPr="00C3036B">
              <w:rPr>
                <w:rFonts w:eastAsia="Times New Roman" w:cs="Times New Roman"/>
              </w:rPr>
              <w:t>0.14</w:t>
            </w:r>
          </w:p>
        </w:tc>
      </w:tr>
      <w:tr w:rsidR="00C3036B" w:rsidRPr="00C3036B" w14:paraId="7D70103F" w14:textId="77777777" w:rsidTr="00C3036B">
        <w:trPr>
          <w:trHeight w:val="380"/>
        </w:trPr>
        <w:tc>
          <w:tcPr>
            <w:tcW w:w="2340" w:type="dxa"/>
            <w:tcBorders>
              <w:top w:val="nil"/>
              <w:left w:val="single" w:sz="4" w:space="0" w:color="auto"/>
              <w:bottom w:val="single" w:sz="4" w:space="0" w:color="auto"/>
              <w:right w:val="single" w:sz="4" w:space="0" w:color="auto"/>
            </w:tcBorders>
            <w:shd w:val="clear" w:color="000000" w:fill="E7E6E6"/>
            <w:noWrap/>
            <w:vAlign w:val="bottom"/>
            <w:hideMark/>
          </w:tcPr>
          <w:p w14:paraId="19CF4728" w14:textId="77777777" w:rsidR="00C3036B" w:rsidRPr="00C3036B" w:rsidRDefault="00C3036B" w:rsidP="00C3036B">
            <w:pPr>
              <w:rPr>
                <w:rFonts w:eastAsia="Times New Roman" w:cs="Times New Roman"/>
              </w:rPr>
            </w:pPr>
            <w:r w:rsidRPr="00C3036B">
              <w:rPr>
                <w:rFonts w:eastAsia="Times New Roman" w:cs="Times New Roman"/>
              </w:rPr>
              <w:t>Pielou's Evenness</w:t>
            </w:r>
          </w:p>
        </w:tc>
        <w:tc>
          <w:tcPr>
            <w:tcW w:w="2480" w:type="dxa"/>
            <w:tcBorders>
              <w:top w:val="nil"/>
              <w:left w:val="nil"/>
              <w:bottom w:val="single" w:sz="4" w:space="0" w:color="auto"/>
              <w:right w:val="single" w:sz="4" w:space="0" w:color="auto"/>
            </w:tcBorders>
            <w:shd w:val="clear" w:color="auto" w:fill="auto"/>
            <w:noWrap/>
            <w:vAlign w:val="bottom"/>
            <w:hideMark/>
          </w:tcPr>
          <w:p w14:paraId="3FE98A6B" w14:textId="77777777" w:rsidR="00C3036B" w:rsidRPr="00C3036B" w:rsidRDefault="00C3036B" w:rsidP="00C3036B">
            <w:pPr>
              <w:jc w:val="right"/>
              <w:rPr>
                <w:rFonts w:eastAsia="Times New Roman" w:cs="Times New Roman"/>
              </w:rPr>
            </w:pPr>
            <w:r w:rsidRPr="00C3036B">
              <w:rPr>
                <w:rFonts w:eastAsia="Times New Roman" w:cs="Times New Roman"/>
              </w:rPr>
              <w:t>0.16</w:t>
            </w:r>
          </w:p>
        </w:tc>
      </w:tr>
    </w:tbl>
    <w:p w14:paraId="1CBB77D8" w14:textId="77777777" w:rsidR="00C3036B" w:rsidRPr="00A53C1D" w:rsidRDefault="00C3036B" w:rsidP="00C3036B">
      <w:pPr>
        <w:rPr>
          <w:rFonts w:cs="Times New Roman"/>
        </w:rPr>
      </w:pPr>
    </w:p>
    <w:p w14:paraId="554B4A47" w14:textId="77777777" w:rsidR="00C3036B" w:rsidRPr="00A53C1D" w:rsidRDefault="00C3036B" w:rsidP="00C3036B">
      <w:pPr>
        <w:rPr>
          <w:rFonts w:cs="Times New Roman"/>
        </w:rPr>
      </w:pPr>
    </w:p>
    <w:p w14:paraId="76387D57" w14:textId="77777777" w:rsidR="00FD07E9" w:rsidRDefault="00FD07E9" w:rsidP="005D0399">
      <w:pPr>
        <w:rPr>
          <w:rFonts w:cs="Times New Roman"/>
          <w:b/>
          <w:bCs/>
        </w:rPr>
      </w:pPr>
    </w:p>
    <w:p w14:paraId="58B4244C" w14:textId="6F02182A" w:rsidR="005D0399" w:rsidRPr="00A53C1D" w:rsidRDefault="005D0399" w:rsidP="005D0399">
      <w:pPr>
        <w:rPr>
          <w:rFonts w:cs="Times New Roman"/>
        </w:rPr>
      </w:pPr>
      <w:r w:rsidRPr="00A53C1D">
        <w:rPr>
          <w:rFonts w:cs="Times New Roman"/>
          <w:b/>
          <w:bCs/>
        </w:rPr>
        <w:t xml:space="preserve">Table </w:t>
      </w:r>
      <w:r w:rsidR="00FD07E9">
        <w:rPr>
          <w:rFonts w:cs="Times New Roman"/>
          <w:b/>
          <w:bCs/>
        </w:rPr>
        <w:t>3.</w:t>
      </w:r>
      <w:r w:rsidRPr="00A53C1D">
        <w:rPr>
          <w:rFonts w:cs="Times New Roman"/>
          <w:b/>
          <w:bCs/>
        </w:rPr>
        <w:t>13 Pairwise Wilcoxon rank-sum test comparisons of four different alpha diversity metrics across samples from La Chorrera</w:t>
      </w:r>
    </w:p>
    <w:p w14:paraId="5206EDED" w14:textId="6BB80443" w:rsidR="00C3036B" w:rsidRPr="00A53C1D" w:rsidRDefault="005D0399" w:rsidP="005D0399">
      <w:pPr>
        <w:rPr>
          <w:rFonts w:cs="Times New Roman"/>
        </w:rPr>
      </w:pPr>
      <w:r w:rsidRPr="00A53C1D">
        <w:rPr>
          <w:rFonts w:cs="Times New Roman"/>
        </w:rPr>
        <w:t>Results highlighted in boldface indicate p-values of less than 0.05. All p-values were corrected with Benjamini-Hochberg adjustments</w:t>
      </w:r>
      <w:r w:rsidR="00673E90">
        <w:rPr>
          <w:rFonts w:cs="Times New Roman"/>
        </w:rPr>
        <w:t>.</w:t>
      </w:r>
    </w:p>
    <w:p w14:paraId="7ED4EF9B" w14:textId="77777777" w:rsidR="005D0399" w:rsidRPr="00A53C1D" w:rsidRDefault="005D0399" w:rsidP="005D0399">
      <w:pPr>
        <w:rPr>
          <w:rFonts w:cs="Times New Roman"/>
        </w:rPr>
      </w:pPr>
    </w:p>
    <w:p w14:paraId="72968B9D" w14:textId="77777777" w:rsidR="005D0399" w:rsidRPr="00A53C1D" w:rsidRDefault="005D0399" w:rsidP="005D0399">
      <w:pPr>
        <w:rPr>
          <w:rFonts w:cs="Times New Roman"/>
        </w:rPr>
      </w:pPr>
    </w:p>
    <w:tbl>
      <w:tblPr>
        <w:tblW w:w="5120" w:type="dxa"/>
        <w:tblLook w:val="04A0" w:firstRow="1" w:lastRow="0" w:firstColumn="1" w:lastColumn="0" w:noHBand="0" w:noVBand="1"/>
      </w:tblPr>
      <w:tblGrid>
        <w:gridCol w:w="2560"/>
        <w:gridCol w:w="2560"/>
      </w:tblGrid>
      <w:tr w:rsidR="005D0399" w:rsidRPr="005D0399" w14:paraId="18D2764F" w14:textId="77777777" w:rsidTr="005D0399">
        <w:trPr>
          <w:trHeight w:val="380"/>
        </w:trPr>
        <w:tc>
          <w:tcPr>
            <w:tcW w:w="25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1FEEA0B9" w14:textId="77777777" w:rsidR="005D0399" w:rsidRPr="005D0399" w:rsidRDefault="005D0399" w:rsidP="005D0399">
            <w:pPr>
              <w:rPr>
                <w:rFonts w:eastAsia="Times New Roman" w:cs="Times New Roman"/>
                <w:color w:val="000000"/>
              </w:rPr>
            </w:pPr>
            <w:r w:rsidRPr="005D0399">
              <w:rPr>
                <w:rFonts w:eastAsia="Times New Roman" w:cs="Times New Roman"/>
                <w:color w:val="000000"/>
              </w:rPr>
              <w:t>La Chorrera Samples</w:t>
            </w:r>
          </w:p>
        </w:tc>
        <w:tc>
          <w:tcPr>
            <w:tcW w:w="2560" w:type="dxa"/>
            <w:tcBorders>
              <w:top w:val="single" w:sz="4" w:space="0" w:color="auto"/>
              <w:left w:val="nil"/>
              <w:bottom w:val="single" w:sz="4" w:space="0" w:color="auto"/>
              <w:right w:val="single" w:sz="4" w:space="0" w:color="auto"/>
            </w:tcBorders>
            <w:shd w:val="clear" w:color="000000" w:fill="E7E6E6"/>
            <w:noWrap/>
            <w:vAlign w:val="bottom"/>
            <w:hideMark/>
          </w:tcPr>
          <w:p w14:paraId="20989680" w14:textId="77777777" w:rsidR="005D0399" w:rsidRPr="005D0399" w:rsidRDefault="005D0399" w:rsidP="005D0399">
            <w:pPr>
              <w:rPr>
                <w:rFonts w:eastAsia="Times New Roman" w:cs="Times New Roman"/>
                <w:color w:val="000000"/>
              </w:rPr>
            </w:pPr>
            <w:r w:rsidRPr="005D0399">
              <w:rPr>
                <w:rFonts w:eastAsia="Times New Roman" w:cs="Times New Roman"/>
                <w:color w:val="000000"/>
              </w:rPr>
              <w:t>Pasture:Peridomestic</w:t>
            </w:r>
          </w:p>
        </w:tc>
      </w:tr>
      <w:tr w:rsidR="005D0399" w:rsidRPr="005D0399" w14:paraId="5727C7E8" w14:textId="77777777" w:rsidTr="005D0399">
        <w:trPr>
          <w:trHeight w:val="380"/>
        </w:trPr>
        <w:tc>
          <w:tcPr>
            <w:tcW w:w="2560" w:type="dxa"/>
            <w:tcBorders>
              <w:top w:val="nil"/>
              <w:left w:val="single" w:sz="4" w:space="0" w:color="auto"/>
              <w:bottom w:val="single" w:sz="4" w:space="0" w:color="auto"/>
              <w:right w:val="single" w:sz="4" w:space="0" w:color="auto"/>
            </w:tcBorders>
            <w:shd w:val="clear" w:color="000000" w:fill="E7E6E6"/>
            <w:noWrap/>
            <w:vAlign w:val="bottom"/>
            <w:hideMark/>
          </w:tcPr>
          <w:p w14:paraId="5D1164F4" w14:textId="77777777" w:rsidR="005D0399" w:rsidRPr="005D0399" w:rsidRDefault="005D0399" w:rsidP="005D0399">
            <w:pPr>
              <w:rPr>
                <w:rFonts w:eastAsia="Times New Roman" w:cs="Times New Roman"/>
                <w:color w:val="000000"/>
              </w:rPr>
            </w:pPr>
            <w:r w:rsidRPr="005D0399">
              <w:rPr>
                <w:rFonts w:eastAsia="Times New Roman" w:cs="Times New Roman"/>
                <w:color w:val="000000"/>
              </w:rPr>
              <w:t>Richness</w:t>
            </w:r>
          </w:p>
        </w:tc>
        <w:tc>
          <w:tcPr>
            <w:tcW w:w="2560" w:type="dxa"/>
            <w:tcBorders>
              <w:top w:val="nil"/>
              <w:left w:val="nil"/>
              <w:bottom w:val="single" w:sz="4" w:space="0" w:color="auto"/>
              <w:right w:val="single" w:sz="4" w:space="0" w:color="auto"/>
            </w:tcBorders>
            <w:shd w:val="clear" w:color="auto" w:fill="auto"/>
            <w:noWrap/>
            <w:vAlign w:val="bottom"/>
            <w:hideMark/>
          </w:tcPr>
          <w:p w14:paraId="7F5ABD94" w14:textId="77777777" w:rsidR="005D0399" w:rsidRPr="005D0399" w:rsidRDefault="005D0399" w:rsidP="005D0399">
            <w:pPr>
              <w:jc w:val="right"/>
              <w:rPr>
                <w:rFonts w:eastAsia="Times New Roman" w:cs="Times New Roman"/>
                <w:color w:val="000000"/>
              </w:rPr>
            </w:pPr>
            <w:r w:rsidRPr="005D0399">
              <w:rPr>
                <w:rFonts w:eastAsia="Times New Roman" w:cs="Times New Roman"/>
                <w:color w:val="000000"/>
              </w:rPr>
              <w:t>0.98</w:t>
            </w:r>
          </w:p>
        </w:tc>
      </w:tr>
      <w:tr w:rsidR="005D0399" w:rsidRPr="005D0399" w14:paraId="3DF00978" w14:textId="77777777" w:rsidTr="005D0399">
        <w:trPr>
          <w:trHeight w:val="380"/>
        </w:trPr>
        <w:tc>
          <w:tcPr>
            <w:tcW w:w="2560" w:type="dxa"/>
            <w:tcBorders>
              <w:top w:val="nil"/>
              <w:left w:val="single" w:sz="4" w:space="0" w:color="auto"/>
              <w:bottom w:val="single" w:sz="4" w:space="0" w:color="auto"/>
              <w:right w:val="single" w:sz="4" w:space="0" w:color="auto"/>
            </w:tcBorders>
            <w:shd w:val="clear" w:color="000000" w:fill="E7E6E6"/>
            <w:noWrap/>
            <w:vAlign w:val="bottom"/>
            <w:hideMark/>
          </w:tcPr>
          <w:p w14:paraId="2C2CF3E9" w14:textId="77777777" w:rsidR="005D0399" w:rsidRPr="005D0399" w:rsidRDefault="005D0399" w:rsidP="005D0399">
            <w:pPr>
              <w:rPr>
                <w:rFonts w:eastAsia="Times New Roman" w:cs="Times New Roman"/>
                <w:color w:val="000000"/>
              </w:rPr>
            </w:pPr>
            <w:r w:rsidRPr="005D0399">
              <w:rPr>
                <w:rFonts w:eastAsia="Times New Roman" w:cs="Times New Roman"/>
                <w:color w:val="000000"/>
              </w:rPr>
              <w:t>Shannon</w:t>
            </w:r>
          </w:p>
        </w:tc>
        <w:tc>
          <w:tcPr>
            <w:tcW w:w="2560" w:type="dxa"/>
            <w:tcBorders>
              <w:top w:val="nil"/>
              <w:left w:val="nil"/>
              <w:bottom w:val="single" w:sz="4" w:space="0" w:color="auto"/>
              <w:right w:val="single" w:sz="4" w:space="0" w:color="auto"/>
            </w:tcBorders>
            <w:shd w:val="clear" w:color="auto" w:fill="auto"/>
            <w:noWrap/>
            <w:vAlign w:val="bottom"/>
            <w:hideMark/>
          </w:tcPr>
          <w:p w14:paraId="5396094F" w14:textId="77777777" w:rsidR="005D0399" w:rsidRPr="005D0399" w:rsidRDefault="005D0399" w:rsidP="005D0399">
            <w:pPr>
              <w:jc w:val="right"/>
              <w:rPr>
                <w:rFonts w:eastAsia="Times New Roman" w:cs="Times New Roman"/>
                <w:color w:val="000000"/>
              </w:rPr>
            </w:pPr>
            <w:r w:rsidRPr="005D0399">
              <w:rPr>
                <w:rFonts w:eastAsia="Times New Roman" w:cs="Times New Roman"/>
                <w:color w:val="000000"/>
              </w:rPr>
              <w:t>0.36</w:t>
            </w:r>
          </w:p>
        </w:tc>
      </w:tr>
      <w:tr w:rsidR="005D0399" w:rsidRPr="005D0399" w14:paraId="49BA2D3B" w14:textId="77777777" w:rsidTr="005D0399">
        <w:trPr>
          <w:trHeight w:val="380"/>
        </w:trPr>
        <w:tc>
          <w:tcPr>
            <w:tcW w:w="2560" w:type="dxa"/>
            <w:tcBorders>
              <w:top w:val="nil"/>
              <w:left w:val="single" w:sz="4" w:space="0" w:color="auto"/>
              <w:bottom w:val="single" w:sz="4" w:space="0" w:color="auto"/>
              <w:right w:val="single" w:sz="4" w:space="0" w:color="auto"/>
            </w:tcBorders>
            <w:shd w:val="clear" w:color="000000" w:fill="E7E6E6"/>
            <w:noWrap/>
            <w:vAlign w:val="bottom"/>
            <w:hideMark/>
          </w:tcPr>
          <w:p w14:paraId="3CA81E68" w14:textId="77777777" w:rsidR="005D0399" w:rsidRPr="005D0399" w:rsidRDefault="005D0399" w:rsidP="005D0399">
            <w:pPr>
              <w:rPr>
                <w:rFonts w:eastAsia="Times New Roman" w:cs="Times New Roman"/>
                <w:color w:val="000000"/>
              </w:rPr>
            </w:pPr>
            <w:r w:rsidRPr="005D0399">
              <w:rPr>
                <w:rFonts w:eastAsia="Times New Roman" w:cs="Times New Roman"/>
                <w:color w:val="000000"/>
              </w:rPr>
              <w:t>Faith's PD</w:t>
            </w:r>
          </w:p>
        </w:tc>
        <w:tc>
          <w:tcPr>
            <w:tcW w:w="2560" w:type="dxa"/>
            <w:tcBorders>
              <w:top w:val="nil"/>
              <w:left w:val="nil"/>
              <w:bottom w:val="single" w:sz="4" w:space="0" w:color="auto"/>
              <w:right w:val="single" w:sz="4" w:space="0" w:color="auto"/>
            </w:tcBorders>
            <w:shd w:val="clear" w:color="auto" w:fill="auto"/>
            <w:noWrap/>
            <w:vAlign w:val="bottom"/>
            <w:hideMark/>
          </w:tcPr>
          <w:p w14:paraId="18A33F25" w14:textId="77777777" w:rsidR="005D0399" w:rsidRPr="005D0399" w:rsidRDefault="005D0399" w:rsidP="005D0399">
            <w:pPr>
              <w:jc w:val="right"/>
              <w:rPr>
                <w:rFonts w:eastAsia="Times New Roman" w:cs="Times New Roman"/>
                <w:color w:val="000000"/>
              </w:rPr>
            </w:pPr>
            <w:r w:rsidRPr="005D0399">
              <w:rPr>
                <w:rFonts w:eastAsia="Times New Roman" w:cs="Times New Roman"/>
                <w:color w:val="000000"/>
              </w:rPr>
              <w:t>0.44</w:t>
            </w:r>
          </w:p>
        </w:tc>
      </w:tr>
      <w:tr w:rsidR="005D0399" w:rsidRPr="005D0399" w14:paraId="1C03CBCF" w14:textId="77777777" w:rsidTr="005D0399">
        <w:trPr>
          <w:trHeight w:val="380"/>
        </w:trPr>
        <w:tc>
          <w:tcPr>
            <w:tcW w:w="2560" w:type="dxa"/>
            <w:tcBorders>
              <w:top w:val="nil"/>
              <w:left w:val="single" w:sz="4" w:space="0" w:color="auto"/>
              <w:bottom w:val="single" w:sz="4" w:space="0" w:color="auto"/>
              <w:right w:val="single" w:sz="4" w:space="0" w:color="auto"/>
            </w:tcBorders>
            <w:shd w:val="clear" w:color="000000" w:fill="E7E6E6"/>
            <w:noWrap/>
            <w:vAlign w:val="bottom"/>
            <w:hideMark/>
          </w:tcPr>
          <w:p w14:paraId="06661285" w14:textId="77777777" w:rsidR="005D0399" w:rsidRPr="005D0399" w:rsidRDefault="005D0399" w:rsidP="005D0399">
            <w:pPr>
              <w:rPr>
                <w:rFonts w:eastAsia="Times New Roman" w:cs="Times New Roman"/>
                <w:color w:val="000000"/>
              </w:rPr>
            </w:pPr>
            <w:r w:rsidRPr="005D0399">
              <w:rPr>
                <w:rFonts w:eastAsia="Times New Roman" w:cs="Times New Roman"/>
                <w:color w:val="000000"/>
              </w:rPr>
              <w:t>Pielou's Evenness</w:t>
            </w:r>
          </w:p>
        </w:tc>
        <w:tc>
          <w:tcPr>
            <w:tcW w:w="2560" w:type="dxa"/>
            <w:tcBorders>
              <w:top w:val="nil"/>
              <w:left w:val="nil"/>
              <w:bottom w:val="single" w:sz="4" w:space="0" w:color="auto"/>
              <w:right w:val="single" w:sz="4" w:space="0" w:color="auto"/>
            </w:tcBorders>
            <w:shd w:val="clear" w:color="auto" w:fill="auto"/>
            <w:noWrap/>
            <w:vAlign w:val="bottom"/>
            <w:hideMark/>
          </w:tcPr>
          <w:p w14:paraId="14E122E1" w14:textId="77777777" w:rsidR="005D0399" w:rsidRPr="005D0399" w:rsidRDefault="005D0399" w:rsidP="005D0399">
            <w:pPr>
              <w:jc w:val="right"/>
              <w:rPr>
                <w:rFonts w:eastAsia="Times New Roman" w:cs="Times New Roman"/>
                <w:color w:val="000000"/>
              </w:rPr>
            </w:pPr>
            <w:r w:rsidRPr="005D0399">
              <w:rPr>
                <w:rFonts w:eastAsia="Times New Roman" w:cs="Times New Roman"/>
                <w:color w:val="000000"/>
              </w:rPr>
              <w:t>0.51</w:t>
            </w:r>
          </w:p>
        </w:tc>
      </w:tr>
    </w:tbl>
    <w:p w14:paraId="320F6853" w14:textId="77777777" w:rsidR="005D0399" w:rsidRPr="00A53C1D" w:rsidRDefault="005D0399" w:rsidP="005D0399">
      <w:pPr>
        <w:rPr>
          <w:rFonts w:cs="Times New Roman"/>
        </w:rPr>
      </w:pPr>
    </w:p>
    <w:p w14:paraId="578ACFA7" w14:textId="77777777" w:rsidR="00D93EBE" w:rsidRPr="00A53C1D" w:rsidRDefault="00D93EBE" w:rsidP="005D0399">
      <w:pPr>
        <w:rPr>
          <w:rFonts w:cs="Times New Roman"/>
        </w:rPr>
      </w:pPr>
    </w:p>
    <w:p w14:paraId="419E551E" w14:textId="77777777" w:rsidR="00D93EBE" w:rsidRPr="00A53C1D" w:rsidRDefault="00D93EBE" w:rsidP="005D0399">
      <w:pPr>
        <w:rPr>
          <w:rFonts w:cs="Times New Roman"/>
        </w:rPr>
      </w:pPr>
    </w:p>
    <w:p w14:paraId="48E7751A" w14:textId="77777777" w:rsidR="0087654E" w:rsidRPr="00A53C1D" w:rsidRDefault="0087654E" w:rsidP="00D93EBE">
      <w:pPr>
        <w:rPr>
          <w:rFonts w:cs="Times New Roman"/>
          <w:b/>
          <w:bCs/>
        </w:rPr>
      </w:pPr>
    </w:p>
    <w:p w14:paraId="4E724633" w14:textId="748359C0" w:rsidR="00D93EBE" w:rsidRPr="00A53C1D" w:rsidRDefault="00D93EBE" w:rsidP="00D93EBE">
      <w:pPr>
        <w:rPr>
          <w:rFonts w:cs="Times New Roman"/>
          <w:b/>
          <w:bCs/>
        </w:rPr>
      </w:pPr>
      <w:r w:rsidRPr="00A53C1D">
        <w:rPr>
          <w:rFonts w:cs="Times New Roman"/>
          <w:b/>
          <w:bCs/>
        </w:rPr>
        <w:t xml:space="preserve">Table </w:t>
      </w:r>
      <w:r w:rsidR="00FD07E9">
        <w:rPr>
          <w:rFonts w:cs="Times New Roman"/>
          <w:b/>
          <w:bCs/>
        </w:rPr>
        <w:t>3.</w:t>
      </w:r>
      <w:r w:rsidRPr="00A53C1D">
        <w:rPr>
          <w:rFonts w:cs="Times New Roman"/>
          <w:b/>
          <w:bCs/>
        </w:rPr>
        <w:t>14 Pairwise Wilcoxon rank-sum test comparisons of four different alpha diversity metrics across samples from Veraguas</w:t>
      </w:r>
    </w:p>
    <w:p w14:paraId="28D2CCD8" w14:textId="5F9CC42B" w:rsidR="00D93EBE" w:rsidRPr="00A53C1D" w:rsidRDefault="00D93EBE" w:rsidP="00D93EBE">
      <w:pPr>
        <w:rPr>
          <w:rFonts w:cs="Times New Roman"/>
        </w:rPr>
      </w:pPr>
      <w:r w:rsidRPr="00A53C1D">
        <w:rPr>
          <w:rFonts w:cs="Times New Roman"/>
        </w:rPr>
        <w:t>Results highlighted in boldface indicate p-values of less than 0.05. All p-values were corrected with Benjamini-Hochberg adjustments</w:t>
      </w:r>
    </w:p>
    <w:p w14:paraId="5AB050A8" w14:textId="77777777" w:rsidR="00D93EBE" w:rsidRPr="00A53C1D" w:rsidRDefault="00D93EBE" w:rsidP="00D93EBE">
      <w:pPr>
        <w:rPr>
          <w:rFonts w:cs="Times New Roman"/>
        </w:rPr>
      </w:pPr>
    </w:p>
    <w:tbl>
      <w:tblPr>
        <w:tblW w:w="9895" w:type="dxa"/>
        <w:tblLook w:val="04A0" w:firstRow="1" w:lastRow="0" w:firstColumn="1" w:lastColumn="0" w:noHBand="0" w:noVBand="1"/>
      </w:tblPr>
      <w:tblGrid>
        <w:gridCol w:w="2500"/>
        <w:gridCol w:w="1995"/>
        <w:gridCol w:w="2610"/>
        <w:gridCol w:w="2790"/>
      </w:tblGrid>
      <w:tr w:rsidR="00D93EBE" w:rsidRPr="00D93EBE" w14:paraId="690983AD" w14:textId="77777777" w:rsidTr="0087654E">
        <w:trPr>
          <w:trHeight w:val="380"/>
        </w:trPr>
        <w:tc>
          <w:tcPr>
            <w:tcW w:w="250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5870325" w14:textId="77777777" w:rsidR="00D93EBE" w:rsidRPr="00D93EBE" w:rsidRDefault="00D93EBE" w:rsidP="00D93EBE">
            <w:pPr>
              <w:rPr>
                <w:rFonts w:eastAsia="Times New Roman" w:cs="Times New Roman"/>
                <w:color w:val="000000"/>
              </w:rPr>
            </w:pPr>
            <w:r w:rsidRPr="00D93EBE">
              <w:rPr>
                <w:rFonts w:eastAsia="Times New Roman" w:cs="Times New Roman"/>
                <w:color w:val="000000"/>
              </w:rPr>
              <w:t>Veraguas Samples</w:t>
            </w:r>
          </w:p>
        </w:tc>
        <w:tc>
          <w:tcPr>
            <w:tcW w:w="1995" w:type="dxa"/>
            <w:tcBorders>
              <w:top w:val="single" w:sz="4" w:space="0" w:color="auto"/>
              <w:left w:val="nil"/>
              <w:bottom w:val="single" w:sz="4" w:space="0" w:color="auto"/>
              <w:right w:val="single" w:sz="4" w:space="0" w:color="auto"/>
            </w:tcBorders>
            <w:shd w:val="clear" w:color="000000" w:fill="E7E6E6"/>
            <w:noWrap/>
            <w:vAlign w:val="bottom"/>
            <w:hideMark/>
          </w:tcPr>
          <w:p w14:paraId="27906893" w14:textId="77777777" w:rsidR="00D93EBE" w:rsidRPr="00D93EBE" w:rsidRDefault="00D93EBE" w:rsidP="00D93EBE">
            <w:pPr>
              <w:rPr>
                <w:rFonts w:eastAsia="Times New Roman" w:cs="Times New Roman"/>
                <w:color w:val="000000"/>
              </w:rPr>
            </w:pPr>
            <w:r w:rsidRPr="00D93EBE">
              <w:rPr>
                <w:rFonts w:eastAsia="Times New Roman" w:cs="Times New Roman"/>
                <w:color w:val="000000"/>
              </w:rPr>
              <w:t>Forest:Pasture</w:t>
            </w:r>
          </w:p>
        </w:tc>
        <w:tc>
          <w:tcPr>
            <w:tcW w:w="2610" w:type="dxa"/>
            <w:tcBorders>
              <w:top w:val="single" w:sz="4" w:space="0" w:color="auto"/>
              <w:left w:val="nil"/>
              <w:bottom w:val="single" w:sz="4" w:space="0" w:color="auto"/>
              <w:right w:val="single" w:sz="4" w:space="0" w:color="auto"/>
            </w:tcBorders>
            <w:shd w:val="clear" w:color="000000" w:fill="E7E6E6"/>
            <w:noWrap/>
            <w:vAlign w:val="bottom"/>
            <w:hideMark/>
          </w:tcPr>
          <w:p w14:paraId="6A08A9D7" w14:textId="77777777" w:rsidR="00D93EBE" w:rsidRPr="00D93EBE" w:rsidRDefault="00D93EBE" w:rsidP="00D93EBE">
            <w:pPr>
              <w:rPr>
                <w:rFonts w:eastAsia="Times New Roman" w:cs="Times New Roman"/>
                <w:color w:val="000000"/>
              </w:rPr>
            </w:pPr>
            <w:r w:rsidRPr="00D93EBE">
              <w:rPr>
                <w:rFonts w:eastAsia="Times New Roman" w:cs="Times New Roman"/>
                <w:color w:val="000000"/>
              </w:rPr>
              <w:t>Forest:Peridomestic</w:t>
            </w:r>
          </w:p>
        </w:tc>
        <w:tc>
          <w:tcPr>
            <w:tcW w:w="2790" w:type="dxa"/>
            <w:tcBorders>
              <w:top w:val="single" w:sz="4" w:space="0" w:color="auto"/>
              <w:left w:val="nil"/>
              <w:bottom w:val="single" w:sz="4" w:space="0" w:color="auto"/>
              <w:right w:val="single" w:sz="4" w:space="0" w:color="auto"/>
            </w:tcBorders>
            <w:shd w:val="clear" w:color="000000" w:fill="E7E6E6"/>
            <w:noWrap/>
            <w:vAlign w:val="bottom"/>
            <w:hideMark/>
          </w:tcPr>
          <w:p w14:paraId="69688029" w14:textId="77777777" w:rsidR="00D93EBE" w:rsidRPr="00D93EBE" w:rsidRDefault="00D93EBE" w:rsidP="00D93EBE">
            <w:pPr>
              <w:rPr>
                <w:rFonts w:eastAsia="Times New Roman" w:cs="Times New Roman"/>
                <w:color w:val="000000"/>
              </w:rPr>
            </w:pPr>
            <w:r w:rsidRPr="00D93EBE">
              <w:rPr>
                <w:rFonts w:eastAsia="Times New Roman" w:cs="Times New Roman"/>
                <w:color w:val="000000"/>
              </w:rPr>
              <w:t>Pasture:Peridomestic</w:t>
            </w:r>
          </w:p>
        </w:tc>
      </w:tr>
      <w:tr w:rsidR="00D93EBE" w:rsidRPr="00D93EBE" w14:paraId="1E6358B2" w14:textId="77777777" w:rsidTr="0087654E">
        <w:trPr>
          <w:trHeight w:val="380"/>
        </w:trPr>
        <w:tc>
          <w:tcPr>
            <w:tcW w:w="2500" w:type="dxa"/>
            <w:tcBorders>
              <w:top w:val="nil"/>
              <w:left w:val="single" w:sz="4" w:space="0" w:color="auto"/>
              <w:bottom w:val="single" w:sz="4" w:space="0" w:color="auto"/>
              <w:right w:val="single" w:sz="4" w:space="0" w:color="auto"/>
            </w:tcBorders>
            <w:shd w:val="clear" w:color="000000" w:fill="E7E6E6"/>
            <w:noWrap/>
            <w:vAlign w:val="bottom"/>
            <w:hideMark/>
          </w:tcPr>
          <w:p w14:paraId="2D0D7B6F" w14:textId="77777777" w:rsidR="00D93EBE" w:rsidRPr="00D93EBE" w:rsidRDefault="00D93EBE" w:rsidP="00D93EBE">
            <w:pPr>
              <w:rPr>
                <w:rFonts w:eastAsia="Times New Roman" w:cs="Times New Roman"/>
                <w:color w:val="000000"/>
              </w:rPr>
            </w:pPr>
            <w:r w:rsidRPr="00D93EBE">
              <w:rPr>
                <w:rFonts w:eastAsia="Times New Roman" w:cs="Times New Roman"/>
                <w:color w:val="000000"/>
              </w:rPr>
              <w:t>Richness</w:t>
            </w:r>
          </w:p>
        </w:tc>
        <w:tc>
          <w:tcPr>
            <w:tcW w:w="1995" w:type="dxa"/>
            <w:tcBorders>
              <w:top w:val="nil"/>
              <w:left w:val="nil"/>
              <w:bottom w:val="single" w:sz="4" w:space="0" w:color="auto"/>
              <w:right w:val="single" w:sz="4" w:space="0" w:color="auto"/>
            </w:tcBorders>
            <w:shd w:val="clear" w:color="auto" w:fill="auto"/>
            <w:noWrap/>
            <w:vAlign w:val="bottom"/>
            <w:hideMark/>
          </w:tcPr>
          <w:p w14:paraId="79452744" w14:textId="77777777" w:rsidR="00D93EBE" w:rsidRPr="00D93EBE" w:rsidRDefault="00D93EBE" w:rsidP="00D93EBE">
            <w:pPr>
              <w:jc w:val="right"/>
              <w:rPr>
                <w:rFonts w:eastAsia="Times New Roman" w:cs="Times New Roman"/>
                <w:color w:val="000000"/>
              </w:rPr>
            </w:pPr>
            <w:r w:rsidRPr="00D93EBE">
              <w:rPr>
                <w:rFonts w:eastAsia="Times New Roman" w:cs="Times New Roman"/>
                <w:color w:val="000000"/>
              </w:rPr>
              <w:t>0.71</w:t>
            </w:r>
          </w:p>
        </w:tc>
        <w:tc>
          <w:tcPr>
            <w:tcW w:w="2610" w:type="dxa"/>
            <w:tcBorders>
              <w:top w:val="nil"/>
              <w:left w:val="nil"/>
              <w:bottom w:val="single" w:sz="4" w:space="0" w:color="auto"/>
              <w:right w:val="single" w:sz="4" w:space="0" w:color="auto"/>
            </w:tcBorders>
            <w:shd w:val="clear" w:color="auto" w:fill="auto"/>
            <w:noWrap/>
            <w:vAlign w:val="bottom"/>
            <w:hideMark/>
          </w:tcPr>
          <w:p w14:paraId="6D0042A7" w14:textId="77777777" w:rsidR="00D93EBE" w:rsidRPr="00D93EBE" w:rsidRDefault="00D93EBE" w:rsidP="00D93EBE">
            <w:pPr>
              <w:jc w:val="right"/>
              <w:rPr>
                <w:rFonts w:eastAsia="Times New Roman" w:cs="Times New Roman"/>
                <w:color w:val="000000"/>
              </w:rPr>
            </w:pPr>
            <w:r w:rsidRPr="00D93EBE">
              <w:rPr>
                <w:rFonts w:eastAsia="Times New Roman" w:cs="Times New Roman"/>
                <w:color w:val="000000"/>
              </w:rPr>
              <w:t>0.71</w:t>
            </w:r>
          </w:p>
        </w:tc>
        <w:tc>
          <w:tcPr>
            <w:tcW w:w="2790" w:type="dxa"/>
            <w:tcBorders>
              <w:top w:val="nil"/>
              <w:left w:val="nil"/>
              <w:bottom w:val="single" w:sz="4" w:space="0" w:color="auto"/>
              <w:right w:val="single" w:sz="4" w:space="0" w:color="auto"/>
            </w:tcBorders>
            <w:shd w:val="clear" w:color="auto" w:fill="auto"/>
            <w:noWrap/>
            <w:vAlign w:val="bottom"/>
            <w:hideMark/>
          </w:tcPr>
          <w:p w14:paraId="3E09F0B0" w14:textId="77777777" w:rsidR="00D93EBE" w:rsidRPr="00D93EBE" w:rsidRDefault="00D93EBE" w:rsidP="00D93EBE">
            <w:pPr>
              <w:jc w:val="right"/>
              <w:rPr>
                <w:rFonts w:eastAsia="Times New Roman" w:cs="Times New Roman"/>
                <w:color w:val="000000"/>
              </w:rPr>
            </w:pPr>
            <w:r w:rsidRPr="00D93EBE">
              <w:rPr>
                <w:rFonts w:eastAsia="Times New Roman" w:cs="Times New Roman"/>
                <w:color w:val="000000"/>
              </w:rPr>
              <w:t>0.71</w:t>
            </w:r>
          </w:p>
        </w:tc>
      </w:tr>
      <w:tr w:rsidR="00D93EBE" w:rsidRPr="00D93EBE" w14:paraId="72416F90" w14:textId="77777777" w:rsidTr="0087654E">
        <w:trPr>
          <w:trHeight w:val="380"/>
        </w:trPr>
        <w:tc>
          <w:tcPr>
            <w:tcW w:w="2500" w:type="dxa"/>
            <w:tcBorders>
              <w:top w:val="nil"/>
              <w:left w:val="single" w:sz="4" w:space="0" w:color="auto"/>
              <w:bottom w:val="single" w:sz="4" w:space="0" w:color="auto"/>
              <w:right w:val="single" w:sz="4" w:space="0" w:color="auto"/>
            </w:tcBorders>
            <w:shd w:val="clear" w:color="000000" w:fill="E7E6E6"/>
            <w:noWrap/>
            <w:vAlign w:val="bottom"/>
            <w:hideMark/>
          </w:tcPr>
          <w:p w14:paraId="644E6673" w14:textId="77777777" w:rsidR="00D93EBE" w:rsidRPr="00D93EBE" w:rsidRDefault="00D93EBE" w:rsidP="00D93EBE">
            <w:pPr>
              <w:rPr>
                <w:rFonts w:eastAsia="Times New Roman" w:cs="Times New Roman"/>
                <w:color w:val="000000"/>
              </w:rPr>
            </w:pPr>
            <w:r w:rsidRPr="00D93EBE">
              <w:rPr>
                <w:rFonts w:eastAsia="Times New Roman" w:cs="Times New Roman"/>
                <w:color w:val="000000"/>
              </w:rPr>
              <w:t>Shannon</w:t>
            </w:r>
          </w:p>
        </w:tc>
        <w:tc>
          <w:tcPr>
            <w:tcW w:w="1995" w:type="dxa"/>
            <w:tcBorders>
              <w:top w:val="nil"/>
              <w:left w:val="nil"/>
              <w:bottom w:val="single" w:sz="4" w:space="0" w:color="auto"/>
              <w:right w:val="single" w:sz="4" w:space="0" w:color="auto"/>
            </w:tcBorders>
            <w:shd w:val="clear" w:color="auto" w:fill="auto"/>
            <w:noWrap/>
            <w:vAlign w:val="bottom"/>
            <w:hideMark/>
          </w:tcPr>
          <w:p w14:paraId="2EBD360D" w14:textId="77777777" w:rsidR="00D93EBE" w:rsidRPr="00D93EBE" w:rsidRDefault="00D93EBE" w:rsidP="00D93EBE">
            <w:pPr>
              <w:jc w:val="right"/>
              <w:rPr>
                <w:rFonts w:eastAsia="Times New Roman" w:cs="Times New Roman"/>
                <w:b/>
                <w:bCs/>
                <w:color w:val="000000"/>
              </w:rPr>
            </w:pPr>
            <w:r w:rsidRPr="00D93EBE">
              <w:rPr>
                <w:rFonts w:eastAsia="Times New Roman" w:cs="Times New Roman"/>
                <w:b/>
                <w:bCs/>
                <w:color w:val="000000"/>
              </w:rPr>
              <w:t>0.0087</w:t>
            </w:r>
          </w:p>
        </w:tc>
        <w:tc>
          <w:tcPr>
            <w:tcW w:w="2610" w:type="dxa"/>
            <w:tcBorders>
              <w:top w:val="nil"/>
              <w:left w:val="nil"/>
              <w:bottom w:val="single" w:sz="4" w:space="0" w:color="auto"/>
              <w:right w:val="single" w:sz="4" w:space="0" w:color="auto"/>
            </w:tcBorders>
            <w:shd w:val="clear" w:color="auto" w:fill="auto"/>
            <w:noWrap/>
            <w:vAlign w:val="bottom"/>
            <w:hideMark/>
          </w:tcPr>
          <w:p w14:paraId="2BCF5642" w14:textId="77777777" w:rsidR="00D93EBE" w:rsidRPr="00D93EBE" w:rsidRDefault="00D93EBE" w:rsidP="00D93EBE">
            <w:pPr>
              <w:jc w:val="right"/>
              <w:rPr>
                <w:rFonts w:eastAsia="Times New Roman" w:cs="Times New Roman"/>
                <w:color w:val="000000"/>
              </w:rPr>
            </w:pPr>
            <w:r w:rsidRPr="00D93EBE">
              <w:rPr>
                <w:rFonts w:eastAsia="Times New Roman" w:cs="Times New Roman"/>
                <w:color w:val="000000"/>
              </w:rPr>
              <w:t>0.0159</w:t>
            </w:r>
          </w:p>
        </w:tc>
        <w:tc>
          <w:tcPr>
            <w:tcW w:w="2790" w:type="dxa"/>
            <w:tcBorders>
              <w:top w:val="nil"/>
              <w:left w:val="nil"/>
              <w:bottom w:val="single" w:sz="4" w:space="0" w:color="auto"/>
              <w:right w:val="single" w:sz="4" w:space="0" w:color="auto"/>
            </w:tcBorders>
            <w:shd w:val="clear" w:color="auto" w:fill="auto"/>
            <w:noWrap/>
            <w:vAlign w:val="bottom"/>
            <w:hideMark/>
          </w:tcPr>
          <w:p w14:paraId="4C2CEB08" w14:textId="77777777" w:rsidR="00D93EBE" w:rsidRPr="00D93EBE" w:rsidRDefault="00D93EBE" w:rsidP="00D93EBE">
            <w:pPr>
              <w:jc w:val="right"/>
              <w:rPr>
                <w:rFonts w:eastAsia="Times New Roman" w:cs="Times New Roman"/>
                <w:color w:val="000000"/>
              </w:rPr>
            </w:pPr>
            <w:r w:rsidRPr="00D93EBE">
              <w:rPr>
                <w:rFonts w:eastAsia="Times New Roman" w:cs="Times New Roman"/>
                <w:color w:val="000000"/>
              </w:rPr>
              <w:t>0.4311</w:t>
            </w:r>
          </w:p>
        </w:tc>
      </w:tr>
      <w:tr w:rsidR="00D93EBE" w:rsidRPr="00D93EBE" w14:paraId="598A9D42" w14:textId="77777777" w:rsidTr="0087654E">
        <w:trPr>
          <w:trHeight w:val="380"/>
        </w:trPr>
        <w:tc>
          <w:tcPr>
            <w:tcW w:w="2500" w:type="dxa"/>
            <w:tcBorders>
              <w:top w:val="nil"/>
              <w:left w:val="single" w:sz="4" w:space="0" w:color="auto"/>
              <w:bottom w:val="single" w:sz="4" w:space="0" w:color="auto"/>
              <w:right w:val="single" w:sz="4" w:space="0" w:color="auto"/>
            </w:tcBorders>
            <w:shd w:val="clear" w:color="000000" w:fill="E7E6E6"/>
            <w:noWrap/>
            <w:vAlign w:val="bottom"/>
            <w:hideMark/>
          </w:tcPr>
          <w:p w14:paraId="5361E976" w14:textId="77777777" w:rsidR="00D93EBE" w:rsidRPr="00D93EBE" w:rsidRDefault="00D93EBE" w:rsidP="00D93EBE">
            <w:pPr>
              <w:rPr>
                <w:rFonts w:eastAsia="Times New Roman" w:cs="Times New Roman"/>
                <w:color w:val="000000"/>
              </w:rPr>
            </w:pPr>
            <w:r w:rsidRPr="00D93EBE">
              <w:rPr>
                <w:rFonts w:eastAsia="Times New Roman" w:cs="Times New Roman"/>
                <w:color w:val="000000"/>
              </w:rPr>
              <w:t>Faith's PD</w:t>
            </w:r>
          </w:p>
        </w:tc>
        <w:tc>
          <w:tcPr>
            <w:tcW w:w="1995" w:type="dxa"/>
            <w:tcBorders>
              <w:top w:val="nil"/>
              <w:left w:val="nil"/>
              <w:bottom w:val="single" w:sz="4" w:space="0" w:color="auto"/>
              <w:right w:val="single" w:sz="4" w:space="0" w:color="auto"/>
            </w:tcBorders>
            <w:shd w:val="clear" w:color="auto" w:fill="auto"/>
            <w:noWrap/>
            <w:vAlign w:val="bottom"/>
            <w:hideMark/>
          </w:tcPr>
          <w:p w14:paraId="6E464156" w14:textId="77777777" w:rsidR="00D93EBE" w:rsidRPr="00D93EBE" w:rsidRDefault="00D93EBE" w:rsidP="00D93EBE">
            <w:pPr>
              <w:jc w:val="right"/>
              <w:rPr>
                <w:rFonts w:eastAsia="Times New Roman" w:cs="Times New Roman"/>
                <w:color w:val="000000"/>
              </w:rPr>
            </w:pPr>
            <w:r w:rsidRPr="00D93EBE">
              <w:rPr>
                <w:rFonts w:eastAsia="Times New Roman" w:cs="Times New Roman"/>
                <w:color w:val="000000"/>
              </w:rPr>
              <w:t>0.26</w:t>
            </w:r>
          </w:p>
        </w:tc>
        <w:tc>
          <w:tcPr>
            <w:tcW w:w="2610" w:type="dxa"/>
            <w:tcBorders>
              <w:top w:val="nil"/>
              <w:left w:val="nil"/>
              <w:bottom w:val="single" w:sz="4" w:space="0" w:color="auto"/>
              <w:right w:val="single" w:sz="4" w:space="0" w:color="auto"/>
            </w:tcBorders>
            <w:shd w:val="clear" w:color="auto" w:fill="auto"/>
            <w:noWrap/>
            <w:vAlign w:val="bottom"/>
            <w:hideMark/>
          </w:tcPr>
          <w:p w14:paraId="1845688C" w14:textId="77777777" w:rsidR="00D93EBE" w:rsidRPr="00D93EBE" w:rsidRDefault="00D93EBE" w:rsidP="00D93EBE">
            <w:pPr>
              <w:jc w:val="right"/>
              <w:rPr>
                <w:rFonts w:eastAsia="Times New Roman" w:cs="Times New Roman"/>
                <w:color w:val="000000"/>
              </w:rPr>
            </w:pPr>
            <w:r w:rsidRPr="00D93EBE">
              <w:rPr>
                <w:rFonts w:eastAsia="Times New Roman" w:cs="Times New Roman"/>
                <w:color w:val="000000"/>
              </w:rPr>
              <w:t>0.46</w:t>
            </w:r>
          </w:p>
        </w:tc>
        <w:tc>
          <w:tcPr>
            <w:tcW w:w="2790" w:type="dxa"/>
            <w:tcBorders>
              <w:top w:val="nil"/>
              <w:left w:val="nil"/>
              <w:bottom w:val="single" w:sz="4" w:space="0" w:color="auto"/>
              <w:right w:val="single" w:sz="4" w:space="0" w:color="auto"/>
            </w:tcBorders>
            <w:shd w:val="clear" w:color="auto" w:fill="auto"/>
            <w:noWrap/>
            <w:vAlign w:val="bottom"/>
            <w:hideMark/>
          </w:tcPr>
          <w:p w14:paraId="39C87057" w14:textId="77777777" w:rsidR="00D93EBE" w:rsidRPr="00D93EBE" w:rsidRDefault="00D93EBE" w:rsidP="00D93EBE">
            <w:pPr>
              <w:jc w:val="right"/>
              <w:rPr>
                <w:rFonts w:eastAsia="Times New Roman" w:cs="Times New Roman"/>
                <w:color w:val="000000"/>
              </w:rPr>
            </w:pPr>
            <w:r w:rsidRPr="00D93EBE">
              <w:rPr>
                <w:rFonts w:eastAsia="Times New Roman" w:cs="Times New Roman"/>
                <w:color w:val="000000"/>
              </w:rPr>
              <w:t>0.15</w:t>
            </w:r>
          </w:p>
        </w:tc>
      </w:tr>
      <w:tr w:rsidR="00D93EBE" w:rsidRPr="00D93EBE" w14:paraId="3CBE6A4A" w14:textId="77777777" w:rsidTr="0087654E">
        <w:trPr>
          <w:trHeight w:val="380"/>
        </w:trPr>
        <w:tc>
          <w:tcPr>
            <w:tcW w:w="2500" w:type="dxa"/>
            <w:tcBorders>
              <w:top w:val="nil"/>
              <w:left w:val="single" w:sz="4" w:space="0" w:color="auto"/>
              <w:bottom w:val="single" w:sz="4" w:space="0" w:color="auto"/>
              <w:right w:val="single" w:sz="4" w:space="0" w:color="auto"/>
            </w:tcBorders>
            <w:shd w:val="clear" w:color="000000" w:fill="E7E6E6"/>
            <w:noWrap/>
            <w:vAlign w:val="bottom"/>
            <w:hideMark/>
          </w:tcPr>
          <w:p w14:paraId="35BFDD25" w14:textId="77777777" w:rsidR="00D93EBE" w:rsidRPr="00D93EBE" w:rsidRDefault="00D93EBE" w:rsidP="00D93EBE">
            <w:pPr>
              <w:rPr>
                <w:rFonts w:eastAsia="Times New Roman" w:cs="Times New Roman"/>
                <w:color w:val="000000"/>
              </w:rPr>
            </w:pPr>
            <w:r w:rsidRPr="00D93EBE">
              <w:rPr>
                <w:rFonts w:eastAsia="Times New Roman" w:cs="Times New Roman"/>
                <w:color w:val="000000"/>
              </w:rPr>
              <w:t>Pielou's Evenness</w:t>
            </w:r>
          </w:p>
        </w:tc>
        <w:tc>
          <w:tcPr>
            <w:tcW w:w="1995" w:type="dxa"/>
            <w:tcBorders>
              <w:top w:val="nil"/>
              <w:left w:val="nil"/>
              <w:bottom w:val="single" w:sz="4" w:space="0" w:color="auto"/>
              <w:right w:val="single" w:sz="4" w:space="0" w:color="auto"/>
            </w:tcBorders>
            <w:shd w:val="clear" w:color="auto" w:fill="auto"/>
            <w:noWrap/>
            <w:vAlign w:val="bottom"/>
            <w:hideMark/>
          </w:tcPr>
          <w:p w14:paraId="1C93AB10" w14:textId="77777777" w:rsidR="00D93EBE" w:rsidRPr="00D93EBE" w:rsidRDefault="00D93EBE" w:rsidP="00D93EBE">
            <w:pPr>
              <w:jc w:val="right"/>
              <w:rPr>
                <w:rFonts w:eastAsia="Times New Roman" w:cs="Times New Roman"/>
                <w:b/>
                <w:bCs/>
                <w:color w:val="000000"/>
              </w:rPr>
            </w:pPr>
            <w:r w:rsidRPr="00D93EBE">
              <w:rPr>
                <w:rFonts w:eastAsia="Times New Roman" w:cs="Times New Roman"/>
                <w:b/>
                <w:bCs/>
                <w:color w:val="000000"/>
              </w:rPr>
              <w:t>0.00043</w:t>
            </w:r>
          </w:p>
        </w:tc>
        <w:tc>
          <w:tcPr>
            <w:tcW w:w="2610" w:type="dxa"/>
            <w:tcBorders>
              <w:top w:val="nil"/>
              <w:left w:val="nil"/>
              <w:bottom w:val="single" w:sz="4" w:space="0" w:color="auto"/>
              <w:right w:val="single" w:sz="4" w:space="0" w:color="auto"/>
            </w:tcBorders>
            <w:shd w:val="clear" w:color="auto" w:fill="auto"/>
            <w:noWrap/>
            <w:vAlign w:val="bottom"/>
            <w:hideMark/>
          </w:tcPr>
          <w:p w14:paraId="68163763" w14:textId="77777777" w:rsidR="00D93EBE" w:rsidRPr="00D93EBE" w:rsidRDefault="00D93EBE" w:rsidP="00D93EBE">
            <w:pPr>
              <w:jc w:val="right"/>
              <w:rPr>
                <w:rFonts w:eastAsia="Times New Roman" w:cs="Times New Roman"/>
                <w:b/>
                <w:bCs/>
                <w:color w:val="000000"/>
              </w:rPr>
            </w:pPr>
            <w:r w:rsidRPr="00D93EBE">
              <w:rPr>
                <w:rFonts w:eastAsia="Times New Roman" w:cs="Times New Roman"/>
                <w:b/>
                <w:bCs/>
                <w:color w:val="000000"/>
              </w:rPr>
              <w:t>0.00533</w:t>
            </w:r>
          </w:p>
        </w:tc>
        <w:tc>
          <w:tcPr>
            <w:tcW w:w="2790" w:type="dxa"/>
            <w:tcBorders>
              <w:top w:val="nil"/>
              <w:left w:val="nil"/>
              <w:bottom w:val="single" w:sz="4" w:space="0" w:color="auto"/>
              <w:right w:val="single" w:sz="4" w:space="0" w:color="auto"/>
            </w:tcBorders>
            <w:shd w:val="clear" w:color="auto" w:fill="auto"/>
            <w:noWrap/>
            <w:vAlign w:val="bottom"/>
            <w:hideMark/>
          </w:tcPr>
          <w:p w14:paraId="3757C21B" w14:textId="77777777" w:rsidR="00D93EBE" w:rsidRPr="00D93EBE" w:rsidRDefault="00D93EBE" w:rsidP="00D93EBE">
            <w:pPr>
              <w:jc w:val="right"/>
              <w:rPr>
                <w:rFonts w:eastAsia="Times New Roman" w:cs="Times New Roman"/>
                <w:color w:val="000000"/>
              </w:rPr>
            </w:pPr>
            <w:r w:rsidRPr="00D93EBE">
              <w:rPr>
                <w:rFonts w:eastAsia="Times New Roman" w:cs="Times New Roman"/>
                <w:color w:val="000000"/>
              </w:rPr>
              <w:t>0.36566</w:t>
            </w:r>
          </w:p>
        </w:tc>
      </w:tr>
    </w:tbl>
    <w:p w14:paraId="570A7D89" w14:textId="43E78C11" w:rsidR="0087654E" w:rsidRPr="00A53C1D" w:rsidRDefault="0087654E" w:rsidP="00D93EBE">
      <w:pPr>
        <w:rPr>
          <w:rFonts w:cs="Times New Roman"/>
        </w:rPr>
      </w:pPr>
      <w:r w:rsidRPr="00A53C1D">
        <w:rPr>
          <w:rFonts w:cs="Times New Roman"/>
        </w:rPr>
        <w:br w:type="page"/>
      </w:r>
    </w:p>
    <w:p w14:paraId="1EA98D24" w14:textId="1361723F" w:rsidR="0087654E" w:rsidRPr="00A53C1D" w:rsidRDefault="0087654E" w:rsidP="0087654E">
      <w:pPr>
        <w:rPr>
          <w:rFonts w:cs="Times New Roman"/>
          <w:b/>
          <w:bCs/>
        </w:rPr>
      </w:pPr>
      <w:r w:rsidRPr="00A53C1D">
        <w:rPr>
          <w:rFonts w:cs="Times New Roman"/>
          <w:b/>
          <w:bCs/>
        </w:rPr>
        <w:lastRenderedPageBreak/>
        <w:t xml:space="preserve">Table </w:t>
      </w:r>
      <w:r w:rsidR="00FD07E9">
        <w:rPr>
          <w:rFonts w:cs="Times New Roman"/>
          <w:b/>
          <w:bCs/>
        </w:rPr>
        <w:t>3.</w:t>
      </w:r>
      <w:r w:rsidRPr="00A53C1D">
        <w:rPr>
          <w:rFonts w:cs="Times New Roman"/>
          <w:b/>
          <w:bCs/>
        </w:rPr>
        <w:t>15 PERMANOVA and beta-dispersion results of Capira samples with unweighted and weighted UniFrac distance matrix</w:t>
      </w:r>
    </w:p>
    <w:p w14:paraId="24F5465D" w14:textId="69986E8D" w:rsidR="0087654E" w:rsidRPr="00A53C1D" w:rsidRDefault="0087654E" w:rsidP="0087654E">
      <w:pPr>
        <w:rPr>
          <w:rFonts w:cs="Times New Roman"/>
        </w:rPr>
      </w:pPr>
      <w:r w:rsidRPr="00A53C1D">
        <w:rPr>
          <w:rFonts w:cs="Times New Roman"/>
        </w:rPr>
        <w:t>Results highlighted in boldface indicate p-values of less than 0.05.</w:t>
      </w:r>
    </w:p>
    <w:p w14:paraId="6C64996D" w14:textId="77777777" w:rsidR="0087654E" w:rsidRPr="00A53C1D" w:rsidRDefault="0087654E" w:rsidP="0087654E">
      <w:pPr>
        <w:rPr>
          <w:rFonts w:cs="Times New Roman"/>
        </w:rPr>
      </w:pPr>
    </w:p>
    <w:p w14:paraId="551ADAF6" w14:textId="77777777" w:rsidR="0087654E" w:rsidRPr="00A53C1D" w:rsidRDefault="0087654E" w:rsidP="0087654E">
      <w:pPr>
        <w:rPr>
          <w:rFonts w:cs="Times New Roman"/>
        </w:rPr>
      </w:pPr>
    </w:p>
    <w:tbl>
      <w:tblPr>
        <w:tblW w:w="10140" w:type="dxa"/>
        <w:tblLook w:val="04A0" w:firstRow="1" w:lastRow="0" w:firstColumn="1" w:lastColumn="0" w:noHBand="0" w:noVBand="1"/>
      </w:tblPr>
      <w:tblGrid>
        <w:gridCol w:w="3780"/>
        <w:gridCol w:w="3180"/>
        <w:gridCol w:w="3180"/>
      </w:tblGrid>
      <w:tr w:rsidR="008C27A3" w:rsidRPr="008C27A3" w14:paraId="04269E8E" w14:textId="77777777" w:rsidTr="008C27A3">
        <w:trPr>
          <w:trHeight w:val="380"/>
        </w:trPr>
        <w:tc>
          <w:tcPr>
            <w:tcW w:w="3780" w:type="dxa"/>
            <w:tcBorders>
              <w:top w:val="nil"/>
              <w:left w:val="nil"/>
              <w:bottom w:val="nil"/>
              <w:right w:val="single" w:sz="4" w:space="0" w:color="auto"/>
            </w:tcBorders>
            <w:shd w:val="clear" w:color="auto" w:fill="auto"/>
            <w:noWrap/>
            <w:vAlign w:val="bottom"/>
            <w:hideMark/>
          </w:tcPr>
          <w:p w14:paraId="5DFC682C" w14:textId="77777777" w:rsidR="008C27A3" w:rsidRPr="008C27A3" w:rsidRDefault="008C27A3" w:rsidP="008C27A3">
            <w:pPr>
              <w:jc w:val="center"/>
              <w:rPr>
                <w:rFonts w:eastAsia="Times New Roman" w:cs="Times New Roman"/>
                <w:b/>
                <w:bCs/>
              </w:rPr>
            </w:pPr>
            <w:r w:rsidRPr="008C27A3">
              <w:rPr>
                <w:rFonts w:eastAsia="Times New Roman" w:cs="Times New Roman"/>
                <w:b/>
                <w:bCs/>
              </w:rPr>
              <w:t>PERMANOVA results</w:t>
            </w:r>
          </w:p>
        </w:tc>
        <w:tc>
          <w:tcPr>
            <w:tcW w:w="3180" w:type="dxa"/>
            <w:tcBorders>
              <w:top w:val="nil"/>
              <w:left w:val="nil"/>
              <w:bottom w:val="nil"/>
              <w:right w:val="nil"/>
            </w:tcBorders>
            <w:shd w:val="clear" w:color="auto" w:fill="auto"/>
            <w:noWrap/>
            <w:vAlign w:val="bottom"/>
            <w:hideMark/>
          </w:tcPr>
          <w:p w14:paraId="37354D02" w14:textId="77777777" w:rsidR="008C27A3" w:rsidRPr="008C27A3" w:rsidRDefault="008C27A3" w:rsidP="008C27A3">
            <w:pPr>
              <w:jc w:val="center"/>
              <w:rPr>
                <w:rFonts w:eastAsia="Times New Roman" w:cs="Times New Roman"/>
                <w:b/>
                <w:bCs/>
              </w:rPr>
            </w:pPr>
          </w:p>
        </w:tc>
        <w:tc>
          <w:tcPr>
            <w:tcW w:w="3180" w:type="dxa"/>
            <w:tcBorders>
              <w:top w:val="nil"/>
              <w:left w:val="nil"/>
              <w:bottom w:val="nil"/>
              <w:right w:val="nil"/>
            </w:tcBorders>
            <w:shd w:val="clear" w:color="auto" w:fill="auto"/>
            <w:noWrap/>
            <w:vAlign w:val="bottom"/>
            <w:hideMark/>
          </w:tcPr>
          <w:p w14:paraId="12D80438" w14:textId="77777777" w:rsidR="008C27A3" w:rsidRPr="008C27A3" w:rsidRDefault="008C27A3" w:rsidP="008C27A3">
            <w:pPr>
              <w:rPr>
                <w:rFonts w:eastAsia="Times New Roman" w:cs="Times New Roman"/>
              </w:rPr>
            </w:pPr>
          </w:p>
        </w:tc>
      </w:tr>
      <w:tr w:rsidR="008C27A3" w:rsidRPr="008C27A3" w14:paraId="12604565" w14:textId="77777777" w:rsidTr="008C27A3">
        <w:trPr>
          <w:trHeight w:val="380"/>
        </w:trPr>
        <w:tc>
          <w:tcPr>
            <w:tcW w:w="3780" w:type="dxa"/>
            <w:tcBorders>
              <w:top w:val="nil"/>
              <w:left w:val="nil"/>
              <w:bottom w:val="single" w:sz="4" w:space="0" w:color="auto"/>
              <w:right w:val="single" w:sz="4" w:space="0" w:color="auto"/>
            </w:tcBorders>
            <w:shd w:val="clear" w:color="auto" w:fill="auto"/>
            <w:noWrap/>
            <w:vAlign w:val="bottom"/>
            <w:hideMark/>
          </w:tcPr>
          <w:p w14:paraId="589D68A1" w14:textId="77777777" w:rsidR="008C27A3" w:rsidRPr="008C27A3" w:rsidRDefault="008C27A3" w:rsidP="008C27A3">
            <w:pPr>
              <w:jc w:val="center"/>
              <w:rPr>
                <w:rFonts w:eastAsia="Times New Roman" w:cs="Times New Roman"/>
                <w:b/>
                <w:bCs/>
              </w:rPr>
            </w:pPr>
            <w:r w:rsidRPr="008C27A3">
              <w:rPr>
                <w:rFonts w:eastAsia="Times New Roman" w:cs="Times New Roman"/>
                <w:b/>
                <w:bCs/>
              </w:rPr>
              <w:t>Distance matrix</w:t>
            </w:r>
          </w:p>
        </w:tc>
        <w:tc>
          <w:tcPr>
            <w:tcW w:w="3180" w:type="dxa"/>
            <w:tcBorders>
              <w:top w:val="nil"/>
              <w:left w:val="nil"/>
              <w:bottom w:val="single" w:sz="4" w:space="0" w:color="auto"/>
              <w:right w:val="nil"/>
            </w:tcBorders>
            <w:shd w:val="clear" w:color="auto" w:fill="auto"/>
            <w:noWrap/>
            <w:vAlign w:val="bottom"/>
            <w:hideMark/>
          </w:tcPr>
          <w:p w14:paraId="29C3C76D" w14:textId="77777777" w:rsidR="008C27A3" w:rsidRPr="008C27A3" w:rsidRDefault="008C27A3" w:rsidP="008C27A3">
            <w:pPr>
              <w:rPr>
                <w:rFonts w:eastAsia="Times New Roman" w:cs="Times New Roman"/>
                <w:b/>
                <w:bCs/>
              </w:rPr>
            </w:pPr>
            <w:r w:rsidRPr="008C27A3">
              <w:rPr>
                <w:rFonts w:eastAsia="Times New Roman" w:cs="Times New Roman"/>
                <w:b/>
                <w:bCs/>
              </w:rPr>
              <w:t>Unweighted UniFrac</w:t>
            </w:r>
          </w:p>
        </w:tc>
        <w:tc>
          <w:tcPr>
            <w:tcW w:w="3180" w:type="dxa"/>
            <w:tcBorders>
              <w:top w:val="nil"/>
              <w:left w:val="nil"/>
              <w:bottom w:val="single" w:sz="4" w:space="0" w:color="auto"/>
              <w:right w:val="nil"/>
            </w:tcBorders>
            <w:shd w:val="clear" w:color="auto" w:fill="auto"/>
            <w:noWrap/>
            <w:vAlign w:val="bottom"/>
            <w:hideMark/>
          </w:tcPr>
          <w:p w14:paraId="56C65964" w14:textId="77777777" w:rsidR="008C27A3" w:rsidRPr="008C27A3" w:rsidRDefault="008C27A3" w:rsidP="008C27A3">
            <w:pPr>
              <w:rPr>
                <w:rFonts w:eastAsia="Times New Roman" w:cs="Times New Roman"/>
                <w:b/>
                <w:bCs/>
              </w:rPr>
            </w:pPr>
            <w:r w:rsidRPr="008C27A3">
              <w:rPr>
                <w:rFonts w:eastAsia="Times New Roman" w:cs="Times New Roman"/>
                <w:b/>
                <w:bCs/>
              </w:rPr>
              <w:t>Weighted UniFrac</w:t>
            </w:r>
          </w:p>
        </w:tc>
      </w:tr>
      <w:tr w:rsidR="008C27A3" w:rsidRPr="008C27A3" w14:paraId="64FC4CF3" w14:textId="77777777" w:rsidTr="008C27A3">
        <w:trPr>
          <w:trHeight w:val="380"/>
        </w:trPr>
        <w:tc>
          <w:tcPr>
            <w:tcW w:w="3780" w:type="dxa"/>
            <w:tcBorders>
              <w:top w:val="nil"/>
              <w:left w:val="nil"/>
              <w:bottom w:val="nil"/>
              <w:right w:val="single" w:sz="4" w:space="0" w:color="auto"/>
            </w:tcBorders>
            <w:shd w:val="clear" w:color="auto" w:fill="auto"/>
            <w:noWrap/>
            <w:vAlign w:val="bottom"/>
            <w:hideMark/>
          </w:tcPr>
          <w:p w14:paraId="1252F508" w14:textId="77777777" w:rsidR="008C27A3" w:rsidRPr="008C27A3" w:rsidRDefault="008C27A3" w:rsidP="008C27A3">
            <w:pPr>
              <w:jc w:val="center"/>
              <w:rPr>
                <w:rFonts w:eastAsia="Times New Roman" w:cs="Times New Roman"/>
                <w:b/>
                <w:bCs/>
              </w:rPr>
            </w:pPr>
            <w:r w:rsidRPr="008C27A3">
              <w:rPr>
                <w:rFonts w:eastAsia="Times New Roman" w:cs="Times New Roman"/>
                <w:b/>
                <w:bCs/>
              </w:rPr>
              <w:t>test statistic name</w:t>
            </w:r>
          </w:p>
        </w:tc>
        <w:tc>
          <w:tcPr>
            <w:tcW w:w="3180" w:type="dxa"/>
            <w:tcBorders>
              <w:top w:val="nil"/>
              <w:left w:val="nil"/>
              <w:bottom w:val="nil"/>
              <w:right w:val="nil"/>
            </w:tcBorders>
            <w:shd w:val="clear" w:color="auto" w:fill="auto"/>
            <w:noWrap/>
            <w:vAlign w:val="bottom"/>
            <w:hideMark/>
          </w:tcPr>
          <w:p w14:paraId="138EF65F" w14:textId="77777777" w:rsidR="008C27A3" w:rsidRPr="008C27A3" w:rsidRDefault="008C27A3" w:rsidP="008C27A3">
            <w:pPr>
              <w:rPr>
                <w:rFonts w:eastAsia="Times New Roman" w:cs="Times New Roman"/>
              </w:rPr>
            </w:pPr>
            <w:r w:rsidRPr="008C27A3">
              <w:rPr>
                <w:rFonts w:eastAsia="Times New Roman" w:cs="Times New Roman"/>
              </w:rPr>
              <w:t>pseudo-F</w:t>
            </w:r>
          </w:p>
        </w:tc>
        <w:tc>
          <w:tcPr>
            <w:tcW w:w="3180" w:type="dxa"/>
            <w:tcBorders>
              <w:top w:val="nil"/>
              <w:left w:val="nil"/>
              <w:bottom w:val="nil"/>
              <w:right w:val="nil"/>
            </w:tcBorders>
            <w:shd w:val="clear" w:color="auto" w:fill="auto"/>
            <w:noWrap/>
            <w:vAlign w:val="bottom"/>
            <w:hideMark/>
          </w:tcPr>
          <w:p w14:paraId="6E8E5268" w14:textId="77777777" w:rsidR="008C27A3" w:rsidRPr="008C27A3" w:rsidRDefault="008C27A3" w:rsidP="008C27A3">
            <w:pPr>
              <w:rPr>
                <w:rFonts w:eastAsia="Times New Roman" w:cs="Times New Roman"/>
              </w:rPr>
            </w:pPr>
            <w:r w:rsidRPr="008C27A3">
              <w:rPr>
                <w:rFonts w:eastAsia="Times New Roman" w:cs="Times New Roman"/>
              </w:rPr>
              <w:t>pseudo-F</w:t>
            </w:r>
          </w:p>
        </w:tc>
      </w:tr>
      <w:tr w:rsidR="008C27A3" w:rsidRPr="008C27A3" w14:paraId="2A33AFE9" w14:textId="77777777" w:rsidTr="008C27A3">
        <w:trPr>
          <w:trHeight w:val="380"/>
        </w:trPr>
        <w:tc>
          <w:tcPr>
            <w:tcW w:w="3780" w:type="dxa"/>
            <w:tcBorders>
              <w:top w:val="nil"/>
              <w:left w:val="nil"/>
              <w:bottom w:val="nil"/>
              <w:right w:val="single" w:sz="4" w:space="0" w:color="auto"/>
            </w:tcBorders>
            <w:shd w:val="clear" w:color="auto" w:fill="auto"/>
            <w:noWrap/>
            <w:vAlign w:val="bottom"/>
            <w:hideMark/>
          </w:tcPr>
          <w:p w14:paraId="3E20F925" w14:textId="77777777" w:rsidR="008C27A3" w:rsidRPr="008C27A3" w:rsidRDefault="008C27A3" w:rsidP="008C27A3">
            <w:pPr>
              <w:jc w:val="center"/>
              <w:rPr>
                <w:rFonts w:eastAsia="Times New Roman" w:cs="Times New Roman"/>
                <w:b/>
                <w:bCs/>
              </w:rPr>
            </w:pPr>
            <w:r w:rsidRPr="008C27A3">
              <w:rPr>
                <w:rFonts w:eastAsia="Times New Roman" w:cs="Times New Roman"/>
                <w:b/>
                <w:bCs/>
              </w:rPr>
              <w:t>sample size</w:t>
            </w:r>
          </w:p>
        </w:tc>
        <w:tc>
          <w:tcPr>
            <w:tcW w:w="3180" w:type="dxa"/>
            <w:tcBorders>
              <w:top w:val="nil"/>
              <w:left w:val="nil"/>
              <w:bottom w:val="nil"/>
              <w:right w:val="nil"/>
            </w:tcBorders>
            <w:shd w:val="clear" w:color="auto" w:fill="auto"/>
            <w:noWrap/>
            <w:vAlign w:val="bottom"/>
            <w:hideMark/>
          </w:tcPr>
          <w:p w14:paraId="1202C561" w14:textId="77777777" w:rsidR="008C27A3" w:rsidRPr="008C27A3" w:rsidRDefault="008C27A3" w:rsidP="008C27A3">
            <w:pPr>
              <w:jc w:val="right"/>
              <w:rPr>
                <w:rFonts w:eastAsia="Times New Roman" w:cs="Times New Roman"/>
              </w:rPr>
            </w:pPr>
            <w:r w:rsidRPr="008C27A3">
              <w:rPr>
                <w:rFonts w:eastAsia="Times New Roman" w:cs="Times New Roman"/>
              </w:rPr>
              <w:t>68</w:t>
            </w:r>
          </w:p>
        </w:tc>
        <w:tc>
          <w:tcPr>
            <w:tcW w:w="3180" w:type="dxa"/>
            <w:tcBorders>
              <w:top w:val="nil"/>
              <w:left w:val="nil"/>
              <w:bottom w:val="nil"/>
              <w:right w:val="nil"/>
            </w:tcBorders>
            <w:shd w:val="clear" w:color="auto" w:fill="auto"/>
            <w:noWrap/>
            <w:vAlign w:val="bottom"/>
            <w:hideMark/>
          </w:tcPr>
          <w:p w14:paraId="0F5AD1EA" w14:textId="77777777" w:rsidR="008C27A3" w:rsidRPr="008C27A3" w:rsidRDefault="008C27A3" w:rsidP="008C27A3">
            <w:pPr>
              <w:jc w:val="right"/>
              <w:rPr>
                <w:rFonts w:eastAsia="Times New Roman" w:cs="Times New Roman"/>
              </w:rPr>
            </w:pPr>
            <w:r w:rsidRPr="008C27A3">
              <w:rPr>
                <w:rFonts w:eastAsia="Times New Roman" w:cs="Times New Roman"/>
              </w:rPr>
              <w:t>68</w:t>
            </w:r>
          </w:p>
        </w:tc>
      </w:tr>
      <w:tr w:rsidR="008C27A3" w:rsidRPr="008C27A3" w14:paraId="633F6E42" w14:textId="77777777" w:rsidTr="008C27A3">
        <w:trPr>
          <w:trHeight w:val="380"/>
        </w:trPr>
        <w:tc>
          <w:tcPr>
            <w:tcW w:w="3780" w:type="dxa"/>
            <w:tcBorders>
              <w:top w:val="nil"/>
              <w:left w:val="nil"/>
              <w:bottom w:val="nil"/>
              <w:right w:val="single" w:sz="4" w:space="0" w:color="auto"/>
            </w:tcBorders>
            <w:shd w:val="clear" w:color="auto" w:fill="auto"/>
            <w:noWrap/>
            <w:vAlign w:val="bottom"/>
            <w:hideMark/>
          </w:tcPr>
          <w:p w14:paraId="1BF05670" w14:textId="77777777" w:rsidR="008C27A3" w:rsidRPr="008C27A3" w:rsidRDefault="008C27A3" w:rsidP="008C27A3">
            <w:pPr>
              <w:jc w:val="center"/>
              <w:rPr>
                <w:rFonts w:eastAsia="Times New Roman" w:cs="Times New Roman"/>
                <w:b/>
                <w:bCs/>
              </w:rPr>
            </w:pPr>
            <w:r w:rsidRPr="008C27A3">
              <w:rPr>
                <w:rFonts w:eastAsia="Times New Roman" w:cs="Times New Roman"/>
                <w:b/>
                <w:bCs/>
              </w:rPr>
              <w:t>number of groups</w:t>
            </w:r>
          </w:p>
        </w:tc>
        <w:tc>
          <w:tcPr>
            <w:tcW w:w="3180" w:type="dxa"/>
            <w:tcBorders>
              <w:top w:val="nil"/>
              <w:left w:val="nil"/>
              <w:bottom w:val="nil"/>
              <w:right w:val="nil"/>
            </w:tcBorders>
            <w:shd w:val="clear" w:color="auto" w:fill="auto"/>
            <w:noWrap/>
            <w:vAlign w:val="bottom"/>
            <w:hideMark/>
          </w:tcPr>
          <w:p w14:paraId="6E30C387" w14:textId="77777777" w:rsidR="008C27A3" w:rsidRPr="008C27A3" w:rsidRDefault="008C27A3" w:rsidP="008C27A3">
            <w:pPr>
              <w:jc w:val="right"/>
              <w:rPr>
                <w:rFonts w:eastAsia="Times New Roman" w:cs="Times New Roman"/>
              </w:rPr>
            </w:pPr>
            <w:r w:rsidRPr="008C27A3">
              <w:rPr>
                <w:rFonts w:eastAsia="Times New Roman" w:cs="Times New Roman"/>
              </w:rPr>
              <w:t>2</w:t>
            </w:r>
          </w:p>
        </w:tc>
        <w:tc>
          <w:tcPr>
            <w:tcW w:w="3180" w:type="dxa"/>
            <w:tcBorders>
              <w:top w:val="nil"/>
              <w:left w:val="nil"/>
              <w:bottom w:val="nil"/>
              <w:right w:val="nil"/>
            </w:tcBorders>
            <w:shd w:val="clear" w:color="auto" w:fill="auto"/>
            <w:noWrap/>
            <w:vAlign w:val="bottom"/>
            <w:hideMark/>
          </w:tcPr>
          <w:p w14:paraId="5FC9FEC3" w14:textId="77777777" w:rsidR="008C27A3" w:rsidRPr="008C27A3" w:rsidRDefault="008C27A3" w:rsidP="008C27A3">
            <w:pPr>
              <w:jc w:val="right"/>
              <w:rPr>
                <w:rFonts w:eastAsia="Times New Roman" w:cs="Times New Roman"/>
              </w:rPr>
            </w:pPr>
            <w:r w:rsidRPr="008C27A3">
              <w:rPr>
                <w:rFonts w:eastAsia="Times New Roman" w:cs="Times New Roman"/>
              </w:rPr>
              <w:t>2</w:t>
            </w:r>
          </w:p>
        </w:tc>
      </w:tr>
      <w:tr w:rsidR="008C27A3" w:rsidRPr="008C27A3" w14:paraId="556C0106" w14:textId="77777777" w:rsidTr="008C27A3">
        <w:trPr>
          <w:trHeight w:val="380"/>
        </w:trPr>
        <w:tc>
          <w:tcPr>
            <w:tcW w:w="3780" w:type="dxa"/>
            <w:tcBorders>
              <w:top w:val="nil"/>
              <w:left w:val="nil"/>
              <w:bottom w:val="nil"/>
              <w:right w:val="single" w:sz="4" w:space="0" w:color="auto"/>
            </w:tcBorders>
            <w:shd w:val="clear" w:color="auto" w:fill="auto"/>
            <w:noWrap/>
            <w:vAlign w:val="bottom"/>
            <w:hideMark/>
          </w:tcPr>
          <w:p w14:paraId="1375B7A4" w14:textId="77777777" w:rsidR="008C27A3" w:rsidRPr="008C27A3" w:rsidRDefault="008C27A3" w:rsidP="008C27A3">
            <w:pPr>
              <w:jc w:val="center"/>
              <w:rPr>
                <w:rFonts w:eastAsia="Times New Roman" w:cs="Times New Roman"/>
                <w:b/>
                <w:bCs/>
              </w:rPr>
            </w:pPr>
            <w:r w:rsidRPr="008C27A3">
              <w:rPr>
                <w:rFonts w:eastAsia="Times New Roman" w:cs="Times New Roman"/>
                <w:b/>
                <w:bCs/>
              </w:rPr>
              <w:t>test statistic</w:t>
            </w:r>
          </w:p>
        </w:tc>
        <w:tc>
          <w:tcPr>
            <w:tcW w:w="3180" w:type="dxa"/>
            <w:tcBorders>
              <w:top w:val="nil"/>
              <w:left w:val="nil"/>
              <w:bottom w:val="nil"/>
              <w:right w:val="nil"/>
            </w:tcBorders>
            <w:shd w:val="clear" w:color="auto" w:fill="auto"/>
            <w:noWrap/>
            <w:vAlign w:val="bottom"/>
            <w:hideMark/>
          </w:tcPr>
          <w:p w14:paraId="2612C401" w14:textId="77777777" w:rsidR="008C27A3" w:rsidRPr="008C27A3" w:rsidRDefault="008C27A3" w:rsidP="008C27A3">
            <w:pPr>
              <w:jc w:val="right"/>
              <w:rPr>
                <w:rFonts w:eastAsia="Times New Roman" w:cs="Times New Roman"/>
              </w:rPr>
            </w:pPr>
            <w:r w:rsidRPr="008C27A3">
              <w:rPr>
                <w:rFonts w:eastAsia="Times New Roman" w:cs="Times New Roman"/>
              </w:rPr>
              <w:t>5.146824</w:t>
            </w:r>
          </w:p>
        </w:tc>
        <w:tc>
          <w:tcPr>
            <w:tcW w:w="3180" w:type="dxa"/>
            <w:tcBorders>
              <w:top w:val="nil"/>
              <w:left w:val="nil"/>
              <w:bottom w:val="nil"/>
              <w:right w:val="nil"/>
            </w:tcBorders>
            <w:shd w:val="clear" w:color="auto" w:fill="auto"/>
            <w:noWrap/>
            <w:vAlign w:val="bottom"/>
            <w:hideMark/>
          </w:tcPr>
          <w:p w14:paraId="38F62165" w14:textId="77777777" w:rsidR="008C27A3" w:rsidRPr="008C27A3" w:rsidRDefault="008C27A3" w:rsidP="008C27A3">
            <w:pPr>
              <w:jc w:val="right"/>
              <w:rPr>
                <w:rFonts w:eastAsia="Times New Roman" w:cs="Times New Roman"/>
              </w:rPr>
            </w:pPr>
            <w:r w:rsidRPr="008C27A3">
              <w:rPr>
                <w:rFonts w:eastAsia="Times New Roman" w:cs="Times New Roman"/>
              </w:rPr>
              <w:t>3.046044</w:t>
            </w:r>
          </w:p>
        </w:tc>
      </w:tr>
      <w:tr w:rsidR="008C27A3" w:rsidRPr="008C27A3" w14:paraId="1AB4DFA2" w14:textId="77777777" w:rsidTr="008C27A3">
        <w:trPr>
          <w:trHeight w:val="380"/>
        </w:trPr>
        <w:tc>
          <w:tcPr>
            <w:tcW w:w="3780" w:type="dxa"/>
            <w:tcBorders>
              <w:top w:val="nil"/>
              <w:left w:val="nil"/>
              <w:bottom w:val="nil"/>
              <w:right w:val="single" w:sz="4" w:space="0" w:color="auto"/>
            </w:tcBorders>
            <w:shd w:val="clear" w:color="auto" w:fill="auto"/>
            <w:noWrap/>
            <w:vAlign w:val="bottom"/>
            <w:hideMark/>
          </w:tcPr>
          <w:p w14:paraId="2B701B26" w14:textId="77777777" w:rsidR="008C27A3" w:rsidRPr="008C27A3" w:rsidRDefault="008C27A3" w:rsidP="008C27A3">
            <w:pPr>
              <w:jc w:val="center"/>
              <w:rPr>
                <w:rFonts w:eastAsia="Times New Roman" w:cs="Times New Roman"/>
                <w:b/>
                <w:bCs/>
              </w:rPr>
            </w:pPr>
            <w:r w:rsidRPr="008C27A3">
              <w:rPr>
                <w:rFonts w:eastAsia="Times New Roman" w:cs="Times New Roman"/>
                <w:b/>
                <w:bCs/>
              </w:rPr>
              <w:t>PERMANOVA p-value</w:t>
            </w:r>
          </w:p>
        </w:tc>
        <w:tc>
          <w:tcPr>
            <w:tcW w:w="3180" w:type="dxa"/>
            <w:tcBorders>
              <w:top w:val="nil"/>
              <w:left w:val="nil"/>
              <w:bottom w:val="nil"/>
              <w:right w:val="nil"/>
            </w:tcBorders>
            <w:shd w:val="clear" w:color="auto" w:fill="auto"/>
            <w:noWrap/>
            <w:vAlign w:val="bottom"/>
            <w:hideMark/>
          </w:tcPr>
          <w:p w14:paraId="06CE3DBA" w14:textId="77777777" w:rsidR="008C27A3" w:rsidRPr="008C27A3" w:rsidRDefault="008C27A3" w:rsidP="008C27A3">
            <w:pPr>
              <w:jc w:val="right"/>
              <w:rPr>
                <w:rFonts w:eastAsia="Times New Roman" w:cs="Times New Roman"/>
                <w:b/>
                <w:bCs/>
              </w:rPr>
            </w:pPr>
            <w:r w:rsidRPr="008C27A3">
              <w:rPr>
                <w:rFonts w:eastAsia="Times New Roman" w:cs="Times New Roman"/>
                <w:b/>
                <w:bCs/>
              </w:rPr>
              <w:t>0.001</w:t>
            </w:r>
          </w:p>
        </w:tc>
        <w:tc>
          <w:tcPr>
            <w:tcW w:w="3180" w:type="dxa"/>
            <w:tcBorders>
              <w:top w:val="nil"/>
              <w:left w:val="nil"/>
              <w:bottom w:val="nil"/>
              <w:right w:val="nil"/>
            </w:tcBorders>
            <w:shd w:val="clear" w:color="auto" w:fill="auto"/>
            <w:noWrap/>
            <w:vAlign w:val="bottom"/>
            <w:hideMark/>
          </w:tcPr>
          <w:p w14:paraId="3122AF89" w14:textId="77777777" w:rsidR="008C27A3" w:rsidRPr="008C27A3" w:rsidRDefault="008C27A3" w:rsidP="008C27A3">
            <w:pPr>
              <w:jc w:val="right"/>
              <w:rPr>
                <w:rFonts w:eastAsia="Times New Roman" w:cs="Times New Roman"/>
              </w:rPr>
            </w:pPr>
            <w:r w:rsidRPr="008C27A3">
              <w:rPr>
                <w:rFonts w:eastAsia="Times New Roman" w:cs="Times New Roman"/>
              </w:rPr>
              <w:t>0.068</w:t>
            </w:r>
          </w:p>
        </w:tc>
      </w:tr>
      <w:tr w:rsidR="008C27A3" w:rsidRPr="008C27A3" w14:paraId="7E0F36BC" w14:textId="77777777" w:rsidTr="008C27A3">
        <w:trPr>
          <w:trHeight w:val="380"/>
        </w:trPr>
        <w:tc>
          <w:tcPr>
            <w:tcW w:w="3780" w:type="dxa"/>
            <w:tcBorders>
              <w:top w:val="nil"/>
              <w:left w:val="nil"/>
              <w:bottom w:val="nil"/>
              <w:right w:val="single" w:sz="4" w:space="0" w:color="auto"/>
            </w:tcBorders>
            <w:shd w:val="clear" w:color="auto" w:fill="auto"/>
            <w:noWrap/>
            <w:vAlign w:val="bottom"/>
            <w:hideMark/>
          </w:tcPr>
          <w:p w14:paraId="27F3FA8F" w14:textId="77777777" w:rsidR="008C27A3" w:rsidRPr="008C27A3" w:rsidRDefault="008C27A3" w:rsidP="008C27A3">
            <w:pPr>
              <w:jc w:val="center"/>
              <w:rPr>
                <w:rFonts w:eastAsia="Times New Roman" w:cs="Times New Roman"/>
                <w:b/>
                <w:bCs/>
              </w:rPr>
            </w:pPr>
            <w:r w:rsidRPr="008C27A3">
              <w:rPr>
                <w:rFonts w:eastAsia="Times New Roman" w:cs="Times New Roman"/>
                <w:b/>
                <w:bCs/>
              </w:rPr>
              <w:t>Beta-dispersion p-value</w:t>
            </w:r>
          </w:p>
        </w:tc>
        <w:tc>
          <w:tcPr>
            <w:tcW w:w="3180" w:type="dxa"/>
            <w:tcBorders>
              <w:top w:val="nil"/>
              <w:left w:val="nil"/>
              <w:bottom w:val="nil"/>
              <w:right w:val="nil"/>
            </w:tcBorders>
            <w:shd w:val="clear" w:color="auto" w:fill="auto"/>
            <w:noWrap/>
            <w:vAlign w:val="bottom"/>
            <w:hideMark/>
          </w:tcPr>
          <w:p w14:paraId="55DFF5F9" w14:textId="77777777" w:rsidR="008C27A3" w:rsidRPr="008C27A3" w:rsidRDefault="008C27A3" w:rsidP="008C27A3">
            <w:pPr>
              <w:jc w:val="right"/>
              <w:rPr>
                <w:rFonts w:eastAsia="Times New Roman" w:cs="Times New Roman"/>
              </w:rPr>
            </w:pPr>
            <w:r w:rsidRPr="008C27A3">
              <w:rPr>
                <w:rFonts w:eastAsia="Times New Roman" w:cs="Times New Roman"/>
              </w:rPr>
              <w:t>0.49</w:t>
            </w:r>
          </w:p>
        </w:tc>
        <w:tc>
          <w:tcPr>
            <w:tcW w:w="3180" w:type="dxa"/>
            <w:tcBorders>
              <w:top w:val="nil"/>
              <w:left w:val="nil"/>
              <w:bottom w:val="nil"/>
              <w:right w:val="nil"/>
            </w:tcBorders>
            <w:shd w:val="clear" w:color="auto" w:fill="auto"/>
            <w:noWrap/>
            <w:vAlign w:val="bottom"/>
            <w:hideMark/>
          </w:tcPr>
          <w:p w14:paraId="0BEC29E0" w14:textId="77777777" w:rsidR="008C27A3" w:rsidRPr="008C27A3" w:rsidRDefault="008C27A3" w:rsidP="008C27A3">
            <w:pPr>
              <w:jc w:val="right"/>
              <w:rPr>
                <w:rFonts w:eastAsia="Times New Roman" w:cs="Times New Roman"/>
              </w:rPr>
            </w:pPr>
            <w:r w:rsidRPr="008C27A3">
              <w:rPr>
                <w:rFonts w:eastAsia="Times New Roman" w:cs="Times New Roman"/>
              </w:rPr>
              <w:t>0.061</w:t>
            </w:r>
          </w:p>
        </w:tc>
      </w:tr>
      <w:tr w:rsidR="008C27A3" w:rsidRPr="008C27A3" w14:paraId="0D69B6ED" w14:textId="77777777" w:rsidTr="008C27A3">
        <w:trPr>
          <w:trHeight w:val="380"/>
        </w:trPr>
        <w:tc>
          <w:tcPr>
            <w:tcW w:w="3780" w:type="dxa"/>
            <w:tcBorders>
              <w:top w:val="nil"/>
              <w:left w:val="nil"/>
              <w:bottom w:val="nil"/>
              <w:right w:val="single" w:sz="4" w:space="0" w:color="auto"/>
            </w:tcBorders>
            <w:shd w:val="clear" w:color="auto" w:fill="auto"/>
            <w:noWrap/>
            <w:vAlign w:val="bottom"/>
            <w:hideMark/>
          </w:tcPr>
          <w:p w14:paraId="28B3CBA0" w14:textId="77777777" w:rsidR="008C27A3" w:rsidRPr="008C27A3" w:rsidRDefault="008C27A3" w:rsidP="008C27A3">
            <w:pPr>
              <w:jc w:val="center"/>
              <w:rPr>
                <w:rFonts w:eastAsia="Times New Roman" w:cs="Times New Roman"/>
                <w:b/>
                <w:bCs/>
              </w:rPr>
            </w:pPr>
            <w:r w:rsidRPr="008C27A3">
              <w:rPr>
                <w:rFonts w:eastAsia="Times New Roman" w:cs="Times New Roman"/>
                <w:b/>
                <w:bCs/>
              </w:rPr>
              <w:t>number of permutations</w:t>
            </w:r>
          </w:p>
        </w:tc>
        <w:tc>
          <w:tcPr>
            <w:tcW w:w="3180" w:type="dxa"/>
            <w:tcBorders>
              <w:top w:val="nil"/>
              <w:left w:val="nil"/>
              <w:bottom w:val="nil"/>
              <w:right w:val="nil"/>
            </w:tcBorders>
            <w:shd w:val="clear" w:color="auto" w:fill="auto"/>
            <w:noWrap/>
            <w:vAlign w:val="bottom"/>
            <w:hideMark/>
          </w:tcPr>
          <w:p w14:paraId="14978063" w14:textId="77777777" w:rsidR="008C27A3" w:rsidRPr="008C27A3" w:rsidRDefault="008C27A3" w:rsidP="008C27A3">
            <w:pPr>
              <w:jc w:val="right"/>
              <w:rPr>
                <w:rFonts w:eastAsia="Times New Roman" w:cs="Times New Roman"/>
              </w:rPr>
            </w:pPr>
            <w:r w:rsidRPr="008C27A3">
              <w:rPr>
                <w:rFonts w:eastAsia="Times New Roman" w:cs="Times New Roman"/>
              </w:rPr>
              <w:t>999</w:t>
            </w:r>
          </w:p>
        </w:tc>
        <w:tc>
          <w:tcPr>
            <w:tcW w:w="3180" w:type="dxa"/>
            <w:tcBorders>
              <w:top w:val="nil"/>
              <w:left w:val="nil"/>
              <w:bottom w:val="nil"/>
              <w:right w:val="nil"/>
            </w:tcBorders>
            <w:shd w:val="clear" w:color="auto" w:fill="auto"/>
            <w:noWrap/>
            <w:vAlign w:val="bottom"/>
            <w:hideMark/>
          </w:tcPr>
          <w:p w14:paraId="1324FF7A" w14:textId="77777777" w:rsidR="008C27A3" w:rsidRPr="008C27A3" w:rsidRDefault="008C27A3" w:rsidP="008C27A3">
            <w:pPr>
              <w:jc w:val="right"/>
              <w:rPr>
                <w:rFonts w:eastAsia="Times New Roman" w:cs="Times New Roman"/>
              </w:rPr>
            </w:pPr>
            <w:r w:rsidRPr="008C27A3">
              <w:rPr>
                <w:rFonts w:eastAsia="Times New Roman" w:cs="Times New Roman"/>
              </w:rPr>
              <w:t>999</w:t>
            </w:r>
          </w:p>
        </w:tc>
      </w:tr>
    </w:tbl>
    <w:p w14:paraId="2AB9AC62" w14:textId="77777777" w:rsidR="0087654E" w:rsidRPr="00A53C1D" w:rsidRDefault="0087654E" w:rsidP="0087654E">
      <w:pPr>
        <w:rPr>
          <w:rFonts w:cs="Times New Roman"/>
        </w:rPr>
      </w:pPr>
    </w:p>
    <w:p w14:paraId="05B42A90" w14:textId="77777777" w:rsidR="008C27A3" w:rsidRPr="00A53C1D" w:rsidRDefault="008C27A3" w:rsidP="0087654E">
      <w:pPr>
        <w:rPr>
          <w:rFonts w:cs="Times New Roman"/>
        </w:rPr>
      </w:pPr>
    </w:p>
    <w:p w14:paraId="5F3B6C17" w14:textId="77777777" w:rsidR="008C27A3" w:rsidRPr="00A53C1D" w:rsidRDefault="008C27A3" w:rsidP="0087654E">
      <w:pPr>
        <w:rPr>
          <w:rFonts w:cs="Times New Roman"/>
        </w:rPr>
      </w:pPr>
    </w:p>
    <w:p w14:paraId="1577A326" w14:textId="77777777" w:rsidR="008C27A3" w:rsidRPr="00A53C1D" w:rsidRDefault="008C27A3" w:rsidP="0087654E">
      <w:pPr>
        <w:rPr>
          <w:rFonts w:cs="Times New Roman"/>
        </w:rPr>
      </w:pPr>
    </w:p>
    <w:p w14:paraId="6FED059B" w14:textId="4F7E2EE9" w:rsidR="008C27A3" w:rsidRPr="00A53C1D" w:rsidRDefault="008C27A3" w:rsidP="008C27A3">
      <w:pPr>
        <w:rPr>
          <w:rFonts w:cs="Times New Roman"/>
          <w:b/>
          <w:bCs/>
        </w:rPr>
      </w:pPr>
      <w:r w:rsidRPr="00A53C1D">
        <w:rPr>
          <w:rFonts w:cs="Times New Roman"/>
          <w:b/>
          <w:bCs/>
        </w:rPr>
        <w:t xml:space="preserve">Table </w:t>
      </w:r>
      <w:r w:rsidR="00FD07E9">
        <w:rPr>
          <w:rFonts w:cs="Times New Roman"/>
          <w:b/>
          <w:bCs/>
        </w:rPr>
        <w:t>3.</w:t>
      </w:r>
      <w:r w:rsidRPr="00A53C1D">
        <w:rPr>
          <w:rFonts w:cs="Times New Roman"/>
          <w:b/>
          <w:bCs/>
        </w:rPr>
        <w:t>16 PERMANOVA and beta-dispersion results of La Chorrera samples with unweighted and weighted UniFrac distance matrix</w:t>
      </w:r>
    </w:p>
    <w:p w14:paraId="75E51504" w14:textId="72FD08D0" w:rsidR="008C27A3" w:rsidRPr="00A53C1D" w:rsidRDefault="008C27A3" w:rsidP="008C27A3">
      <w:pPr>
        <w:rPr>
          <w:rFonts w:cs="Times New Roman"/>
        </w:rPr>
      </w:pPr>
      <w:r w:rsidRPr="00A53C1D">
        <w:rPr>
          <w:rFonts w:cs="Times New Roman"/>
        </w:rPr>
        <w:t>Results highlighted in boldface indicate p-values of less than 0.05.</w:t>
      </w:r>
    </w:p>
    <w:p w14:paraId="26FC809D" w14:textId="77777777" w:rsidR="00AD47F1" w:rsidRPr="00A53C1D" w:rsidRDefault="00AD47F1" w:rsidP="008C27A3">
      <w:pPr>
        <w:rPr>
          <w:rFonts w:cs="Times New Roman"/>
        </w:rPr>
      </w:pPr>
    </w:p>
    <w:p w14:paraId="5F0D809B" w14:textId="77777777" w:rsidR="00AD47F1" w:rsidRPr="00A53C1D" w:rsidRDefault="00AD47F1" w:rsidP="008C27A3">
      <w:pPr>
        <w:rPr>
          <w:rFonts w:cs="Times New Roman"/>
        </w:rPr>
      </w:pPr>
    </w:p>
    <w:tbl>
      <w:tblPr>
        <w:tblW w:w="9900" w:type="dxa"/>
        <w:tblLook w:val="04A0" w:firstRow="1" w:lastRow="0" w:firstColumn="1" w:lastColumn="0" w:noHBand="0" w:noVBand="1"/>
      </w:tblPr>
      <w:tblGrid>
        <w:gridCol w:w="3940"/>
        <w:gridCol w:w="2980"/>
        <w:gridCol w:w="2980"/>
      </w:tblGrid>
      <w:tr w:rsidR="00AD47F1" w:rsidRPr="00AD47F1" w14:paraId="623CCFB0" w14:textId="77777777" w:rsidTr="00AD47F1">
        <w:trPr>
          <w:trHeight w:val="380"/>
        </w:trPr>
        <w:tc>
          <w:tcPr>
            <w:tcW w:w="3940" w:type="dxa"/>
            <w:tcBorders>
              <w:top w:val="nil"/>
              <w:left w:val="nil"/>
              <w:bottom w:val="nil"/>
              <w:right w:val="single" w:sz="4" w:space="0" w:color="auto"/>
            </w:tcBorders>
            <w:shd w:val="clear" w:color="auto" w:fill="auto"/>
            <w:noWrap/>
            <w:vAlign w:val="bottom"/>
            <w:hideMark/>
          </w:tcPr>
          <w:p w14:paraId="43A9757C" w14:textId="77777777" w:rsidR="00AD47F1" w:rsidRPr="00AD47F1" w:rsidRDefault="00AD47F1" w:rsidP="00AD47F1">
            <w:pPr>
              <w:jc w:val="center"/>
              <w:rPr>
                <w:rFonts w:eastAsia="Times New Roman" w:cs="Times New Roman"/>
                <w:b/>
                <w:bCs/>
              </w:rPr>
            </w:pPr>
            <w:r w:rsidRPr="00AD47F1">
              <w:rPr>
                <w:rFonts w:eastAsia="Times New Roman" w:cs="Times New Roman"/>
                <w:b/>
                <w:bCs/>
              </w:rPr>
              <w:t>PERMANOVA results</w:t>
            </w:r>
          </w:p>
        </w:tc>
        <w:tc>
          <w:tcPr>
            <w:tcW w:w="2980" w:type="dxa"/>
            <w:tcBorders>
              <w:top w:val="nil"/>
              <w:left w:val="nil"/>
              <w:bottom w:val="nil"/>
              <w:right w:val="nil"/>
            </w:tcBorders>
            <w:shd w:val="clear" w:color="auto" w:fill="auto"/>
            <w:noWrap/>
            <w:vAlign w:val="bottom"/>
            <w:hideMark/>
          </w:tcPr>
          <w:p w14:paraId="570CFA73" w14:textId="77777777" w:rsidR="00AD47F1" w:rsidRPr="00AD47F1" w:rsidRDefault="00AD47F1" w:rsidP="00AD47F1">
            <w:pPr>
              <w:jc w:val="center"/>
              <w:rPr>
                <w:rFonts w:eastAsia="Times New Roman" w:cs="Times New Roman"/>
                <w:b/>
                <w:bCs/>
              </w:rPr>
            </w:pPr>
          </w:p>
        </w:tc>
        <w:tc>
          <w:tcPr>
            <w:tcW w:w="2980" w:type="dxa"/>
            <w:tcBorders>
              <w:top w:val="nil"/>
              <w:left w:val="nil"/>
              <w:bottom w:val="nil"/>
              <w:right w:val="nil"/>
            </w:tcBorders>
            <w:shd w:val="clear" w:color="auto" w:fill="auto"/>
            <w:noWrap/>
            <w:vAlign w:val="bottom"/>
            <w:hideMark/>
          </w:tcPr>
          <w:p w14:paraId="27F0F6E7" w14:textId="77777777" w:rsidR="00AD47F1" w:rsidRPr="00AD47F1" w:rsidRDefault="00AD47F1" w:rsidP="00AD47F1">
            <w:pPr>
              <w:rPr>
                <w:rFonts w:eastAsia="Times New Roman" w:cs="Times New Roman"/>
              </w:rPr>
            </w:pPr>
          </w:p>
        </w:tc>
      </w:tr>
      <w:tr w:rsidR="00AD47F1" w:rsidRPr="00AD47F1" w14:paraId="7E5BBB30" w14:textId="77777777" w:rsidTr="00AD47F1">
        <w:trPr>
          <w:trHeight w:val="380"/>
        </w:trPr>
        <w:tc>
          <w:tcPr>
            <w:tcW w:w="3940" w:type="dxa"/>
            <w:tcBorders>
              <w:top w:val="nil"/>
              <w:left w:val="nil"/>
              <w:bottom w:val="single" w:sz="4" w:space="0" w:color="auto"/>
              <w:right w:val="single" w:sz="4" w:space="0" w:color="auto"/>
            </w:tcBorders>
            <w:shd w:val="clear" w:color="auto" w:fill="auto"/>
            <w:noWrap/>
            <w:vAlign w:val="bottom"/>
            <w:hideMark/>
          </w:tcPr>
          <w:p w14:paraId="51F86F9F" w14:textId="77777777" w:rsidR="00AD47F1" w:rsidRPr="00AD47F1" w:rsidRDefault="00AD47F1" w:rsidP="00AD47F1">
            <w:pPr>
              <w:jc w:val="center"/>
              <w:rPr>
                <w:rFonts w:eastAsia="Times New Roman" w:cs="Times New Roman"/>
                <w:b/>
                <w:bCs/>
              </w:rPr>
            </w:pPr>
            <w:r w:rsidRPr="00AD47F1">
              <w:rPr>
                <w:rFonts w:eastAsia="Times New Roman" w:cs="Times New Roman"/>
                <w:b/>
                <w:bCs/>
              </w:rPr>
              <w:t>Distance matrix</w:t>
            </w:r>
          </w:p>
        </w:tc>
        <w:tc>
          <w:tcPr>
            <w:tcW w:w="2980" w:type="dxa"/>
            <w:tcBorders>
              <w:top w:val="nil"/>
              <w:left w:val="nil"/>
              <w:bottom w:val="single" w:sz="4" w:space="0" w:color="auto"/>
              <w:right w:val="nil"/>
            </w:tcBorders>
            <w:shd w:val="clear" w:color="auto" w:fill="auto"/>
            <w:noWrap/>
            <w:vAlign w:val="bottom"/>
            <w:hideMark/>
          </w:tcPr>
          <w:p w14:paraId="42DF1B0D" w14:textId="77777777" w:rsidR="00AD47F1" w:rsidRPr="00AD47F1" w:rsidRDefault="00AD47F1" w:rsidP="00AD47F1">
            <w:pPr>
              <w:rPr>
                <w:rFonts w:eastAsia="Times New Roman" w:cs="Times New Roman"/>
              </w:rPr>
            </w:pPr>
            <w:r w:rsidRPr="00AD47F1">
              <w:rPr>
                <w:rFonts w:eastAsia="Times New Roman" w:cs="Times New Roman"/>
              </w:rPr>
              <w:t>Unweighted UniFrac</w:t>
            </w:r>
          </w:p>
        </w:tc>
        <w:tc>
          <w:tcPr>
            <w:tcW w:w="2980" w:type="dxa"/>
            <w:tcBorders>
              <w:top w:val="nil"/>
              <w:left w:val="nil"/>
              <w:bottom w:val="single" w:sz="4" w:space="0" w:color="auto"/>
              <w:right w:val="nil"/>
            </w:tcBorders>
            <w:shd w:val="clear" w:color="auto" w:fill="auto"/>
            <w:noWrap/>
            <w:vAlign w:val="bottom"/>
            <w:hideMark/>
          </w:tcPr>
          <w:p w14:paraId="041D97F8" w14:textId="77777777" w:rsidR="00AD47F1" w:rsidRPr="00AD47F1" w:rsidRDefault="00AD47F1" w:rsidP="00AD47F1">
            <w:pPr>
              <w:rPr>
                <w:rFonts w:eastAsia="Times New Roman" w:cs="Times New Roman"/>
              </w:rPr>
            </w:pPr>
            <w:r w:rsidRPr="00AD47F1">
              <w:rPr>
                <w:rFonts w:eastAsia="Times New Roman" w:cs="Times New Roman"/>
              </w:rPr>
              <w:t>Weighted UniFrac</w:t>
            </w:r>
          </w:p>
        </w:tc>
      </w:tr>
      <w:tr w:rsidR="00AD47F1" w:rsidRPr="00AD47F1" w14:paraId="11FC97B4" w14:textId="77777777" w:rsidTr="00AD47F1">
        <w:trPr>
          <w:trHeight w:val="380"/>
        </w:trPr>
        <w:tc>
          <w:tcPr>
            <w:tcW w:w="3940" w:type="dxa"/>
            <w:tcBorders>
              <w:top w:val="nil"/>
              <w:left w:val="nil"/>
              <w:bottom w:val="nil"/>
              <w:right w:val="single" w:sz="4" w:space="0" w:color="auto"/>
            </w:tcBorders>
            <w:shd w:val="clear" w:color="auto" w:fill="auto"/>
            <w:noWrap/>
            <w:vAlign w:val="bottom"/>
            <w:hideMark/>
          </w:tcPr>
          <w:p w14:paraId="20292630" w14:textId="77777777" w:rsidR="00AD47F1" w:rsidRPr="00AD47F1" w:rsidRDefault="00AD47F1" w:rsidP="00AD47F1">
            <w:pPr>
              <w:jc w:val="center"/>
              <w:rPr>
                <w:rFonts w:eastAsia="Times New Roman" w:cs="Times New Roman"/>
                <w:b/>
                <w:bCs/>
              </w:rPr>
            </w:pPr>
            <w:r w:rsidRPr="00AD47F1">
              <w:rPr>
                <w:rFonts w:eastAsia="Times New Roman" w:cs="Times New Roman"/>
                <w:b/>
                <w:bCs/>
              </w:rPr>
              <w:t>test statistic name</w:t>
            </w:r>
          </w:p>
        </w:tc>
        <w:tc>
          <w:tcPr>
            <w:tcW w:w="2980" w:type="dxa"/>
            <w:tcBorders>
              <w:top w:val="nil"/>
              <w:left w:val="nil"/>
              <w:bottom w:val="nil"/>
              <w:right w:val="nil"/>
            </w:tcBorders>
            <w:shd w:val="clear" w:color="auto" w:fill="auto"/>
            <w:noWrap/>
            <w:vAlign w:val="bottom"/>
            <w:hideMark/>
          </w:tcPr>
          <w:p w14:paraId="65AABBC1" w14:textId="77777777" w:rsidR="00AD47F1" w:rsidRPr="00AD47F1" w:rsidRDefault="00AD47F1" w:rsidP="00AD47F1">
            <w:pPr>
              <w:rPr>
                <w:rFonts w:eastAsia="Times New Roman" w:cs="Times New Roman"/>
              </w:rPr>
            </w:pPr>
            <w:r w:rsidRPr="00AD47F1">
              <w:rPr>
                <w:rFonts w:eastAsia="Times New Roman" w:cs="Times New Roman"/>
              </w:rPr>
              <w:t>pseudo-F</w:t>
            </w:r>
          </w:p>
        </w:tc>
        <w:tc>
          <w:tcPr>
            <w:tcW w:w="2980" w:type="dxa"/>
            <w:tcBorders>
              <w:top w:val="nil"/>
              <w:left w:val="nil"/>
              <w:bottom w:val="nil"/>
              <w:right w:val="nil"/>
            </w:tcBorders>
            <w:shd w:val="clear" w:color="auto" w:fill="auto"/>
            <w:noWrap/>
            <w:vAlign w:val="bottom"/>
            <w:hideMark/>
          </w:tcPr>
          <w:p w14:paraId="61F1BD6B" w14:textId="77777777" w:rsidR="00AD47F1" w:rsidRPr="00AD47F1" w:rsidRDefault="00AD47F1" w:rsidP="00AD47F1">
            <w:pPr>
              <w:rPr>
                <w:rFonts w:eastAsia="Times New Roman" w:cs="Times New Roman"/>
              </w:rPr>
            </w:pPr>
            <w:r w:rsidRPr="00AD47F1">
              <w:rPr>
                <w:rFonts w:eastAsia="Times New Roman" w:cs="Times New Roman"/>
              </w:rPr>
              <w:t>pseudo-F</w:t>
            </w:r>
          </w:p>
        </w:tc>
      </w:tr>
      <w:tr w:rsidR="00AD47F1" w:rsidRPr="00AD47F1" w14:paraId="71FF3352" w14:textId="77777777" w:rsidTr="00AD47F1">
        <w:trPr>
          <w:trHeight w:val="380"/>
        </w:trPr>
        <w:tc>
          <w:tcPr>
            <w:tcW w:w="3940" w:type="dxa"/>
            <w:tcBorders>
              <w:top w:val="nil"/>
              <w:left w:val="nil"/>
              <w:bottom w:val="nil"/>
              <w:right w:val="single" w:sz="4" w:space="0" w:color="auto"/>
            </w:tcBorders>
            <w:shd w:val="clear" w:color="auto" w:fill="auto"/>
            <w:noWrap/>
            <w:vAlign w:val="bottom"/>
            <w:hideMark/>
          </w:tcPr>
          <w:p w14:paraId="22548219" w14:textId="77777777" w:rsidR="00AD47F1" w:rsidRPr="00AD47F1" w:rsidRDefault="00AD47F1" w:rsidP="00AD47F1">
            <w:pPr>
              <w:jc w:val="center"/>
              <w:rPr>
                <w:rFonts w:eastAsia="Times New Roman" w:cs="Times New Roman"/>
                <w:b/>
                <w:bCs/>
              </w:rPr>
            </w:pPr>
            <w:r w:rsidRPr="00AD47F1">
              <w:rPr>
                <w:rFonts w:eastAsia="Times New Roman" w:cs="Times New Roman"/>
                <w:b/>
                <w:bCs/>
              </w:rPr>
              <w:t>sample size</w:t>
            </w:r>
          </w:p>
        </w:tc>
        <w:tc>
          <w:tcPr>
            <w:tcW w:w="2980" w:type="dxa"/>
            <w:tcBorders>
              <w:top w:val="nil"/>
              <w:left w:val="nil"/>
              <w:bottom w:val="nil"/>
              <w:right w:val="nil"/>
            </w:tcBorders>
            <w:shd w:val="clear" w:color="auto" w:fill="auto"/>
            <w:noWrap/>
            <w:vAlign w:val="bottom"/>
            <w:hideMark/>
          </w:tcPr>
          <w:p w14:paraId="1F0FCB48" w14:textId="77777777" w:rsidR="00AD47F1" w:rsidRPr="00AD47F1" w:rsidRDefault="00AD47F1" w:rsidP="00AD47F1">
            <w:pPr>
              <w:jc w:val="right"/>
              <w:rPr>
                <w:rFonts w:eastAsia="Times New Roman" w:cs="Times New Roman"/>
              </w:rPr>
            </w:pPr>
            <w:r w:rsidRPr="00AD47F1">
              <w:rPr>
                <w:rFonts w:eastAsia="Times New Roman" w:cs="Times New Roman"/>
              </w:rPr>
              <w:t>116</w:t>
            </w:r>
          </w:p>
        </w:tc>
        <w:tc>
          <w:tcPr>
            <w:tcW w:w="2980" w:type="dxa"/>
            <w:tcBorders>
              <w:top w:val="nil"/>
              <w:left w:val="nil"/>
              <w:bottom w:val="nil"/>
              <w:right w:val="nil"/>
            </w:tcBorders>
            <w:shd w:val="clear" w:color="auto" w:fill="auto"/>
            <w:noWrap/>
            <w:vAlign w:val="bottom"/>
            <w:hideMark/>
          </w:tcPr>
          <w:p w14:paraId="3BF64699" w14:textId="77777777" w:rsidR="00AD47F1" w:rsidRPr="00AD47F1" w:rsidRDefault="00AD47F1" w:rsidP="00AD47F1">
            <w:pPr>
              <w:jc w:val="right"/>
              <w:rPr>
                <w:rFonts w:eastAsia="Times New Roman" w:cs="Times New Roman"/>
              </w:rPr>
            </w:pPr>
            <w:r w:rsidRPr="00AD47F1">
              <w:rPr>
                <w:rFonts w:eastAsia="Times New Roman" w:cs="Times New Roman"/>
              </w:rPr>
              <w:t>116</w:t>
            </w:r>
          </w:p>
        </w:tc>
      </w:tr>
      <w:tr w:rsidR="00AD47F1" w:rsidRPr="00AD47F1" w14:paraId="06A2A553" w14:textId="77777777" w:rsidTr="00AD47F1">
        <w:trPr>
          <w:trHeight w:val="380"/>
        </w:trPr>
        <w:tc>
          <w:tcPr>
            <w:tcW w:w="3940" w:type="dxa"/>
            <w:tcBorders>
              <w:top w:val="nil"/>
              <w:left w:val="nil"/>
              <w:bottom w:val="nil"/>
              <w:right w:val="single" w:sz="4" w:space="0" w:color="auto"/>
            </w:tcBorders>
            <w:shd w:val="clear" w:color="auto" w:fill="auto"/>
            <w:noWrap/>
            <w:vAlign w:val="bottom"/>
            <w:hideMark/>
          </w:tcPr>
          <w:p w14:paraId="6660C586" w14:textId="77777777" w:rsidR="00AD47F1" w:rsidRPr="00AD47F1" w:rsidRDefault="00AD47F1" w:rsidP="00AD47F1">
            <w:pPr>
              <w:jc w:val="center"/>
              <w:rPr>
                <w:rFonts w:eastAsia="Times New Roman" w:cs="Times New Roman"/>
                <w:b/>
                <w:bCs/>
              </w:rPr>
            </w:pPr>
            <w:r w:rsidRPr="00AD47F1">
              <w:rPr>
                <w:rFonts w:eastAsia="Times New Roman" w:cs="Times New Roman"/>
                <w:b/>
                <w:bCs/>
              </w:rPr>
              <w:t>number of groups</w:t>
            </w:r>
          </w:p>
        </w:tc>
        <w:tc>
          <w:tcPr>
            <w:tcW w:w="2980" w:type="dxa"/>
            <w:tcBorders>
              <w:top w:val="nil"/>
              <w:left w:val="nil"/>
              <w:bottom w:val="nil"/>
              <w:right w:val="nil"/>
            </w:tcBorders>
            <w:shd w:val="clear" w:color="auto" w:fill="auto"/>
            <w:noWrap/>
            <w:vAlign w:val="bottom"/>
            <w:hideMark/>
          </w:tcPr>
          <w:p w14:paraId="2986A5E2" w14:textId="77777777" w:rsidR="00AD47F1" w:rsidRPr="00AD47F1" w:rsidRDefault="00AD47F1" w:rsidP="00AD47F1">
            <w:pPr>
              <w:jc w:val="right"/>
              <w:rPr>
                <w:rFonts w:eastAsia="Times New Roman" w:cs="Times New Roman"/>
              </w:rPr>
            </w:pPr>
            <w:r w:rsidRPr="00AD47F1">
              <w:rPr>
                <w:rFonts w:eastAsia="Times New Roman" w:cs="Times New Roman"/>
              </w:rPr>
              <w:t>2</w:t>
            </w:r>
          </w:p>
        </w:tc>
        <w:tc>
          <w:tcPr>
            <w:tcW w:w="2980" w:type="dxa"/>
            <w:tcBorders>
              <w:top w:val="nil"/>
              <w:left w:val="nil"/>
              <w:bottom w:val="nil"/>
              <w:right w:val="nil"/>
            </w:tcBorders>
            <w:shd w:val="clear" w:color="auto" w:fill="auto"/>
            <w:noWrap/>
            <w:vAlign w:val="bottom"/>
            <w:hideMark/>
          </w:tcPr>
          <w:p w14:paraId="2D96A0C6" w14:textId="77777777" w:rsidR="00AD47F1" w:rsidRPr="00AD47F1" w:rsidRDefault="00AD47F1" w:rsidP="00AD47F1">
            <w:pPr>
              <w:jc w:val="right"/>
              <w:rPr>
                <w:rFonts w:eastAsia="Times New Roman" w:cs="Times New Roman"/>
              </w:rPr>
            </w:pPr>
            <w:r w:rsidRPr="00AD47F1">
              <w:rPr>
                <w:rFonts w:eastAsia="Times New Roman" w:cs="Times New Roman"/>
              </w:rPr>
              <w:t>2</w:t>
            </w:r>
          </w:p>
        </w:tc>
      </w:tr>
      <w:tr w:rsidR="00AD47F1" w:rsidRPr="00AD47F1" w14:paraId="672ADB50" w14:textId="77777777" w:rsidTr="00AD47F1">
        <w:trPr>
          <w:trHeight w:val="380"/>
        </w:trPr>
        <w:tc>
          <w:tcPr>
            <w:tcW w:w="3940" w:type="dxa"/>
            <w:tcBorders>
              <w:top w:val="nil"/>
              <w:left w:val="nil"/>
              <w:bottom w:val="nil"/>
              <w:right w:val="single" w:sz="4" w:space="0" w:color="auto"/>
            </w:tcBorders>
            <w:shd w:val="clear" w:color="auto" w:fill="auto"/>
            <w:noWrap/>
            <w:vAlign w:val="bottom"/>
            <w:hideMark/>
          </w:tcPr>
          <w:p w14:paraId="28AD0904" w14:textId="77777777" w:rsidR="00AD47F1" w:rsidRPr="00AD47F1" w:rsidRDefault="00AD47F1" w:rsidP="00AD47F1">
            <w:pPr>
              <w:jc w:val="center"/>
              <w:rPr>
                <w:rFonts w:eastAsia="Times New Roman" w:cs="Times New Roman"/>
                <w:b/>
                <w:bCs/>
              </w:rPr>
            </w:pPr>
            <w:r w:rsidRPr="00AD47F1">
              <w:rPr>
                <w:rFonts w:eastAsia="Times New Roman" w:cs="Times New Roman"/>
                <w:b/>
                <w:bCs/>
              </w:rPr>
              <w:t>test statistic</w:t>
            </w:r>
          </w:p>
        </w:tc>
        <w:tc>
          <w:tcPr>
            <w:tcW w:w="2980" w:type="dxa"/>
            <w:tcBorders>
              <w:top w:val="nil"/>
              <w:left w:val="nil"/>
              <w:bottom w:val="nil"/>
              <w:right w:val="nil"/>
            </w:tcBorders>
            <w:shd w:val="clear" w:color="auto" w:fill="auto"/>
            <w:noWrap/>
            <w:vAlign w:val="bottom"/>
            <w:hideMark/>
          </w:tcPr>
          <w:p w14:paraId="113FAA35" w14:textId="77777777" w:rsidR="00AD47F1" w:rsidRPr="00AD47F1" w:rsidRDefault="00AD47F1" w:rsidP="00AD47F1">
            <w:pPr>
              <w:jc w:val="right"/>
              <w:rPr>
                <w:rFonts w:eastAsia="Times New Roman" w:cs="Times New Roman"/>
              </w:rPr>
            </w:pPr>
            <w:r w:rsidRPr="00AD47F1">
              <w:rPr>
                <w:rFonts w:eastAsia="Times New Roman" w:cs="Times New Roman"/>
              </w:rPr>
              <w:t>2.754805</w:t>
            </w:r>
          </w:p>
        </w:tc>
        <w:tc>
          <w:tcPr>
            <w:tcW w:w="2980" w:type="dxa"/>
            <w:tcBorders>
              <w:top w:val="nil"/>
              <w:left w:val="nil"/>
              <w:bottom w:val="nil"/>
              <w:right w:val="nil"/>
            </w:tcBorders>
            <w:shd w:val="clear" w:color="auto" w:fill="auto"/>
            <w:noWrap/>
            <w:vAlign w:val="bottom"/>
            <w:hideMark/>
          </w:tcPr>
          <w:p w14:paraId="52717F3B" w14:textId="77777777" w:rsidR="00AD47F1" w:rsidRPr="00AD47F1" w:rsidRDefault="00AD47F1" w:rsidP="00AD47F1">
            <w:pPr>
              <w:jc w:val="right"/>
              <w:rPr>
                <w:rFonts w:eastAsia="Times New Roman" w:cs="Times New Roman"/>
              </w:rPr>
            </w:pPr>
            <w:r w:rsidRPr="00AD47F1">
              <w:rPr>
                <w:rFonts w:eastAsia="Times New Roman" w:cs="Times New Roman"/>
              </w:rPr>
              <w:t>1.909703</w:t>
            </w:r>
          </w:p>
        </w:tc>
      </w:tr>
      <w:tr w:rsidR="00AD47F1" w:rsidRPr="00AD47F1" w14:paraId="4085BA67" w14:textId="77777777" w:rsidTr="00AD47F1">
        <w:trPr>
          <w:trHeight w:val="380"/>
        </w:trPr>
        <w:tc>
          <w:tcPr>
            <w:tcW w:w="3940" w:type="dxa"/>
            <w:tcBorders>
              <w:top w:val="nil"/>
              <w:left w:val="nil"/>
              <w:bottom w:val="nil"/>
              <w:right w:val="single" w:sz="4" w:space="0" w:color="auto"/>
            </w:tcBorders>
            <w:shd w:val="clear" w:color="auto" w:fill="auto"/>
            <w:noWrap/>
            <w:vAlign w:val="bottom"/>
            <w:hideMark/>
          </w:tcPr>
          <w:p w14:paraId="722C86F1" w14:textId="77777777" w:rsidR="00AD47F1" w:rsidRPr="00AD47F1" w:rsidRDefault="00AD47F1" w:rsidP="00AD47F1">
            <w:pPr>
              <w:jc w:val="center"/>
              <w:rPr>
                <w:rFonts w:eastAsia="Times New Roman" w:cs="Times New Roman"/>
                <w:b/>
                <w:bCs/>
              </w:rPr>
            </w:pPr>
            <w:r w:rsidRPr="00AD47F1">
              <w:rPr>
                <w:rFonts w:eastAsia="Times New Roman" w:cs="Times New Roman"/>
                <w:b/>
                <w:bCs/>
              </w:rPr>
              <w:t>PERMANOVA p-value</w:t>
            </w:r>
          </w:p>
        </w:tc>
        <w:tc>
          <w:tcPr>
            <w:tcW w:w="2980" w:type="dxa"/>
            <w:tcBorders>
              <w:top w:val="nil"/>
              <w:left w:val="nil"/>
              <w:bottom w:val="nil"/>
              <w:right w:val="nil"/>
            </w:tcBorders>
            <w:shd w:val="clear" w:color="auto" w:fill="auto"/>
            <w:noWrap/>
            <w:vAlign w:val="bottom"/>
            <w:hideMark/>
          </w:tcPr>
          <w:p w14:paraId="3141C78F" w14:textId="77777777" w:rsidR="00AD47F1" w:rsidRPr="00AD47F1" w:rsidRDefault="00AD47F1" w:rsidP="00AD47F1">
            <w:pPr>
              <w:jc w:val="right"/>
              <w:rPr>
                <w:rFonts w:eastAsia="Times New Roman" w:cs="Times New Roman"/>
                <w:b/>
                <w:bCs/>
              </w:rPr>
            </w:pPr>
            <w:r w:rsidRPr="00AD47F1">
              <w:rPr>
                <w:rFonts w:eastAsia="Times New Roman" w:cs="Times New Roman"/>
                <w:b/>
                <w:bCs/>
              </w:rPr>
              <w:t>0.004</w:t>
            </w:r>
          </w:p>
        </w:tc>
        <w:tc>
          <w:tcPr>
            <w:tcW w:w="2980" w:type="dxa"/>
            <w:tcBorders>
              <w:top w:val="nil"/>
              <w:left w:val="nil"/>
              <w:bottom w:val="nil"/>
              <w:right w:val="nil"/>
            </w:tcBorders>
            <w:shd w:val="clear" w:color="auto" w:fill="auto"/>
            <w:noWrap/>
            <w:vAlign w:val="bottom"/>
            <w:hideMark/>
          </w:tcPr>
          <w:p w14:paraId="4391841A" w14:textId="77777777" w:rsidR="00AD47F1" w:rsidRPr="00AD47F1" w:rsidRDefault="00AD47F1" w:rsidP="00AD47F1">
            <w:pPr>
              <w:jc w:val="right"/>
              <w:rPr>
                <w:rFonts w:eastAsia="Times New Roman" w:cs="Times New Roman"/>
              </w:rPr>
            </w:pPr>
            <w:r w:rsidRPr="00AD47F1">
              <w:rPr>
                <w:rFonts w:eastAsia="Times New Roman" w:cs="Times New Roman"/>
              </w:rPr>
              <w:t>0.07</w:t>
            </w:r>
          </w:p>
        </w:tc>
      </w:tr>
      <w:tr w:rsidR="00AD47F1" w:rsidRPr="00AD47F1" w14:paraId="73EDF859" w14:textId="77777777" w:rsidTr="00AD47F1">
        <w:trPr>
          <w:trHeight w:val="380"/>
        </w:trPr>
        <w:tc>
          <w:tcPr>
            <w:tcW w:w="3940" w:type="dxa"/>
            <w:tcBorders>
              <w:top w:val="nil"/>
              <w:left w:val="nil"/>
              <w:bottom w:val="nil"/>
              <w:right w:val="single" w:sz="4" w:space="0" w:color="auto"/>
            </w:tcBorders>
            <w:shd w:val="clear" w:color="auto" w:fill="auto"/>
            <w:noWrap/>
            <w:vAlign w:val="bottom"/>
            <w:hideMark/>
          </w:tcPr>
          <w:p w14:paraId="654CDCE7" w14:textId="77777777" w:rsidR="00AD47F1" w:rsidRPr="00AD47F1" w:rsidRDefault="00AD47F1" w:rsidP="00AD47F1">
            <w:pPr>
              <w:jc w:val="center"/>
              <w:rPr>
                <w:rFonts w:eastAsia="Times New Roman" w:cs="Times New Roman"/>
                <w:b/>
                <w:bCs/>
              </w:rPr>
            </w:pPr>
            <w:r w:rsidRPr="00AD47F1">
              <w:rPr>
                <w:rFonts w:eastAsia="Times New Roman" w:cs="Times New Roman"/>
                <w:b/>
                <w:bCs/>
              </w:rPr>
              <w:t>Beta-dispersion p-value</w:t>
            </w:r>
          </w:p>
        </w:tc>
        <w:tc>
          <w:tcPr>
            <w:tcW w:w="2980" w:type="dxa"/>
            <w:tcBorders>
              <w:top w:val="nil"/>
              <w:left w:val="nil"/>
              <w:bottom w:val="nil"/>
              <w:right w:val="nil"/>
            </w:tcBorders>
            <w:shd w:val="clear" w:color="auto" w:fill="auto"/>
            <w:noWrap/>
            <w:vAlign w:val="bottom"/>
            <w:hideMark/>
          </w:tcPr>
          <w:p w14:paraId="50C381CD" w14:textId="77777777" w:rsidR="00AD47F1" w:rsidRPr="00AD47F1" w:rsidRDefault="00AD47F1" w:rsidP="00AD47F1">
            <w:pPr>
              <w:jc w:val="right"/>
              <w:rPr>
                <w:rFonts w:eastAsia="Times New Roman" w:cs="Times New Roman"/>
              </w:rPr>
            </w:pPr>
            <w:r w:rsidRPr="00AD47F1">
              <w:rPr>
                <w:rFonts w:eastAsia="Times New Roman" w:cs="Times New Roman"/>
              </w:rPr>
              <w:t>0.152</w:t>
            </w:r>
          </w:p>
        </w:tc>
        <w:tc>
          <w:tcPr>
            <w:tcW w:w="2980" w:type="dxa"/>
            <w:tcBorders>
              <w:top w:val="nil"/>
              <w:left w:val="nil"/>
              <w:bottom w:val="nil"/>
              <w:right w:val="nil"/>
            </w:tcBorders>
            <w:shd w:val="clear" w:color="auto" w:fill="auto"/>
            <w:noWrap/>
            <w:vAlign w:val="bottom"/>
            <w:hideMark/>
          </w:tcPr>
          <w:p w14:paraId="77578749" w14:textId="77777777" w:rsidR="00AD47F1" w:rsidRPr="00AD47F1" w:rsidRDefault="00AD47F1" w:rsidP="00AD47F1">
            <w:pPr>
              <w:jc w:val="right"/>
              <w:rPr>
                <w:rFonts w:eastAsia="Times New Roman" w:cs="Times New Roman"/>
              </w:rPr>
            </w:pPr>
            <w:r w:rsidRPr="00AD47F1">
              <w:rPr>
                <w:rFonts w:eastAsia="Times New Roman" w:cs="Times New Roman"/>
              </w:rPr>
              <w:t>0.129</w:t>
            </w:r>
          </w:p>
        </w:tc>
      </w:tr>
      <w:tr w:rsidR="00AD47F1" w:rsidRPr="00AD47F1" w14:paraId="7C1F6E6C" w14:textId="77777777" w:rsidTr="00AD47F1">
        <w:trPr>
          <w:trHeight w:val="380"/>
        </w:trPr>
        <w:tc>
          <w:tcPr>
            <w:tcW w:w="3940" w:type="dxa"/>
            <w:tcBorders>
              <w:top w:val="nil"/>
              <w:left w:val="nil"/>
              <w:bottom w:val="nil"/>
              <w:right w:val="single" w:sz="4" w:space="0" w:color="auto"/>
            </w:tcBorders>
            <w:shd w:val="clear" w:color="auto" w:fill="auto"/>
            <w:noWrap/>
            <w:vAlign w:val="bottom"/>
            <w:hideMark/>
          </w:tcPr>
          <w:p w14:paraId="0B5D5FDA" w14:textId="77777777" w:rsidR="00AD47F1" w:rsidRPr="00AD47F1" w:rsidRDefault="00AD47F1" w:rsidP="00AD47F1">
            <w:pPr>
              <w:jc w:val="center"/>
              <w:rPr>
                <w:rFonts w:eastAsia="Times New Roman" w:cs="Times New Roman"/>
                <w:b/>
                <w:bCs/>
              </w:rPr>
            </w:pPr>
            <w:r w:rsidRPr="00AD47F1">
              <w:rPr>
                <w:rFonts w:eastAsia="Times New Roman" w:cs="Times New Roman"/>
                <w:b/>
                <w:bCs/>
              </w:rPr>
              <w:t>number of permutations</w:t>
            </w:r>
          </w:p>
        </w:tc>
        <w:tc>
          <w:tcPr>
            <w:tcW w:w="2980" w:type="dxa"/>
            <w:tcBorders>
              <w:top w:val="nil"/>
              <w:left w:val="nil"/>
              <w:bottom w:val="nil"/>
              <w:right w:val="nil"/>
            </w:tcBorders>
            <w:shd w:val="clear" w:color="auto" w:fill="auto"/>
            <w:noWrap/>
            <w:vAlign w:val="bottom"/>
            <w:hideMark/>
          </w:tcPr>
          <w:p w14:paraId="1832E8DE" w14:textId="77777777" w:rsidR="00AD47F1" w:rsidRPr="00AD47F1" w:rsidRDefault="00AD47F1" w:rsidP="00AD47F1">
            <w:pPr>
              <w:jc w:val="right"/>
              <w:rPr>
                <w:rFonts w:eastAsia="Times New Roman" w:cs="Times New Roman"/>
              </w:rPr>
            </w:pPr>
            <w:r w:rsidRPr="00AD47F1">
              <w:rPr>
                <w:rFonts w:eastAsia="Times New Roman" w:cs="Times New Roman"/>
              </w:rPr>
              <w:t>999</w:t>
            </w:r>
          </w:p>
        </w:tc>
        <w:tc>
          <w:tcPr>
            <w:tcW w:w="2980" w:type="dxa"/>
            <w:tcBorders>
              <w:top w:val="nil"/>
              <w:left w:val="nil"/>
              <w:bottom w:val="nil"/>
              <w:right w:val="nil"/>
            </w:tcBorders>
            <w:shd w:val="clear" w:color="auto" w:fill="auto"/>
            <w:noWrap/>
            <w:vAlign w:val="bottom"/>
            <w:hideMark/>
          </w:tcPr>
          <w:p w14:paraId="741C48BD" w14:textId="77777777" w:rsidR="00AD47F1" w:rsidRPr="00AD47F1" w:rsidRDefault="00AD47F1" w:rsidP="00AD47F1">
            <w:pPr>
              <w:jc w:val="right"/>
              <w:rPr>
                <w:rFonts w:eastAsia="Times New Roman" w:cs="Times New Roman"/>
              </w:rPr>
            </w:pPr>
            <w:r w:rsidRPr="00AD47F1">
              <w:rPr>
                <w:rFonts w:eastAsia="Times New Roman" w:cs="Times New Roman"/>
              </w:rPr>
              <w:t>999</w:t>
            </w:r>
          </w:p>
        </w:tc>
      </w:tr>
    </w:tbl>
    <w:p w14:paraId="6BF17F75" w14:textId="77777777" w:rsidR="00AD47F1" w:rsidRPr="00A53C1D" w:rsidRDefault="00AD47F1" w:rsidP="008C27A3">
      <w:pPr>
        <w:rPr>
          <w:rFonts w:cs="Times New Roman"/>
        </w:rPr>
      </w:pPr>
    </w:p>
    <w:p w14:paraId="7255BFC4" w14:textId="77777777" w:rsidR="00AD47F1" w:rsidRPr="00A53C1D" w:rsidRDefault="00AD47F1" w:rsidP="008C27A3">
      <w:pPr>
        <w:rPr>
          <w:rFonts w:cs="Times New Roman"/>
        </w:rPr>
      </w:pPr>
    </w:p>
    <w:p w14:paraId="56951140" w14:textId="009732E2" w:rsidR="00AD47F1" w:rsidRPr="00A53C1D" w:rsidRDefault="00AD47F1" w:rsidP="008C27A3">
      <w:pPr>
        <w:rPr>
          <w:rFonts w:cs="Times New Roman"/>
        </w:rPr>
      </w:pPr>
      <w:r w:rsidRPr="00A53C1D">
        <w:rPr>
          <w:rFonts w:cs="Times New Roman"/>
        </w:rPr>
        <w:br w:type="page"/>
      </w:r>
    </w:p>
    <w:p w14:paraId="49692229" w14:textId="549FF50E" w:rsidR="00AD47F1" w:rsidRPr="00A53C1D" w:rsidRDefault="00AD47F1" w:rsidP="00AD47F1">
      <w:pPr>
        <w:rPr>
          <w:rFonts w:cs="Times New Roman"/>
          <w:b/>
          <w:bCs/>
        </w:rPr>
      </w:pPr>
      <w:r w:rsidRPr="00A53C1D">
        <w:rPr>
          <w:rFonts w:cs="Times New Roman"/>
          <w:b/>
          <w:bCs/>
        </w:rPr>
        <w:lastRenderedPageBreak/>
        <w:t xml:space="preserve">Table </w:t>
      </w:r>
      <w:r w:rsidR="00FD07E9">
        <w:rPr>
          <w:rFonts w:cs="Times New Roman"/>
          <w:b/>
          <w:bCs/>
        </w:rPr>
        <w:t>3.</w:t>
      </w:r>
      <w:r w:rsidRPr="00A53C1D">
        <w:rPr>
          <w:rFonts w:cs="Times New Roman"/>
          <w:b/>
          <w:bCs/>
        </w:rPr>
        <w:t>17 PERMANOVA and beta-dispersion results of Veraguas samples with unweighted and weighted UniFrac distance matrix</w:t>
      </w:r>
    </w:p>
    <w:p w14:paraId="4387B25C" w14:textId="61504D91" w:rsidR="00AD47F1" w:rsidRPr="00A53C1D" w:rsidRDefault="00AD47F1" w:rsidP="00AD47F1">
      <w:pPr>
        <w:rPr>
          <w:rFonts w:cs="Times New Roman"/>
        </w:rPr>
      </w:pPr>
      <w:r w:rsidRPr="00A53C1D">
        <w:rPr>
          <w:rFonts w:cs="Times New Roman"/>
        </w:rPr>
        <w:t>Results highlighted in boldface indicate p-values of less than 0.05.</w:t>
      </w:r>
    </w:p>
    <w:p w14:paraId="20830A34" w14:textId="77777777" w:rsidR="00AD47F1" w:rsidRPr="00A53C1D" w:rsidRDefault="00AD47F1" w:rsidP="00AD47F1">
      <w:pPr>
        <w:rPr>
          <w:rFonts w:cs="Times New Roman"/>
        </w:rPr>
      </w:pPr>
    </w:p>
    <w:p w14:paraId="3B5C9B97" w14:textId="77777777" w:rsidR="00AD47F1" w:rsidRPr="00A53C1D" w:rsidRDefault="00AD47F1" w:rsidP="00AD47F1">
      <w:pPr>
        <w:rPr>
          <w:rFonts w:cs="Times New Roman"/>
        </w:rPr>
      </w:pPr>
    </w:p>
    <w:tbl>
      <w:tblPr>
        <w:tblW w:w="9960" w:type="dxa"/>
        <w:tblLook w:val="04A0" w:firstRow="1" w:lastRow="0" w:firstColumn="1" w:lastColumn="0" w:noHBand="0" w:noVBand="1"/>
      </w:tblPr>
      <w:tblGrid>
        <w:gridCol w:w="5000"/>
        <w:gridCol w:w="2480"/>
        <w:gridCol w:w="2480"/>
      </w:tblGrid>
      <w:tr w:rsidR="00AD47F1" w:rsidRPr="00AD47F1" w14:paraId="7440483F" w14:textId="77777777" w:rsidTr="00AD47F1">
        <w:trPr>
          <w:trHeight w:val="380"/>
        </w:trPr>
        <w:tc>
          <w:tcPr>
            <w:tcW w:w="5000" w:type="dxa"/>
            <w:tcBorders>
              <w:top w:val="nil"/>
              <w:left w:val="nil"/>
              <w:bottom w:val="nil"/>
              <w:right w:val="single" w:sz="4" w:space="0" w:color="auto"/>
            </w:tcBorders>
            <w:shd w:val="clear" w:color="auto" w:fill="auto"/>
            <w:noWrap/>
            <w:vAlign w:val="bottom"/>
            <w:hideMark/>
          </w:tcPr>
          <w:p w14:paraId="5F80D6DB" w14:textId="77777777" w:rsidR="00AD47F1" w:rsidRPr="00AD47F1" w:rsidRDefault="00AD47F1" w:rsidP="00AD47F1">
            <w:pPr>
              <w:jc w:val="center"/>
              <w:rPr>
                <w:rFonts w:eastAsia="Times New Roman" w:cs="Times New Roman"/>
                <w:b/>
                <w:bCs/>
              </w:rPr>
            </w:pPr>
            <w:r w:rsidRPr="00AD47F1">
              <w:rPr>
                <w:rFonts w:eastAsia="Times New Roman" w:cs="Times New Roman"/>
                <w:b/>
                <w:bCs/>
              </w:rPr>
              <w:t>PERMANOVA results</w:t>
            </w:r>
          </w:p>
        </w:tc>
        <w:tc>
          <w:tcPr>
            <w:tcW w:w="2480" w:type="dxa"/>
            <w:tcBorders>
              <w:top w:val="nil"/>
              <w:left w:val="nil"/>
              <w:bottom w:val="nil"/>
              <w:right w:val="nil"/>
            </w:tcBorders>
            <w:shd w:val="clear" w:color="auto" w:fill="auto"/>
            <w:noWrap/>
            <w:vAlign w:val="bottom"/>
            <w:hideMark/>
          </w:tcPr>
          <w:p w14:paraId="6CBF81F9" w14:textId="77777777" w:rsidR="00AD47F1" w:rsidRPr="00AD47F1" w:rsidRDefault="00AD47F1" w:rsidP="00AD47F1">
            <w:pPr>
              <w:jc w:val="center"/>
              <w:rPr>
                <w:rFonts w:eastAsia="Times New Roman" w:cs="Times New Roman"/>
                <w:b/>
                <w:bCs/>
              </w:rPr>
            </w:pPr>
          </w:p>
        </w:tc>
        <w:tc>
          <w:tcPr>
            <w:tcW w:w="2480" w:type="dxa"/>
            <w:tcBorders>
              <w:top w:val="nil"/>
              <w:left w:val="nil"/>
              <w:bottom w:val="nil"/>
              <w:right w:val="nil"/>
            </w:tcBorders>
            <w:shd w:val="clear" w:color="auto" w:fill="auto"/>
            <w:noWrap/>
            <w:vAlign w:val="bottom"/>
            <w:hideMark/>
          </w:tcPr>
          <w:p w14:paraId="09EA1550" w14:textId="77777777" w:rsidR="00AD47F1" w:rsidRPr="00AD47F1" w:rsidRDefault="00AD47F1" w:rsidP="00AD47F1">
            <w:pPr>
              <w:rPr>
                <w:rFonts w:eastAsia="Times New Roman" w:cs="Times New Roman"/>
              </w:rPr>
            </w:pPr>
          </w:p>
        </w:tc>
      </w:tr>
      <w:tr w:rsidR="00AD47F1" w:rsidRPr="00AD47F1" w14:paraId="7689E862" w14:textId="77777777" w:rsidTr="00AD47F1">
        <w:trPr>
          <w:trHeight w:val="380"/>
        </w:trPr>
        <w:tc>
          <w:tcPr>
            <w:tcW w:w="5000" w:type="dxa"/>
            <w:tcBorders>
              <w:top w:val="nil"/>
              <w:left w:val="nil"/>
              <w:bottom w:val="single" w:sz="4" w:space="0" w:color="auto"/>
              <w:right w:val="single" w:sz="4" w:space="0" w:color="auto"/>
            </w:tcBorders>
            <w:shd w:val="clear" w:color="auto" w:fill="auto"/>
            <w:noWrap/>
            <w:vAlign w:val="bottom"/>
            <w:hideMark/>
          </w:tcPr>
          <w:p w14:paraId="61207CD7" w14:textId="77777777" w:rsidR="00AD47F1" w:rsidRPr="00AD47F1" w:rsidRDefault="00AD47F1" w:rsidP="00AD47F1">
            <w:pPr>
              <w:jc w:val="center"/>
              <w:rPr>
                <w:rFonts w:eastAsia="Times New Roman" w:cs="Times New Roman"/>
                <w:b/>
                <w:bCs/>
              </w:rPr>
            </w:pPr>
            <w:r w:rsidRPr="00AD47F1">
              <w:rPr>
                <w:rFonts w:eastAsia="Times New Roman" w:cs="Times New Roman"/>
                <w:b/>
                <w:bCs/>
              </w:rPr>
              <w:t>Distance matrix</w:t>
            </w:r>
          </w:p>
        </w:tc>
        <w:tc>
          <w:tcPr>
            <w:tcW w:w="2480" w:type="dxa"/>
            <w:tcBorders>
              <w:top w:val="nil"/>
              <w:left w:val="nil"/>
              <w:bottom w:val="single" w:sz="4" w:space="0" w:color="auto"/>
              <w:right w:val="nil"/>
            </w:tcBorders>
            <w:shd w:val="clear" w:color="auto" w:fill="auto"/>
            <w:noWrap/>
            <w:vAlign w:val="bottom"/>
            <w:hideMark/>
          </w:tcPr>
          <w:p w14:paraId="366229EF" w14:textId="77777777" w:rsidR="00AD47F1" w:rsidRPr="00AD47F1" w:rsidRDefault="00AD47F1" w:rsidP="00AD47F1">
            <w:pPr>
              <w:rPr>
                <w:rFonts w:eastAsia="Times New Roman" w:cs="Times New Roman"/>
              </w:rPr>
            </w:pPr>
            <w:r w:rsidRPr="00AD47F1">
              <w:rPr>
                <w:rFonts w:eastAsia="Times New Roman" w:cs="Times New Roman"/>
              </w:rPr>
              <w:t>Unweighted UniFrac</w:t>
            </w:r>
          </w:p>
        </w:tc>
        <w:tc>
          <w:tcPr>
            <w:tcW w:w="2480" w:type="dxa"/>
            <w:tcBorders>
              <w:top w:val="nil"/>
              <w:left w:val="nil"/>
              <w:bottom w:val="single" w:sz="4" w:space="0" w:color="auto"/>
              <w:right w:val="nil"/>
            </w:tcBorders>
            <w:shd w:val="clear" w:color="auto" w:fill="auto"/>
            <w:noWrap/>
            <w:vAlign w:val="bottom"/>
            <w:hideMark/>
          </w:tcPr>
          <w:p w14:paraId="6EEF89E4" w14:textId="77777777" w:rsidR="00AD47F1" w:rsidRPr="00AD47F1" w:rsidRDefault="00AD47F1" w:rsidP="00AD47F1">
            <w:pPr>
              <w:rPr>
                <w:rFonts w:eastAsia="Times New Roman" w:cs="Times New Roman"/>
              </w:rPr>
            </w:pPr>
            <w:r w:rsidRPr="00AD47F1">
              <w:rPr>
                <w:rFonts w:eastAsia="Times New Roman" w:cs="Times New Roman"/>
              </w:rPr>
              <w:t>weighted UniFrac</w:t>
            </w:r>
          </w:p>
        </w:tc>
      </w:tr>
      <w:tr w:rsidR="00AD47F1" w:rsidRPr="00AD47F1" w14:paraId="790167AF" w14:textId="77777777" w:rsidTr="00AD47F1">
        <w:trPr>
          <w:trHeight w:val="380"/>
        </w:trPr>
        <w:tc>
          <w:tcPr>
            <w:tcW w:w="5000" w:type="dxa"/>
            <w:tcBorders>
              <w:top w:val="nil"/>
              <w:left w:val="nil"/>
              <w:bottom w:val="nil"/>
              <w:right w:val="single" w:sz="4" w:space="0" w:color="auto"/>
            </w:tcBorders>
            <w:shd w:val="clear" w:color="auto" w:fill="auto"/>
            <w:noWrap/>
            <w:vAlign w:val="bottom"/>
            <w:hideMark/>
          </w:tcPr>
          <w:p w14:paraId="23A501D9" w14:textId="77777777" w:rsidR="00AD47F1" w:rsidRPr="00AD47F1" w:rsidRDefault="00AD47F1" w:rsidP="00AD47F1">
            <w:pPr>
              <w:jc w:val="center"/>
              <w:rPr>
                <w:rFonts w:eastAsia="Times New Roman" w:cs="Times New Roman"/>
                <w:b/>
                <w:bCs/>
              </w:rPr>
            </w:pPr>
            <w:r w:rsidRPr="00AD47F1">
              <w:rPr>
                <w:rFonts w:eastAsia="Times New Roman" w:cs="Times New Roman"/>
                <w:b/>
                <w:bCs/>
              </w:rPr>
              <w:t>test statistic name</w:t>
            </w:r>
          </w:p>
        </w:tc>
        <w:tc>
          <w:tcPr>
            <w:tcW w:w="2480" w:type="dxa"/>
            <w:tcBorders>
              <w:top w:val="nil"/>
              <w:left w:val="nil"/>
              <w:bottom w:val="nil"/>
              <w:right w:val="nil"/>
            </w:tcBorders>
            <w:shd w:val="clear" w:color="auto" w:fill="auto"/>
            <w:noWrap/>
            <w:vAlign w:val="bottom"/>
            <w:hideMark/>
          </w:tcPr>
          <w:p w14:paraId="0C449A42" w14:textId="77777777" w:rsidR="00AD47F1" w:rsidRPr="00AD47F1" w:rsidRDefault="00AD47F1" w:rsidP="00AD47F1">
            <w:pPr>
              <w:rPr>
                <w:rFonts w:eastAsia="Times New Roman" w:cs="Times New Roman"/>
              </w:rPr>
            </w:pPr>
            <w:r w:rsidRPr="00AD47F1">
              <w:rPr>
                <w:rFonts w:eastAsia="Times New Roman" w:cs="Times New Roman"/>
              </w:rPr>
              <w:t>pseudo-F</w:t>
            </w:r>
          </w:p>
        </w:tc>
        <w:tc>
          <w:tcPr>
            <w:tcW w:w="2480" w:type="dxa"/>
            <w:tcBorders>
              <w:top w:val="nil"/>
              <w:left w:val="nil"/>
              <w:bottom w:val="nil"/>
              <w:right w:val="nil"/>
            </w:tcBorders>
            <w:shd w:val="clear" w:color="auto" w:fill="auto"/>
            <w:noWrap/>
            <w:vAlign w:val="bottom"/>
            <w:hideMark/>
          </w:tcPr>
          <w:p w14:paraId="3EDE80D6" w14:textId="77777777" w:rsidR="00AD47F1" w:rsidRPr="00AD47F1" w:rsidRDefault="00AD47F1" w:rsidP="00AD47F1">
            <w:pPr>
              <w:rPr>
                <w:rFonts w:eastAsia="Times New Roman" w:cs="Times New Roman"/>
              </w:rPr>
            </w:pPr>
            <w:r w:rsidRPr="00AD47F1">
              <w:rPr>
                <w:rFonts w:eastAsia="Times New Roman" w:cs="Times New Roman"/>
              </w:rPr>
              <w:t>pseudo-F</w:t>
            </w:r>
          </w:p>
        </w:tc>
      </w:tr>
      <w:tr w:rsidR="00AD47F1" w:rsidRPr="00AD47F1" w14:paraId="35C72AF0" w14:textId="77777777" w:rsidTr="00AD47F1">
        <w:trPr>
          <w:trHeight w:val="380"/>
        </w:trPr>
        <w:tc>
          <w:tcPr>
            <w:tcW w:w="5000" w:type="dxa"/>
            <w:tcBorders>
              <w:top w:val="nil"/>
              <w:left w:val="nil"/>
              <w:bottom w:val="nil"/>
              <w:right w:val="single" w:sz="4" w:space="0" w:color="auto"/>
            </w:tcBorders>
            <w:shd w:val="clear" w:color="auto" w:fill="auto"/>
            <w:noWrap/>
            <w:vAlign w:val="bottom"/>
            <w:hideMark/>
          </w:tcPr>
          <w:p w14:paraId="45F38B87" w14:textId="77777777" w:rsidR="00AD47F1" w:rsidRPr="00AD47F1" w:rsidRDefault="00AD47F1" w:rsidP="00AD47F1">
            <w:pPr>
              <w:jc w:val="center"/>
              <w:rPr>
                <w:rFonts w:eastAsia="Times New Roman" w:cs="Times New Roman"/>
                <w:b/>
                <w:bCs/>
              </w:rPr>
            </w:pPr>
            <w:r w:rsidRPr="00AD47F1">
              <w:rPr>
                <w:rFonts w:eastAsia="Times New Roman" w:cs="Times New Roman"/>
                <w:b/>
                <w:bCs/>
              </w:rPr>
              <w:t>sample size</w:t>
            </w:r>
          </w:p>
        </w:tc>
        <w:tc>
          <w:tcPr>
            <w:tcW w:w="2480" w:type="dxa"/>
            <w:tcBorders>
              <w:top w:val="nil"/>
              <w:left w:val="nil"/>
              <w:bottom w:val="nil"/>
              <w:right w:val="nil"/>
            </w:tcBorders>
            <w:shd w:val="clear" w:color="auto" w:fill="auto"/>
            <w:noWrap/>
            <w:vAlign w:val="bottom"/>
            <w:hideMark/>
          </w:tcPr>
          <w:p w14:paraId="2B3C83B3" w14:textId="77777777" w:rsidR="00AD47F1" w:rsidRPr="00AD47F1" w:rsidRDefault="00AD47F1" w:rsidP="00AD47F1">
            <w:pPr>
              <w:jc w:val="right"/>
              <w:rPr>
                <w:rFonts w:eastAsia="Times New Roman" w:cs="Times New Roman"/>
              </w:rPr>
            </w:pPr>
            <w:r w:rsidRPr="00AD47F1">
              <w:rPr>
                <w:rFonts w:eastAsia="Times New Roman" w:cs="Times New Roman"/>
              </w:rPr>
              <w:t>100</w:t>
            </w:r>
          </w:p>
        </w:tc>
        <w:tc>
          <w:tcPr>
            <w:tcW w:w="2480" w:type="dxa"/>
            <w:tcBorders>
              <w:top w:val="nil"/>
              <w:left w:val="nil"/>
              <w:bottom w:val="nil"/>
              <w:right w:val="nil"/>
            </w:tcBorders>
            <w:shd w:val="clear" w:color="auto" w:fill="auto"/>
            <w:noWrap/>
            <w:vAlign w:val="bottom"/>
            <w:hideMark/>
          </w:tcPr>
          <w:p w14:paraId="4B9532B5" w14:textId="77777777" w:rsidR="00AD47F1" w:rsidRPr="00AD47F1" w:rsidRDefault="00AD47F1" w:rsidP="00AD47F1">
            <w:pPr>
              <w:jc w:val="right"/>
              <w:rPr>
                <w:rFonts w:eastAsia="Times New Roman" w:cs="Times New Roman"/>
              </w:rPr>
            </w:pPr>
            <w:r w:rsidRPr="00AD47F1">
              <w:rPr>
                <w:rFonts w:eastAsia="Times New Roman" w:cs="Times New Roman"/>
              </w:rPr>
              <w:t>100</w:t>
            </w:r>
          </w:p>
        </w:tc>
      </w:tr>
      <w:tr w:rsidR="00AD47F1" w:rsidRPr="00AD47F1" w14:paraId="2FCCF7F4" w14:textId="77777777" w:rsidTr="00AD47F1">
        <w:trPr>
          <w:trHeight w:val="380"/>
        </w:trPr>
        <w:tc>
          <w:tcPr>
            <w:tcW w:w="5000" w:type="dxa"/>
            <w:tcBorders>
              <w:top w:val="nil"/>
              <w:left w:val="nil"/>
              <w:bottom w:val="nil"/>
              <w:right w:val="single" w:sz="4" w:space="0" w:color="auto"/>
            </w:tcBorders>
            <w:shd w:val="clear" w:color="auto" w:fill="auto"/>
            <w:noWrap/>
            <w:vAlign w:val="bottom"/>
            <w:hideMark/>
          </w:tcPr>
          <w:p w14:paraId="34C70338" w14:textId="77777777" w:rsidR="00AD47F1" w:rsidRPr="00AD47F1" w:rsidRDefault="00AD47F1" w:rsidP="00AD47F1">
            <w:pPr>
              <w:jc w:val="center"/>
              <w:rPr>
                <w:rFonts w:eastAsia="Times New Roman" w:cs="Times New Roman"/>
                <w:b/>
                <w:bCs/>
              </w:rPr>
            </w:pPr>
            <w:r w:rsidRPr="00AD47F1">
              <w:rPr>
                <w:rFonts w:eastAsia="Times New Roman" w:cs="Times New Roman"/>
                <w:b/>
                <w:bCs/>
              </w:rPr>
              <w:t>number of groups</w:t>
            </w:r>
          </w:p>
        </w:tc>
        <w:tc>
          <w:tcPr>
            <w:tcW w:w="2480" w:type="dxa"/>
            <w:tcBorders>
              <w:top w:val="nil"/>
              <w:left w:val="nil"/>
              <w:bottom w:val="nil"/>
              <w:right w:val="nil"/>
            </w:tcBorders>
            <w:shd w:val="clear" w:color="auto" w:fill="auto"/>
            <w:noWrap/>
            <w:vAlign w:val="bottom"/>
            <w:hideMark/>
          </w:tcPr>
          <w:p w14:paraId="51D34080" w14:textId="77777777" w:rsidR="00AD47F1" w:rsidRPr="00AD47F1" w:rsidRDefault="00AD47F1" w:rsidP="00AD47F1">
            <w:pPr>
              <w:jc w:val="right"/>
              <w:rPr>
                <w:rFonts w:eastAsia="Times New Roman" w:cs="Times New Roman"/>
              </w:rPr>
            </w:pPr>
            <w:r w:rsidRPr="00AD47F1">
              <w:rPr>
                <w:rFonts w:eastAsia="Times New Roman" w:cs="Times New Roman"/>
              </w:rPr>
              <w:t>3</w:t>
            </w:r>
          </w:p>
        </w:tc>
        <w:tc>
          <w:tcPr>
            <w:tcW w:w="2480" w:type="dxa"/>
            <w:tcBorders>
              <w:top w:val="nil"/>
              <w:left w:val="nil"/>
              <w:bottom w:val="nil"/>
              <w:right w:val="nil"/>
            </w:tcBorders>
            <w:shd w:val="clear" w:color="auto" w:fill="auto"/>
            <w:noWrap/>
            <w:vAlign w:val="bottom"/>
            <w:hideMark/>
          </w:tcPr>
          <w:p w14:paraId="305E6171" w14:textId="77777777" w:rsidR="00AD47F1" w:rsidRPr="00AD47F1" w:rsidRDefault="00AD47F1" w:rsidP="00AD47F1">
            <w:pPr>
              <w:jc w:val="right"/>
              <w:rPr>
                <w:rFonts w:eastAsia="Times New Roman" w:cs="Times New Roman"/>
              </w:rPr>
            </w:pPr>
            <w:r w:rsidRPr="00AD47F1">
              <w:rPr>
                <w:rFonts w:eastAsia="Times New Roman" w:cs="Times New Roman"/>
              </w:rPr>
              <w:t>3</w:t>
            </w:r>
          </w:p>
        </w:tc>
      </w:tr>
      <w:tr w:rsidR="00AD47F1" w:rsidRPr="00AD47F1" w14:paraId="61B85F5A" w14:textId="77777777" w:rsidTr="00AD47F1">
        <w:trPr>
          <w:trHeight w:val="380"/>
        </w:trPr>
        <w:tc>
          <w:tcPr>
            <w:tcW w:w="5000" w:type="dxa"/>
            <w:tcBorders>
              <w:top w:val="nil"/>
              <w:left w:val="nil"/>
              <w:bottom w:val="nil"/>
              <w:right w:val="single" w:sz="4" w:space="0" w:color="auto"/>
            </w:tcBorders>
            <w:shd w:val="clear" w:color="auto" w:fill="auto"/>
            <w:noWrap/>
            <w:vAlign w:val="bottom"/>
            <w:hideMark/>
          </w:tcPr>
          <w:p w14:paraId="6551258D" w14:textId="77777777" w:rsidR="00AD47F1" w:rsidRPr="00AD47F1" w:rsidRDefault="00AD47F1" w:rsidP="00AD47F1">
            <w:pPr>
              <w:jc w:val="center"/>
              <w:rPr>
                <w:rFonts w:eastAsia="Times New Roman" w:cs="Times New Roman"/>
                <w:b/>
                <w:bCs/>
              </w:rPr>
            </w:pPr>
            <w:r w:rsidRPr="00AD47F1">
              <w:rPr>
                <w:rFonts w:eastAsia="Times New Roman" w:cs="Times New Roman"/>
                <w:b/>
                <w:bCs/>
              </w:rPr>
              <w:t>test statistic</w:t>
            </w:r>
          </w:p>
        </w:tc>
        <w:tc>
          <w:tcPr>
            <w:tcW w:w="2480" w:type="dxa"/>
            <w:tcBorders>
              <w:top w:val="nil"/>
              <w:left w:val="nil"/>
              <w:bottom w:val="nil"/>
              <w:right w:val="nil"/>
            </w:tcBorders>
            <w:shd w:val="clear" w:color="auto" w:fill="auto"/>
            <w:noWrap/>
            <w:vAlign w:val="bottom"/>
            <w:hideMark/>
          </w:tcPr>
          <w:p w14:paraId="751A9139" w14:textId="77777777" w:rsidR="00AD47F1" w:rsidRPr="00AD47F1" w:rsidRDefault="00AD47F1" w:rsidP="00AD47F1">
            <w:pPr>
              <w:jc w:val="right"/>
              <w:rPr>
                <w:rFonts w:eastAsia="Times New Roman" w:cs="Times New Roman"/>
              </w:rPr>
            </w:pPr>
            <w:r w:rsidRPr="00AD47F1">
              <w:rPr>
                <w:rFonts w:eastAsia="Times New Roman" w:cs="Times New Roman"/>
              </w:rPr>
              <w:t>2.73291</w:t>
            </w:r>
          </w:p>
        </w:tc>
        <w:tc>
          <w:tcPr>
            <w:tcW w:w="2480" w:type="dxa"/>
            <w:tcBorders>
              <w:top w:val="nil"/>
              <w:left w:val="nil"/>
              <w:bottom w:val="nil"/>
              <w:right w:val="nil"/>
            </w:tcBorders>
            <w:shd w:val="clear" w:color="auto" w:fill="auto"/>
            <w:noWrap/>
            <w:vAlign w:val="bottom"/>
            <w:hideMark/>
          </w:tcPr>
          <w:p w14:paraId="17423357" w14:textId="77777777" w:rsidR="00AD47F1" w:rsidRPr="00AD47F1" w:rsidRDefault="00AD47F1" w:rsidP="00AD47F1">
            <w:pPr>
              <w:jc w:val="right"/>
              <w:rPr>
                <w:rFonts w:eastAsia="Times New Roman" w:cs="Times New Roman"/>
              </w:rPr>
            </w:pPr>
            <w:r w:rsidRPr="00AD47F1">
              <w:rPr>
                <w:rFonts w:eastAsia="Times New Roman" w:cs="Times New Roman"/>
              </w:rPr>
              <w:t>3.98348</w:t>
            </w:r>
          </w:p>
        </w:tc>
      </w:tr>
      <w:tr w:rsidR="00AD47F1" w:rsidRPr="00AD47F1" w14:paraId="7CFD7106" w14:textId="77777777" w:rsidTr="00AD47F1">
        <w:trPr>
          <w:trHeight w:val="380"/>
        </w:trPr>
        <w:tc>
          <w:tcPr>
            <w:tcW w:w="5000" w:type="dxa"/>
            <w:tcBorders>
              <w:top w:val="nil"/>
              <w:left w:val="nil"/>
              <w:bottom w:val="nil"/>
              <w:right w:val="single" w:sz="4" w:space="0" w:color="auto"/>
            </w:tcBorders>
            <w:shd w:val="clear" w:color="auto" w:fill="auto"/>
            <w:noWrap/>
            <w:vAlign w:val="bottom"/>
            <w:hideMark/>
          </w:tcPr>
          <w:p w14:paraId="792EFC39" w14:textId="77777777" w:rsidR="00AD47F1" w:rsidRPr="00AD47F1" w:rsidRDefault="00AD47F1" w:rsidP="00AD47F1">
            <w:pPr>
              <w:jc w:val="center"/>
              <w:rPr>
                <w:rFonts w:eastAsia="Times New Roman" w:cs="Times New Roman"/>
                <w:b/>
                <w:bCs/>
              </w:rPr>
            </w:pPr>
            <w:r w:rsidRPr="00AD47F1">
              <w:rPr>
                <w:rFonts w:eastAsia="Times New Roman" w:cs="Times New Roman"/>
                <w:b/>
                <w:bCs/>
              </w:rPr>
              <w:t>PERMANOVA p-value</w:t>
            </w:r>
          </w:p>
        </w:tc>
        <w:tc>
          <w:tcPr>
            <w:tcW w:w="2480" w:type="dxa"/>
            <w:tcBorders>
              <w:top w:val="nil"/>
              <w:left w:val="nil"/>
              <w:bottom w:val="nil"/>
              <w:right w:val="nil"/>
            </w:tcBorders>
            <w:shd w:val="clear" w:color="auto" w:fill="auto"/>
            <w:noWrap/>
            <w:vAlign w:val="bottom"/>
            <w:hideMark/>
          </w:tcPr>
          <w:p w14:paraId="1A8F1291" w14:textId="77777777" w:rsidR="00AD47F1" w:rsidRPr="00AD47F1" w:rsidRDefault="00AD47F1" w:rsidP="00AD47F1">
            <w:pPr>
              <w:jc w:val="right"/>
              <w:rPr>
                <w:rFonts w:eastAsia="Times New Roman" w:cs="Times New Roman"/>
              </w:rPr>
            </w:pPr>
            <w:r w:rsidRPr="00AD47F1">
              <w:rPr>
                <w:rFonts w:eastAsia="Times New Roman" w:cs="Times New Roman"/>
              </w:rPr>
              <w:t>0.001</w:t>
            </w:r>
          </w:p>
        </w:tc>
        <w:tc>
          <w:tcPr>
            <w:tcW w:w="2480" w:type="dxa"/>
            <w:tcBorders>
              <w:top w:val="nil"/>
              <w:left w:val="nil"/>
              <w:bottom w:val="nil"/>
              <w:right w:val="nil"/>
            </w:tcBorders>
            <w:shd w:val="clear" w:color="auto" w:fill="auto"/>
            <w:noWrap/>
            <w:vAlign w:val="bottom"/>
            <w:hideMark/>
          </w:tcPr>
          <w:p w14:paraId="7DC801E4" w14:textId="77777777" w:rsidR="00AD47F1" w:rsidRPr="00AD47F1" w:rsidRDefault="00AD47F1" w:rsidP="00AD47F1">
            <w:pPr>
              <w:jc w:val="right"/>
              <w:rPr>
                <w:rFonts w:eastAsia="Times New Roman" w:cs="Times New Roman"/>
              </w:rPr>
            </w:pPr>
            <w:r w:rsidRPr="00AD47F1">
              <w:rPr>
                <w:rFonts w:eastAsia="Times New Roman" w:cs="Times New Roman"/>
              </w:rPr>
              <w:t>0.001</w:t>
            </w:r>
          </w:p>
        </w:tc>
      </w:tr>
      <w:tr w:rsidR="00AD47F1" w:rsidRPr="00AD47F1" w14:paraId="6D6FB8D6" w14:textId="77777777" w:rsidTr="00AD47F1">
        <w:trPr>
          <w:trHeight w:val="380"/>
        </w:trPr>
        <w:tc>
          <w:tcPr>
            <w:tcW w:w="5000" w:type="dxa"/>
            <w:tcBorders>
              <w:top w:val="nil"/>
              <w:left w:val="nil"/>
              <w:bottom w:val="nil"/>
              <w:right w:val="single" w:sz="4" w:space="0" w:color="auto"/>
            </w:tcBorders>
            <w:shd w:val="clear" w:color="auto" w:fill="auto"/>
            <w:noWrap/>
            <w:vAlign w:val="bottom"/>
            <w:hideMark/>
          </w:tcPr>
          <w:p w14:paraId="21E5F449" w14:textId="77777777" w:rsidR="00AD47F1" w:rsidRPr="00AD47F1" w:rsidRDefault="00AD47F1" w:rsidP="00AD47F1">
            <w:pPr>
              <w:jc w:val="center"/>
              <w:rPr>
                <w:rFonts w:eastAsia="Times New Roman" w:cs="Times New Roman"/>
                <w:b/>
                <w:bCs/>
              </w:rPr>
            </w:pPr>
            <w:r w:rsidRPr="00AD47F1">
              <w:rPr>
                <w:rFonts w:eastAsia="Times New Roman" w:cs="Times New Roman"/>
                <w:b/>
                <w:bCs/>
              </w:rPr>
              <w:t>Beta-dispersion p-value</w:t>
            </w:r>
          </w:p>
        </w:tc>
        <w:tc>
          <w:tcPr>
            <w:tcW w:w="2480" w:type="dxa"/>
            <w:tcBorders>
              <w:top w:val="nil"/>
              <w:left w:val="nil"/>
              <w:bottom w:val="nil"/>
              <w:right w:val="nil"/>
            </w:tcBorders>
            <w:shd w:val="clear" w:color="auto" w:fill="auto"/>
            <w:noWrap/>
            <w:vAlign w:val="bottom"/>
            <w:hideMark/>
          </w:tcPr>
          <w:p w14:paraId="0DD946CD" w14:textId="77777777" w:rsidR="00AD47F1" w:rsidRPr="00AD47F1" w:rsidRDefault="00AD47F1" w:rsidP="00AD47F1">
            <w:pPr>
              <w:jc w:val="right"/>
              <w:rPr>
                <w:rFonts w:eastAsia="Times New Roman" w:cs="Times New Roman"/>
              </w:rPr>
            </w:pPr>
            <w:r w:rsidRPr="00AD47F1">
              <w:rPr>
                <w:rFonts w:eastAsia="Times New Roman" w:cs="Times New Roman"/>
              </w:rPr>
              <w:t>0.427</w:t>
            </w:r>
          </w:p>
        </w:tc>
        <w:tc>
          <w:tcPr>
            <w:tcW w:w="2480" w:type="dxa"/>
            <w:tcBorders>
              <w:top w:val="nil"/>
              <w:left w:val="nil"/>
              <w:bottom w:val="nil"/>
              <w:right w:val="nil"/>
            </w:tcBorders>
            <w:shd w:val="clear" w:color="auto" w:fill="auto"/>
            <w:noWrap/>
            <w:vAlign w:val="bottom"/>
            <w:hideMark/>
          </w:tcPr>
          <w:p w14:paraId="637DD560" w14:textId="77777777" w:rsidR="00AD47F1" w:rsidRPr="00AD47F1" w:rsidRDefault="00AD47F1" w:rsidP="00AD47F1">
            <w:pPr>
              <w:jc w:val="right"/>
              <w:rPr>
                <w:rFonts w:eastAsia="Times New Roman" w:cs="Times New Roman"/>
              </w:rPr>
            </w:pPr>
            <w:r w:rsidRPr="00AD47F1">
              <w:rPr>
                <w:rFonts w:eastAsia="Times New Roman" w:cs="Times New Roman"/>
              </w:rPr>
              <w:t>0.222</w:t>
            </w:r>
          </w:p>
        </w:tc>
      </w:tr>
      <w:tr w:rsidR="00AD47F1" w:rsidRPr="00AD47F1" w14:paraId="7ABC1D8B" w14:textId="77777777" w:rsidTr="00AD47F1">
        <w:trPr>
          <w:trHeight w:val="380"/>
        </w:trPr>
        <w:tc>
          <w:tcPr>
            <w:tcW w:w="5000" w:type="dxa"/>
            <w:tcBorders>
              <w:top w:val="nil"/>
              <w:left w:val="nil"/>
              <w:bottom w:val="nil"/>
              <w:right w:val="single" w:sz="4" w:space="0" w:color="auto"/>
            </w:tcBorders>
            <w:shd w:val="clear" w:color="auto" w:fill="auto"/>
            <w:noWrap/>
            <w:vAlign w:val="bottom"/>
            <w:hideMark/>
          </w:tcPr>
          <w:p w14:paraId="7212D855" w14:textId="77777777" w:rsidR="00AD47F1" w:rsidRPr="00AD47F1" w:rsidRDefault="00AD47F1" w:rsidP="00AD47F1">
            <w:pPr>
              <w:jc w:val="center"/>
              <w:rPr>
                <w:rFonts w:eastAsia="Times New Roman" w:cs="Times New Roman"/>
                <w:b/>
                <w:bCs/>
              </w:rPr>
            </w:pPr>
            <w:r w:rsidRPr="00AD47F1">
              <w:rPr>
                <w:rFonts w:eastAsia="Times New Roman" w:cs="Times New Roman"/>
                <w:b/>
                <w:bCs/>
              </w:rPr>
              <w:t>number of permutations</w:t>
            </w:r>
          </w:p>
        </w:tc>
        <w:tc>
          <w:tcPr>
            <w:tcW w:w="2480" w:type="dxa"/>
            <w:tcBorders>
              <w:top w:val="nil"/>
              <w:left w:val="nil"/>
              <w:bottom w:val="nil"/>
              <w:right w:val="nil"/>
            </w:tcBorders>
            <w:shd w:val="clear" w:color="auto" w:fill="auto"/>
            <w:noWrap/>
            <w:vAlign w:val="bottom"/>
            <w:hideMark/>
          </w:tcPr>
          <w:p w14:paraId="580238FA" w14:textId="77777777" w:rsidR="00AD47F1" w:rsidRPr="00AD47F1" w:rsidRDefault="00AD47F1" w:rsidP="00AD47F1">
            <w:pPr>
              <w:jc w:val="right"/>
              <w:rPr>
                <w:rFonts w:eastAsia="Times New Roman" w:cs="Times New Roman"/>
              </w:rPr>
            </w:pPr>
            <w:r w:rsidRPr="00AD47F1">
              <w:rPr>
                <w:rFonts w:eastAsia="Times New Roman" w:cs="Times New Roman"/>
              </w:rPr>
              <w:t>999</w:t>
            </w:r>
          </w:p>
        </w:tc>
        <w:tc>
          <w:tcPr>
            <w:tcW w:w="2480" w:type="dxa"/>
            <w:tcBorders>
              <w:top w:val="nil"/>
              <w:left w:val="nil"/>
              <w:bottom w:val="nil"/>
              <w:right w:val="nil"/>
            </w:tcBorders>
            <w:shd w:val="clear" w:color="auto" w:fill="auto"/>
            <w:noWrap/>
            <w:vAlign w:val="bottom"/>
            <w:hideMark/>
          </w:tcPr>
          <w:p w14:paraId="6850B1A6" w14:textId="77777777" w:rsidR="00AD47F1" w:rsidRPr="00AD47F1" w:rsidRDefault="00AD47F1" w:rsidP="00AD47F1">
            <w:pPr>
              <w:jc w:val="right"/>
              <w:rPr>
                <w:rFonts w:eastAsia="Times New Roman" w:cs="Times New Roman"/>
              </w:rPr>
            </w:pPr>
            <w:r w:rsidRPr="00AD47F1">
              <w:rPr>
                <w:rFonts w:eastAsia="Times New Roman" w:cs="Times New Roman"/>
              </w:rPr>
              <w:t>999</w:t>
            </w:r>
          </w:p>
        </w:tc>
      </w:tr>
    </w:tbl>
    <w:p w14:paraId="5BBB72C8" w14:textId="77777777" w:rsidR="00AD47F1" w:rsidRPr="00A53C1D" w:rsidRDefault="00AD47F1" w:rsidP="00AD47F1">
      <w:pPr>
        <w:rPr>
          <w:rFonts w:cs="Times New Roman"/>
        </w:rPr>
      </w:pPr>
    </w:p>
    <w:p w14:paraId="0200B272" w14:textId="77777777" w:rsidR="00AD47F1" w:rsidRPr="00A53C1D" w:rsidRDefault="00AD47F1" w:rsidP="00AD47F1">
      <w:pPr>
        <w:rPr>
          <w:rFonts w:cs="Times New Roman"/>
        </w:rPr>
      </w:pPr>
    </w:p>
    <w:p w14:paraId="4583BC8B" w14:textId="77777777" w:rsidR="00AD47F1" w:rsidRPr="00A53C1D" w:rsidRDefault="00AD47F1" w:rsidP="00AD47F1">
      <w:pPr>
        <w:rPr>
          <w:rFonts w:cs="Times New Roman"/>
        </w:rPr>
      </w:pPr>
    </w:p>
    <w:p w14:paraId="123631F7" w14:textId="77777777" w:rsidR="00AD47F1" w:rsidRPr="00A53C1D" w:rsidRDefault="00AD47F1" w:rsidP="00AD47F1">
      <w:pPr>
        <w:rPr>
          <w:rFonts w:cs="Times New Roman"/>
        </w:rPr>
      </w:pPr>
    </w:p>
    <w:p w14:paraId="77C6CEBC" w14:textId="77777777" w:rsidR="009141CE" w:rsidRPr="00A53C1D" w:rsidRDefault="009141CE" w:rsidP="00AD47F1">
      <w:pPr>
        <w:rPr>
          <w:rFonts w:cs="Times New Roman"/>
        </w:rPr>
        <w:sectPr w:rsidR="009141CE" w:rsidRPr="00A53C1D" w:rsidSect="00EE20C2">
          <w:pgSz w:w="12240" w:h="15840"/>
          <w:pgMar w:top="1440" w:right="1440" w:bottom="1440" w:left="1440" w:header="720" w:footer="720" w:gutter="0"/>
          <w:cols w:space="720"/>
          <w:docGrid w:linePitch="360"/>
        </w:sectPr>
      </w:pPr>
    </w:p>
    <w:p w14:paraId="1D6355C0" w14:textId="36D03BDC" w:rsidR="00C503D6" w:rsidRPr="00A53C1D" w:rsidRDefault="00C503D6" w:rsidP="00C503D6">
      <w:pPr>
        <w:rPr>
          <w:rFonts w:cs="Times New Roman"/>
          <w:b/>
          <w:bCs/>
        </w:rPr>
      </w:pPr>
      <w:r w:rsidRPr="00A53C1D">
        <w:rPr>
          <w:rFonts w:cs="Times New Roman"/>
          <w:b/>
          <w:bCs/>
        </w:rPr>
        <w:lastRenderedPageBreak/>
        <w:t xml:space="preserve">Table </w:t>
      </w:r>
      <w:r w:rsidR="00FD07E9">
        <w:rPr>
          <w:rFonts w:cs="Times New Roman"/>
          <w:b/>
          <w:bCs/>
        </w:rPr>
        <w:t>3.</w:t>
      </w:r>
      <w:r w:rsidRPr="00A53C1D">
        <w:rPr>
          <w:rFonts w:cs="Times New Roman"/>
          <w:b/>
          <w:bCs/>
        </w:rPr>
        <w:t>18 PERMANOVAs testing the effects of habitat type, blood meal type, and blood meal richness on community composition (unweighted) and structure (weighted) across Capira palms after accounting for palm identity and developmental stage</w:t>
      </w:r>
    </w:p>
    <w:p w14:paraId="0C7ECE8E" w14:textId="06DD7B33" w:rsidR="009141CE" w:rsidRPr="00A53C1D" w:rsidRDefault="00C503D6" w:rsidP="00C503D6">
      <w:pPr>
        <w:rPr>
          <w:rFonts w:cs="Times New Roman"/>
        </w:rPr>
      </w:pPr>
      <w:r w:rsidRPr="00A53C1D">
        <w:rPr>
          <w:rFonts w:cs="Times New Roman"/>
        </w:rPr>
        <w:t>Results highlighted in boldface indicate p-values of less than 0.05.</w:t>
      </w:r>
    </w:p>
    <w:p w14:paraId="57D88C13" w14:textId="77777777" w:rsidR="00C503D6" w:rsidRPr="00A53C1D" w:rsidRDefault="00C503D6" w:rsidP="00C503D6">
      <w:pPr>
        <w:rPr>
          <w:rFonts w:cs="Times New Roman"/>
        </w:rPr>
      </w:pPr>
    </w:p>
    <w:tbl>
      <w:tblPr>
        <w:tblW w:w="11620" w:type="dxa"/>
        <w:tblLook w:val="04A0" w:firstRow="1" w:lastRow="0" w:firstColumn="1" w:lastColumn="0" w:noHBand="0" w:noVBand="1"/>
      </w:tblPr>
      <w:tblGrid>
        <w:gridCol w:w="2840"/>
        <w:gridCol w:w="740"/>
        <w:gridCol w:w="1620"/>
        <w:gridCol w:w="1800"/>
        <w:gridCol w:w="1500"/>
        <w:gridCol w:w="1680"/>
        <w:gridCol w:w="1440"/>
      </w:tblGrid>
      <w:tr w:rsidR="00941BF3" w:rsidRPr="00941BF3" w14:paraId="0B791F8B" w14:textId="77777777" w:rsidTr="00941BF3">
        <w:trPr>
          <w:trHeight w:val="380"/>
        </w:trPr>
        <w:tc>
          <w:tcPr>
            <w:tcW w:w="2840" w:type="dxa"/>
            <w:tcBorders>
              <w:top w:val="nil"/>
              <w:left w:val="nil"/>
              <w:bottom w:val="nil"/>
              <w:right w:val="nil"/>
            </w:tcBorders>
            <w:shd w:val="clear" w:color="auto" w:fill="auto"/>
            <w:noWrap/>
            <w:vAlign w:val="bottom"/>
            <w:hideMark/>
          </w:tcPr>
          <w:p w14:paraId="6D5A393C" w14:textId="77777777" w:rsidR="00941BF3" w:rsidRPr="00941BF3" w:rsidRDefault="00941BF3" w:rsidP="00941BF3">
            <w:pPr>
              <w:rPr>
                <w:rFonts w:eastAsia="Times New Roman" w:cs="Times New Roman"/>
                <w:b/>
                <w:bCs/>
              </w:rPr>
            </w:pPr>
            <w:r w:rsidRPr="00941BF3">
              <w:rPr>
                <w:rFonts w:eastAsia="Times New Roman" w:cs="Times New Roman"/>
                <w:b/>
                <w:bCs/>
              </w:rPr>
              <w:t>Unweighted UniFrac</w:t>
            </w:r>
          </w:p>
        </w:tc>
        <w:tc>
          <w:tcPr>
            <w:tcW w:w="740" w:type="dxa"/>
            <w:tcBorders>
              <w:top w:val="nil"/>
              <w:left w:val="nil"/>
              <w:bottom w:val="nil"/>
              <w:right w:val="nil"/>
            </w:tcBorders>
            <w:shd w:val="clear" w:color="auto" w:fill="auto"/>
            <w:noWrap/>
            <w:vAlign w:val="bottom"/>
            <w:hideMark/>
          </w:tcPr>
          <w:p w14:paraId="3952A045" w14:textId="77777777" w:rsidR="00941BF3" w:rsidRPr="00941BF3" w:rsidRDefault="00941BF3" w:rsidP="00941BF3">
            <w:pPr>
              <w:rPr>
                <w:rFonts w:eastAsia="Times New Roman" w:cs="Times New Roman"/>
                <w:b/>
                <w:bCs/>
              </w:rPr>
            </w:pPr>
          </w:p>
        </w:tc>
        <w:tc>
          <w:tcPr>
            <w:tcW w:w="1620" w:type="dxa"/>
            <w:tcBorders>
              <w:top w:val="nil"/>
              <w:left w:val="nil"/>
              <w:bottom w:val="nil"/>
              <w:right w:val="nil"/>
            </w:tcBorders>
            <w:shd w:val="clear" w:color="auto" w:fill="auto"/>
            <w:noWrap/>
            <w:vAlign w:val="bottom"/>
            <w:hideMark/>
          </w:tcPr>
          <w:p w14:paraId="31DB3914" w14:textId="77777777" w:rsidR="00941BF3" w:rsidRPr="00941BF3" w:rsidRDefault="00941BF3" w:rsidP="00941BF3">
            <w:pPr>
              <w:rPr>
                <w:rFonts w:eastAsia="Times New Roman" w:cs="Times New Roman"/>
              </w:rPr>
            </w:pPr>
          </w:p>
        </w:tc>
        <w:tc>
          <w:tcPr>
            <w:tcW w:w="1800" w:type="dxa"/>
            <w:tcBorders>
              <w:top w:val="nil"/>
              <w:left w:val="nil"/>
              <w:bottom w:val="nil"/>
              <w:right w:val="nil"/>
            </w:tcBorders>
            <w:shd w:val="clear" w:color="auto" w:fill="auto"/>
            <w:noWrap/>
            <w:vAlign w:val="bottom"/>
            <w:hideMark/>
          </w:tcPr>
          <w:p w14:paraId="42298F14" w14:textId="77777777" w:rsidR="00941BF3" w:rsidRPr="00941BF3" w:rsidRDefault="00941BF3" w:rsidP="00941BF3">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4F62D1CC" w14:textId="77777777" w:rsidR="00941BF3" w:rsidRPr="00941BF3" w:rsidRDefault="00941BF3" w:rsidP="00941BF3">
            <w:pPr>
              <w:rPr>
                <w:rFonts w:eastAsia="Times New Roman" w:cs="Times New Roman"/>
              </w:rPr>
            </w:pPr>
          </w:p>
        </w:tc>
        <w:tc>
          <w:tcPr>
            <w:tcW w:w="1680" w:type="dxa"/>
            <w:tcBorders>
              <w:top w:val="nil"/>
              <w:left w:val="nil"/>
              <w:bottom w:val="nil"/>
              <w:right w:val="nil"/>
            </w:tcBorders>
            <w:shd w:val="clear" w:color="auto" w:fill="auto"/>
            <w:noWrap/>
            <w:vAlign w:val="bottom"/>
            <w:hideMark/>
          </w:tcPr>
          <w:p w14:paraId="1D176FA7" w14:textId="77777777" w:rsidR="00941BF3" w:rsidRPr="00941BF3" w:rsidRDefault="00941BF3" w:rsidP="00941BF3">
            <w:pPr>
              <w:rPr>
                <w:rFonts w:eastAsia="Times New Roman" w:cs="Times New Roman"/>
              </w:rPr>
            </w:pPr>
          </w:p>
        </w:tc>
        <w:tc>
          <w:tcPr>
            <w:tcW w:w="1440" w:type="dxa"/>
            <w:tcBorders>
              <w:top w:val="nil"/>
              <w:left w:val="nil"/>
              <w:bottom w:val="nil"/>
              <w:right w:val="nil"/>
            </w:tcBorders>
            <w:shd w:val="clear" w:color="auto" w:fill="auto"/>
            <w:noWrap/>
            <w:vAlign w:val="bottom"/>
            <w:hideMark/>
          </w:tcPr>
          <w:p w14:paraId="27232CC4" w14:textId="77777777" w:rsidR="00941BF3" w:rsidRPr="00941BF3" w:rsidRDefault="00941BF3" w:rsidP="00941BF3">
            <w:pPr>
              <w:rPr>
                <w:rFonts w:eastAsia="Times New Roman" w:cs="Times New Roman"/>
              </w:rPr>
            </w:pPr>
          </w:p>
        </w:tc>
      </w:tr>
      <w:tr w:rsidR="00941BF3" w:rsidRPr="00941BF3" w14:paraId="69C71807" w14:textId="77777777" w:rsidTr="00941BF3">
        <w:trPr>
          <w:trHeight w:val="380"/>
        </w:trPr>
        <w:tc>
          <w:tcPr>
            <w:tcW w:w="2840" w:type="dxa"/>
            <w:tcBorders>
              <w:top w:val="nil"/>
              <w:left w:val="nil"/>
              <w:bottom w:val="single" w:sz="4" w:space="0" w:color="auto"/>
              <w:right w:val="nil"/>
            </w:tcBorders>
            <w:shd w:val="clear" w:color="auto" w:fill="auto"/>
            <w:noWrap/>
            <w:vAlign w:val="bottom"/>
            <w:hideMark/>
          </w:tcPr>
          <w:p w14:paraId="40BBBDC9" w14:textId="77777777" w:rsidR="00941BF3" w:rsidRPr="00941BF3" w:rsidRDefault="00941BF3" w:rsidP="00941BF3">
            <w:pPr>
              <w:rPr>
                <w:rFonts w:eastAsia="Times New Roman" w:cs="Times New Roman"/>
              </w:rPr>
            </w:pPr>
            <w:r w:rsidRPr="00941BF3">
              <w:rPr>
                <w:rFonts w:eastAsia="Times New Roman" w:cs="Times New Roman"/>
              </w:rPr>
              <w:t> </w:t>
            </w:r>
          </w:p>
        </w:tc>
        <w:tc>
          <w:tcPr>
            <w:tcW w:w="740" w:type="dxa"/>
            <w:tcBorders>
              <w:top w:val="nil"/>
              <w:left w:val="nil"/>
              <w:bottom w:val="single" w:sz="4" w:space="0" w:color="auto"/>
              <w:right w:val="nil"/>
            </w:tcBorders>
            <w:shd w:val="clear" w:color="auto" w:fill="auto"/>
            <w:noWrap/>
            <w:vAlign w:val="bottom"/>
            <w:hideMark/>
          </w:tcPr>
          <w:p w14:paraId="7D6C9AE3" w14:textId="77777777" w:rsidR="00941BF3" w:rsidRPr="00941BF3" w:rsidRDefault="00941BF3" w:rsidP="00941BF3">
            <w:pPr>
              <w:rPr>
                <w:rFonts w:eastAsia="Times New Roman" w:cs="Times New Roman"/>
                <w:b/>
                <w:bCs/>
              </w:rPr>
            </w:pPr>
            <w:r w:rsidRPr="00941BF3">
              <w:rPr>
                <w:rFonts w:eastAsia="Times New Roman" w:cs="Times New Roman"/>
                <w:b/>
                <w:bCs/>
              </w:rPr>
              <w:t>Df</w:t>
            </w:r>
          </w:p>
        </w:tc>
        <w:tc>
          <w:tcPr>
            <w:tcW w:w="1620" w:type="dxa"/>
            <w:tcBorders>
              <w:top w:val="nil"/>
              <w:left w:val="nil"/>
              <w:bottom w:val="single" w:sz="4" w:space="0" w:color="auto"/>
              <w:right w:val="nil"/>
            </w:tcBorders>
            <w:shd w:val="clear" w:color="auto" w:fill="auto"/>
            <w:noWrap/>
            <w:vAlign w:val="bottom"/>
            <w:hideMark/>
          </w:tcPr>
          <w:p w14:paraId="4A7EF29F" w14:textId="77777777" w:rsidR="00941BF3" w:rsidRPr="00941BF3" w:rsidRDefault="00941BF3" w:rsidP="00941BF3">
            <w:pPr>
              <w:rPr>
                <w:rFonts w:eastAsia="Times New Roman" w:cs="Times New Roman"/>
                <w:b/>
                <w:bCs/>
              </w:rPr>
            </w:pPr>
            <w:r w:rsidRPr="00941BF3">
              <w:rPr>
                <w:rFonts w:eastAsia="Times New Roman" w:cs="Times New Roman"/>
                <w:b/>
                <w:bCs/>
              </w:rPr>
              <w:t>SumsOfSqs</w:t>
            </w:r>
          </w:p>
        </w:tc>
        <w:tc>
          <w:tcPr>
            <w:tcW w:w="1800" w:type="dxa"/>
            <w:tcBorders>
              <w:top w:val="nil"/>
              <w:left w:val="nil"/>
              <w:bottom w:val="single" w:sz="4" w:space="0" w:color="auto"/>
              <w:right w:val="nil"/>
            </w:tcBorders>
            <w:shd w:val="clear" w:color="auto" w:fill="auto"/>
            <w:noWrap/>
            <w:vAlign w:val="bottom"/>
            <w:hideMark/>
          </w:tcPr>
          <w:p w14:paraId="032E96DB" w14:textId="77777777" w:rsidR="00941BF3" w:rsidRPr="00941BF3" w:rsidRDefault="00941BF3" w:rsidP="00941BF3">
            <w:pPr>
              <w:rPr>
                <w:rFonts w:eastAsia="Times New Roman" w:cs="Times New Roman"/>
                <w:b/>
                <w:bCs/>
              </w:rPr>
            </w:pPr>
            <w:r w:rsidRPr="00941BF3">
              <w:rPr>
                <w:rFonts w:eastAsia="Times New Roman" w:cs="Times New Roman"/>
                <w:b/>
                <w:bCs/>
              </w:rPr>
              <w:t>MeanSqs</w:t>
            </w:r>
          </w:p>
        </w:tc>
        <w:tc>
          <w:tcPr>
            <w:tcW w:w="1500" w:type="dxa"/>
            <w:tcBorders>
              <w:top w:val="nil"/>
              <w:left w:val="nil"/>
              <w:bottom w:val="single" w:sz="4" w:space="0" w:color="auto"/>
              <w:right w:val="nil"/>
            </w:tcBorders>
            <w:shd w:val="clear" w:color="auto" w:fill="auto"/>
            <w:noWrap/>
            <w:vAlign w:val="bottom"/>
            <w:hideMark/>
          </w:tcPr>
          <w:p w14:paraId="2D5E01E9" w14:textId="77777777" w:rsidR="00941BF3" w:rsidRPr="00941BF3" w:rsidRDefault="00941BF3" w:rsidP="00941BF3">
            <w:pPr>
              <w:rPr>
                <w:rFonts w:eastAsia="Times New Roman" w:cs="Times New Roman"/>
                <w:b/>
                <w:bCs/>
              </w:rPr>
            </w:pPr>
            <w:r w:rsidRPr="00941BF3">
              <w:rPr>
                <w:rFonts w:eastAsia="Times New Roman" w:cs="Times New Roman"/>
                <w:b/>
                <w:bCs/>
              </w:rPr>
              <w:t>F.Model</w:t>
            </w:r>
          </w:p>
        </w:tc>
        <w:tc>
          <w:tcPr>
            <w:tcW w:w="1680" w:type="dxa"/>
            <w:tcBorders>
              <w:top w:val="nil"/>
              <w:left w:val="nil"/>
              <w:bottom w:val="single" w:sz="4" w:space="0" w:color="auto"/>
              <w:right w:val="nil"/>
            </w:tcBorders>
            <w:shd w:val="clear" w:color="auto" w:fill="auto"/>
            <w:noWrap/>
            <w:vAlign w:val="bottom"/>
            <w:hideMark/>
          </w:tcPr>
          <w:p w14:paraId="0A7C23E3" w14:textId="77777777" w:rsidR="00941BF3" w:rsidRPr="00941BF3" w:rsidRDefault="00941BF3" w:rsidP="00941BF3">
            <w:pPr>
              <w:rPr>
                <w:rFonts w:eastAsia="Times New Roman" w:cs="Times New Roman"/>
                <w:b/>
                <w:bCs/>
              </w:rPr>
            </w:pPr>
            <w:r w:rsidRPr="00941BF3">
              <w:rPr>
                <w:rFonts w:eastAsia="Times New Roman" w:cs="Times New Roman"/>
                <w:b/>
                <w:bCs/>
              </w:rPr>
              <w:t>R2</w:t>
            </w:r>
          </w:p>
        </w:tc>
        <w:tc>
          <w:tcPr>
            <w:tcW w:w="1440" w:type="dxa"/>
            <w:tcBorders>
              <w:top w:val="nil"/>
              <w:left w:val="nil"/>
              <w:bottom w:val="single" w:sz="4" w:space="0" w:color="auto"/>
              <w:right w:val="nil"/>
            </w:tcBorders>
            <w:shd w:val="clear" w:color="auto" w:fill="auto"/>
            <w:noWrap/>
            <w:vAlign w:val="bottom"/>
            <w:hideMark/>
          </w:tcPr>
          <w:p w14:paraId="57797695" w14:textId="77777777" w:rsidR="00941BF3" w:rsidRPr="00941BF3" w:rsidRDefault="00941BF3" w:rsidP="00941BF3">
            <w:pPr>
              <w:rPr>
                <w:rFonts w:eastAsia="Times New Roman" w:cs="Times New Roman"/>
                <w:b/>
                <w:bCs/>
              </w:rPr>
            </w:pPr>
            <w:r w:rsidRPr="00941BF3">
              <w:rPr>
                <w:rFonts w:eastAsia="Times New Roman" w:cs="Times New Roman"/>
                <w:b/>
                <w:bCs/>
              </w:rPr>
              <w:t>p-value</w:t>
            </w:r>
          </w:p>
        </w:tc>
      </w:tr>
      <w:tr w:rsidR="00941BF3" w:rsidRPr="00941BF3" w14:paraId="622AA24E" w14:textId="77777777" w:rsidTr="00941BF3">
        <w:trPr>
          <w:trHeight w:val="380"/>
        </w:trPr>
        <w:tc>
          <w:tcPr>
            <w:tcW w:w="2840" w:type="dxa"/>
            <w:tcBorders>
              <w:top w:val="nil"/>
              <w:left w:val="nil"/>
              <w:bottom w:val="nil"/>
              <w:right w:val="nil"/>
            </w:tcBorders>
            <w:shd w:val="clear" w:color="auto" w:fill="auto"/>
            <w:noWrap/>
            <w:vAlign w:val="bottom"/>
            <w:hideMark/>
          </w:tcPr>
          <w:p w14:paraId="15F1C5F2" w14:textId="77777777" w:rsidR="00941BF3" w:rsidRPr="00941BF3" w:rsidRDefault="00941BF3" w:rsidP="00941BF3">
            <w:pPr>
              <w:rPr>
                <w:rFonts w:eastAsia="Times New Roman" w:cs="Times New Roman"/>
                <w:b/>
                <w:bCs/>
              </w:rPr>
            </w:pPr>
            <w:r w:rsidRPr="00941BF3">
              <w:rPr>
                <w:rFonts w:eastAsia="Times New Roman" w:cs="Times New Roman"/>
                <w:b/>
                <w:bCs/>
              </w:rPr>
              <w:t>Palm identity</w:t>
            </w:r>
          </w:p>
        </w:tc>
        <w:tc>
          <w:tcPr>
            <w:tcW w:w="740" w:type="dxa"/>
            <w:tcBorders>
              <w:top w:val="nil"/>
              <w:left w:val="nil"/>
              <w:bottom w:val="nil"/>
              <w:right w:val="nil"/>
            </w:tcBorders>
            <w:shd w:val="clear" w:color="auto" w:fill="auto"/>
            <w:noWrap/>
            <w:vAlign w:val="bottom"/>
            <w:hideMark/>
          </w:tcPr>
          <w:p w14:paraId="7743A2FC" w14:textId="77777777" w:rsidR="00941BF3" w:rsidRPr="00941BF3" w:rsidRDefault="00941BF3" w:rsidP="00941BF3">
            <w:pPr>
              <w:jc w:val="right"/>
              <w:rPr>
                <w:rFonts w:eastAsia="Times New Roman" w:cs="Times New Roman"/>
              </w:rPr>
            </w:pPr>
            <w:r w:rsidRPr="00941BF3">
              <w:rPr>
                <w:rFonts w:eastAsia="Times New Roman" w:cs="Times New Roman"/>
              </w:rPr>
              <w:t>7</w:t>
            </w:r>
          </w:p>
        </w:tc>
        <w:tc>
          <w:tcPr>
            <w:tcW w:w="1620" w:type="dxa"/>
            <w:tcBorders>
              <w:top w:val="nil"/>
              <w:left w:val="nil"/>
              <w:bottom w:val="nil"/>
              <w:right w:val="nil"/>
            </w:tcBorders>
            <w:shd w:val="clear" w:color="auto" w:fill="auto"/>
            <w:noWrap/>
            <w:vAlign w:val="bottom"/>
            <w:hideMark/>
          </w:tcPr>
          <w:p w14:paraId="78D0A816" w14:textId="77777777" w:rsidR="00941BF3" w:rsidRPr="00941BF3" w:rsidRDefault="00941BF3" w:rsidP="00941BF3">
            <w:pPr>
              <w:jc w:val="right"/>
              <w:rPr>
                <w:rFonts w:eastAsia="Times New Roman" w:cs="Times New Roman"/>
              </w:rPr>
            </w:pPr>
            <w:r w:rsidRPr="00941BF3">
              <w:rPr>
                <w:rFonts w:eastAsia="Times New Roman" w:cs="Times New Roman"/>
              </w:rPr>
              <w:t>2.799913</w:t>
            </w:r>
          </w:p>
        </w:tc>
        <w:tc>
          <w:tcPr>
            <w:tcW w:w="1800" w:type="dxa"/>
            <w:tcBorders>
              <w:top w:val="nil"/>
              <w:left w:val="nil"/>
              <w:bottom w:val="nil"/>
              <w:right w:val="nil"/>
            </w:tcBorders>
            <w:shd w:val="clear" w:color="auto" w:fill="auto"/>
            <w:noWrap/>
            <w:vAlign w:val="bottom"/>
            <w:hideMark/>
          </w:tcPr>
          <w:p w14:paraId="77CD4EA6" w14:textId="77777777" w:rsidR="00941BF3" w:rsidRPr="00941BF3" w:rsidRDefault="00941BF3" w:rsidP="00941BF3">
            <w:pPr>
              <w:jc w:val="right"/>
              <w:rPr>
                <w:rFonts w:eastAsia="Times New Roman" w:cs="Times New Roman"/>
              </w:rPr>
            </w:pPr>
            <w:r w:rsidRPr="00941BF3">
              <w:rPr>
                <w:rFonts w:eastAsia="Times New Roman" w:cs="Times New Roman"/>
              </w:rPr>
              <w:t>0.399988</w:t>
            </w:r>
          </w:p>
        </w:tc>
        <w:tc>
          <w:tcPr>
            <w:tcW w:w="1500" w:type="dxa"/>
            <w:tcBorders>
              <w:top w:val="nil"/>
              <w:left w:val="nil"/>
              <w:bottom w:val="nil"/>
              <w:right w:val="nil"/>
            </w:tcBorders>
            <w:shd w:val="clear" w:color="auto" w:fill="auto"/>
            <w:noWrap/>
            <w:vAlign w:val="bottom"/>
            <w:hideMark/>
          </w:tcPr>
          <w:p w14:paraId="1A4F1D7C" w14:textId="77777777" w:rsidR="00941BF3" w:rsidRPr="00941BF3" w:rsidRDefault="00941BF3" w:rsidP="00941BF3">
            <w:pPr>
              <w:jc w:val="right"/>
              <w:rPr>
                <w:rFonts w:eastAsia="Times New Roman" w:cs="Times New Roman"/>
              </w:rPr>
            </w:pPr>
            <w:r w:rsidRPr="00941BF3">
              <w:rPr>
                <w:rFonts w:eastAsia="Times New Roman" w:cs="Times New Roman"/>
              </w:rPr>
              <w:t>2.81218</w:t>
            </w:r>
          </w:p>
        </w:tc>
        <w:tc>
          <w:tcPr>
            <w:tcW w:w="1680" w:type="dxa"/>
            <w:tcBorders>
              <w:top w:val="nil"/>
              <w:left w:val="nil"/>
              <w:bottom w:val="nil"/>
              <w:right w:val="nil"/>
            </w:tcBorders>
            <w:shd w:val="clear" w:color="auto" w:fill="auto"/>
            <w:noWrap/>
            <w:vAlign w:val="bottom"/>
            <w:hideMark/>
          </w:tcPr>
          <w:p w14:paraId="682AD62B" w14:textId="77777777" w:rsidR="00941BF3" w:rsidRPr="00941BF3" w:rsidRDefault="00941BF3" w:rsidP="00941BF3">
            <w:pPr>
              <w:jc w:val="right"/>
              <w:rPr>
                <w:rFonts w:eastAsia="Times New Roman" w:cs="Times New Roman"/>
              </w:rPr>
            </w:pPr>
            <w:r w:rsidRPr="00941BF3">
              <w:rPr>
                <w:rFonts w:eastAsia="Times New Roman" w:cs="Times New Roman"/>
              </w:rPr>
              <w:t>0.410588</w:t>
            </w:r>
          </w:p>
        </w:tc>
        <w:tc>
          <w:tcPr>
            <w:tcW w:w="1440" w:type="dxa"/>
            <w:tcBorders>
              <w:top w:val="nil"/>
              <w:left w:val="nil"/>
              <w:bottom w:val="nil"/>
              <w:right w:val="nil"/>
            </w:tcBorders>
            <w:shd w:val="clear" w:color="auto" w:fill="auto"/>
            <w:noWrap/>
            <w:vAlign w:val="bottom"/>
            <w:hideMark/>
          </w:tcPr>
          <w:p w14:paraId="4E670B55" w14:textId="77777777" w:rsidR="00941BF3" w:rsidRPr="00941BF3" w:rsidRDefault="00941BF3" w:rsidP="00941BF3">
            <w:pPr>
              <w:jc w:val="right"/>
              <w:rPr>
                <w:rFonts w:eastAsia="Times New Roman" w:cs="Times New Roman"/>
                <w:b/>
                <w:bCs/>
              </w:rPr>
            </w:pPr>
            <w:r w:rsidRPr="00941BF3">
              <w:rPr>
                <w:rFonts w:eastAsia="Times New Roman" w:cs="Times New Roman"/>
                <w:b/>
                <w:bCs/>
              </w:rPr>
              <w:t>0.001</w:t>
            </w:r>
          </w:p>
        </w:tc>
      </w:tr>
      <w:tr w:rsidR="00941BF3" w:rsidRPr="00941BF3" w14:paraId="6B15122B" w14:textId="77777777" w:rsidTr="00941BF3">
        <w:trPr>
          <w:trHeight w:val="380"/>
        </w:trPr>
        <w:tc>
          <w:tcPr>
            <w:tcW w:w="2840" w:type="dxa"/>
            <w:tcBorders>
              <w:top w:val="nil"/>
              <w:left w:val="nil"/>
              <w:bottom w:val="nil"/>
              <w:right w:val="nil"/>
            </w:tcBorders>
            <w:shd w:val="clear" w:color="auto" w:fill="auto"/>
            <w:noWrap/>
            <w:vAlign w:val="bottom"/>
            <w:hideMark/>
          </w:tcPr>
          <w:p w14:paraId="18A16FCB" w14:textId="77777777" w:rsidR="00941BF3" w:rsidRPr="00941BF3" w:rsidRDefault="00941BF3" w:rsidP="00941BF3">
            <w:pPr>
              <w:rPr>
                <w:rFonts w:eastAsia="Times New Roman" w:cs="Times New Roman"/>
                <w:b/>
                <w:bCs/>
              </w:rPr>
            </w:pPr>
            <w:r w:rsidRPr="00941BF3">
              <w:rPr>
                <w:rFonts w:eastAsia="Times New Roman" w:cs="Times New Roman"/>
                <w:b/>
                <w:bCs/>
              </w:rPr>
              <w:t>Age group</w:t>
            </w:r>
          </w:p>
        </w:tc>
        <w:tc>
          <w:tcPr>
            <w:tcW w:w="740" w:type="dxa"/>
            <w:tcBorders>
              <w:top w:val="nil"/>
              <w:left w:val="nil"/>
              <w:bottom w:val="nil"/>
              <w:right w:val="nil"/>
            </w:tcBorders>
            <w:shd w:val="clear" w:color="auto" w:fill="auto"/>
            <w:noWrap/>
            <w:vAlign w:val="bottom"/>
            <w:hideMark/>
          </w:tcPr>
          <w:p w14:paraId="044A6FFA" w14:textId="77777777" w:rsidR="00941BF3" w:rsidRPr="00941BF3" w:rsidRDefault="00941BF3" w:rsidP="00941BF3">
            <w:pPr>
              <w:jc w:val="right"/>
              <w:rPr>
                <w:rFonts w:eastAsia="Times New Roman" w:cs="Times New Roman"/>
              </w:rPr>
            </w:pPr>
            <w:r w:rsidRPr="00941BF3">
              <w:rPr>
                <w:rFonts w:eastAsia="Times New Roman" w:cs="Times New Roman"/>
              </w:rPr>
              <w:t>1</w:t>
            </w:r>
          </w:p>
        </w:tc>
        <w:tc>
          <w:tcPr>
            <w:tcW w:w="1620" w:type="dxa"/>
            <w:tcBorders>
              <w:top w:val="nil"/>
              <w:left w:val="nil"/>
              <w:bottom w:val="nil"/>
              <w:right w:val="nil"/>
            </w:tcBorders>
            <w:shd w:val="clear" w:color="auto" w:fill="auto"/>
            <w:noWrap/>
            <w:vAlign w:val="bottom"/>
            <w:hideMark/>
          </w:tcPr>
          <w:p w14:paraId="36B68A42" w14:textId="77777777" w:rsidR="00941BF3" w:rsidRPr="00941BF3" w:rsidRDefault="00941BF3" w:rsidP="00941BF3">
            <w:pPr>
              <w:jc w:val="right"/>
              <w:rPr>
                <w:rFonts w:eastAsia="Times New Roman" w:cs="Times New Roman"/>
              </w:rPr>
            </w:pPr>
            <w:r w:rsidRPr="00941BF3">
              <w:rPr>
                <w:rFonts w:eastAsia="Times New Roman" w:cs="Times New Roman"/>
              </w:rPr>
              <w:t>0.258253</w:t>
            </w:r>
          </w:p>
        </w:tc>
        <w:tc>
          <w:tcPr>
            <w:tcW w:w="1800" w:type="dxa"/>
            <w:tcBorders>
              <w:top w:val="nil"/>
              <w:left w:val="nil"/>
              <w:bottom w:val="nil"/>
              <w:right w:val="nil"/>
            </w:tcBorders>
            <w:shd w:val="clear" w:color="auto" w:fill="auto"/>
            <w:noWrap/>
            <w:vAlign w:val="bottom"/>
            <w:hideMark/>
          </w:tcPr>
          <w:p w14:paraId="13E2E7E9" w14:textId="77777777" w:rsidR="00941BF3" w:rsidRPr="00941BF3" w:rsidRDefault="00941BF3" w:rsidP="00941BF3">
            <w:pPr>
              <w:jc w:val="right"/>
              <w:rPr>
                <w:rFonts w:eastAsia="Times New Roman" w:cs="Times New Roman"/>
              </w:rPr>
            </w:pPr>
            <w:r w:rsidRPr="00941BF3">
              <w:rPr>
                <w:rFonts w:eastAsia="Times New Roman" w:cs="Times New Roman"/>
              </w:rPr>
              <w:t>0.258253</w:t>
            </w:r>
          </w:p>
        </w:tc>
        <w:tc>
          <w:tcPr>
            <w:tcW w:w="1500" w:type="dxa"/>
            <w:tcBorders>
              <w:top w:val="nil"/>
              <w:left w:val="nil"/>
              <w:bottom w:val="nil"/>
              <w:right w:val="nil"/>
            </w:tcBorders>
            <w:shd w:val="clear" w:color="auto" w:fill="auto"/>
            <w:noWrap/>
            <w:vAlign w:val="bottom"/>
            <w:hideMark/>
          </w:tcPr>
          <w:p w14:paraId="02E798A2" w14:textId="77777777" w:rsidR="00941BF3" w:rsidRPr="00941BF3" w:rsidRDefault="00941BF3" w:rsidP="00941BF3">
            <w:pPr>
              <w:jc w:val="right"/>
              <w:rPr>
                <w:rFonts w:eastAsia="Times New Roman" w:cs="Times New Roman"/>
              </w:rPr>
            </w:pPr>
            <w:r w:rsidRPr="00941BF3">
              <w:rPr>
                <w:rFonts w:eastAsia="Times New Roman" w:cs="Times New Roman"/>
              </w:rPr>
              <w:t>1.81569</w:t>
            </w:r>
          </w:p>
        </w:tc>
        <w:tc>
          <w:tcPr>
            <w:tcW w:w="1680" w:type="dxa"/>
            <w:tcBorders>
              <w:top w:val="nil"/>
              <w:left w:val="nil"/>
              <w:bottom w:val="nil"/>
              <w:right w:val="nil"/>
            </w:tcBorders>
            <w:shd w:val="clear" w:color="auto" w:fill="auto"/>
            <w:noWrap/>
            <w:vAlign w:val="bottom"/>
            <w:hideMark/>
          </w:tcPr>
          <w:p w14:paraId="09D7412B" w14:textId="77777777" w:rsidR="00941BF3" w:rsidRPr="00941BF3" w:rsidRDefault="00941BF3" w:rsidP="00941BF3">
            <w:pPr>
              <w:jc w:val="right"/>
              <w:rPr>
                <w:rFonts w:eastAsia="Times New Roman" w:cs="Times New Roman"/>
              </w:rPr>
            </w:pPr>
            <w:r w:rsidRPr="00941BF3">
              <w:rPr>
                <w:rFonts w:eastAsia="Times New Roman" w:cs="Times New Roman"/>
              </w:rPr>
              <w:t>0.037871</w:t>
            </w:r>
          </w:p>
        </w:tc>
        <w:tc>
          <w:tcPr>
            <w:tcW w:w="1440" w:type="dxa"/>
            <w:tcBorders>
              <w:top w:val="nil"/>
              <w:left w:val="nil"/>
              <w:bottom w:val="nil"/>
              <w:right w:val="nil"/>
            </w:tcBorders>
            <w:shd w:val="clear" w:color="auto" w:fill="auto"/>
            <w:noWrap/>
            <w:vAlign w:val="bottom"/>
            <w:hideMark/>
          </w:tcPr>
          <w:p w14:paraId="21EBB896" w14:textId="77777777" w:rsidR="00941BF3" w:rsidRPr="00941BF3" w:rsidRDefault="00941BF3" w:rsidP="00941BF3">
            <w:pPr>
              <w:jc w:val="right"/>
              <w:rPr>
                <w:rFonts w:eastAsia="Times New Roman" w:cs="Times New Roman"/>
                <w:b/>
                <w:bCs/>
              </w:rPr>
            </w:pPr>
            <w:r w:rsidRPr="00941BF3">
              <w:rPr>
                <w:rFonts w:eastAsia="Times New Roman" w:cs="Times New Roman"/>
                <w:b/>
                <w:bCs/>
              </w:rPr>
              <w:t>0.046</w:t>
            </w:r>
          </w:p>
        </w:tc>
      </w:tr>
      <w:tr w:rsidR="00941BF3" w:rsidRPr="00941BF3" w14:paraId="358BCF68" w14:textId="77777777" w:rsidTr="00941BF3">
        <w:trPr>
          <w:trHeight w:val="380"/>
        </w:trPr>
        <w:tc>
          <w:tcPr>
            <w:tcW w:w="2840" w:type="dxa"/>
            <w:tcBorders>
              <w:top w:val="nil"/>
              <w:left w:val="nil"/>
              <w:bottom w:val="nil"/>
              <w:right w:val="nil"/>
            </w:tcBorders>
            <w:shd w:val="clear" w:color="auto" w:fill="auto"/>
            <w:noWrap/>
            <w:vAlign w:val="bottom"/>
            <w:hideMark/>
          </w:tcPr>
          <w:p w14:paraId="2266FBB7" w14:textId="77777777" w:rsidR="00941BF3" w:rsidRPr="00941BF3" w:rsidRDefault="00941BF3" w:rsidP="00941BF3">
            <w:pPr>
              <w:rPr>
                <w:rFonts w:eastAsia="Times New Roman" w:cs="Times New Roman"/>
                <w:b/>
                <w:bCs/>
              </w:rPr>
            </w:pPr>
            <w:r w:rsidRPr="00941BF3">
              <w:rPr>
                <w:rFonts w:eastAsia="Times New Roman" w:cs="Times New Roman"/>
                <w:b/>
                <w:bCs/>
              </w:rPr>
              <w:t>Habitat type</w:t>
            </w:r>
          </w:p>
        </w:tc>
        <w:tc>
          <w:tcPr>
            <w:tcW w:w="740" w:type="dxa"/>
            <w:tcBorders>
              <w:top w:val="nil"/>
              <w:left w:val="nil"/>
              <w:bottom w:val="nil"/>
              <w:right w:val="nil"/>
            </w:tcBorders>
            <w:shd w:val="clear" w:color="auto" w:fill="auto"/>
            <w:noWrap/>
            <w:vAlign w:val="bottom"/>
            <w:hideMark/>
          </w:tcPr>
          <w:p w14:paraId="63D34F8E" w14:textId="77777777" w:rsidR="00941BF3" w:rsidRPr="00941BF3" w:rsidRDefault="00941BF3" w:rsidP="00941BF3">
            <w:pPr>
              <w:jc w:val="right"/>
              <w:rPr>
                <w:rFonts w:eastAsia="Times New Roman" w:cs="Times New Roman"/>
              </w:rPr>
            </w:pPr>
            <w:r w:rsidRPr="00941BF3">
              <w:rPr>
                <w:rFonts w:eastAsia="Times New Roman" w:cs="Times New Roman"/>
              </w:rPr>
              <w:t>1</w:t>
            </w:r>
          </w:p>
        </w:tc>
        <w:tc>
          <w:tcPr>
            <w:tcW w:w="1620" w:type="dxa"/>
            <w:tcBorders>
              <w:top w:val="nil"/>
              <w:left w:val="nil"/>
              <w:bottom w:val="nil"/>
              <w:right w:val="nil"/>
            </w:tcBorders>
            <w:shd w:val="clear" w:color="auto" w:fill="auto"/>
            <w:noWrap/>
            <w:vAlign w:val="bottom"/>
            <w:hideMark/>
          </w:tcPr>
          <w:p w14:paraId="3C9FDDA4" w14:textId="77777777" w:rsidR="00941BF3" w:rsidRPr="00941BF3" w:rsidRDefault="00941BF3" w:rsidP="00941BF3">
            <w:pPr>
              <w:jc w:val="right"/>
              <w:rPr>
                <w:rFonts w:eastAsia="Times New Roman" w:cs="Times New Roman"/>
              </w:rPr>
            </w:pPr>
            <w:r w:rsidRPr="00941BF3">
              <w:rPr>
                <w:rFonts w:eastAsia="Times New Roman" w:cs="Times New Roman"/>
              </w:rPr>
              <w:t>0</w:t>
            </w:r>
          </w:p>
        </w:tc>
        <w:tc>
          <w:tcPr>
            <w:tcW w:w="1800" w:type="dxa"/>
            <w:tcBorders>
              <w:top w:val="nil"/>
              <w:left w:val="nil"/>
              <w:bottom w:val="nil"/>
              <w:right w:val="nil"/>
            </w:tcBorders>
            <w:shd w:val="clear" w:color="auto" w:fill="auto"/>
            <w:noWrap/>
            <w:vAlign w:val="bottom"/>
            <w:hideMark/>
          </w:tcPr>
          <w:p w14:paraId="5C06BB5C" w14:textId="77777777" w:rsidR="00941BF3" w:rsidRPr="00941BF3" w:rsidRDefault="00941BF3" w:rsidP="00941BF3">
            <w:pPr>
              <w:jc w:val="right"/>
              <w:rPr>
                <w:rFonts w:eastAsia="Times New Roman" w:cs="Times New Roman"/>
              </w:rPr>
            </w:pPr>
            <w:r w:rsidRPr="00941BF3">
              <w:rPr>
                <w:rFonts w:eastAsia="Times New Roman" w:cs="Times New Roman"/>
              </w:rPr>
              <w:t>0</w:t>
            </w:r>
          </w:p>
        </w:tc>
        <w:tc>
          <w:tcPr>
            <w:tcW w:w="1500" w:type="dxa"/>
            <w:tcBorders>
              <w:top w:val="nil"/>
              <w:left w:val="nil"/>
              <w:bottom w:val="nil"/>
              <w:right w:val="nil"/>
            </w:tcBorders>
            <w:shd w:val="clear" w:color="auto" w:fill="auto"/>
            <w:noWrap/>
            <w:vAlign w:val="bottom"/>
            <w:hideMark/>
          </w:tcPr>
          <w:p w14:paraId="094EB003" w14:textId="77777777" w:rsidR="00941BF3" w:rsidRPr="00941BF3" w:rsidRDefault="00941BF3" w:rsidP="00941BF3">
            <w:pPr>
              <w:jc w:val="right"/>
              <w:rPr>
                <w:rFonts w:eastAsia="Times New Roman" w:cs="Times New Roman"/>
              </w:rPr>
            </w:pPr>
            <w:r w:rsidRPr="00941BF3">
              <w:rPr>
                <w:rFonts w:eastAsia="Times New Roman" w:cs="Times New Roman"/>
              </w:rPr>
              <w:t>0</w:t>
            </w:r>
          </w:p>
        </w:tc>
        <w:tc>
          <w:tcPr>
            <w:tcW w:w="1680" w:type="dxa"/>
            <w:tcBorders>
              <w:top w:val="nil"/>
              <w:left w:val="nil"/>
              <w:bottom w:val="nil"/>
              <w:right w:val="nil"/>
            </w:tcBorders>
            <w:shd w:val="clear" w:color="auto" w:fill="auto"/>
            <w:noWrap/>
            <w:vAlign w:val="bottom"/>
            <w:hideMark/>
          </w:tcPr>
          <w:p w14:paraId="2AC312AC" w14:textId="77777777" w:rsidR="00941BF3" w:rsidRPr="00941BF3" w:rsidRDefault="00941BF3" w:rsidP="00941BF3">
            <w:pPr>
              <w:jc w:val="right"/>
              <w:rPr>
                <w:rFonts w:eastAsia="Times New Roman" w:cs="Times New Roman"/>
              </w:rPr>
            </w:pPr>
            <w:r w:rsidRPr="00941BF3">
              <w:rPr>
                <w:rFonts w:eastAsia="Times New Roman" w:cs="Times New Roman"/>
              </w:rPr>
              <w:t>0</w:t>
            </w:r>
          </w:p>
        </w:tc>
        <w:tc>
          <w:tcPr>
            <w:tcW w:w="1440" w:type="dxa"/>
            <w:tcBorders>
              <w:top w:val="nil"/>
              <w:left w:val="nil"/>
              <w:bottom w:val="nil"/>
              <w:right w:val="nil"/>
            </w:tcBorders>
            <w:shd w:val="clear" w:color="auto" w:fill="auto"/>
            <w:noWrap/>
            <w:vAlign w:val="bottom"/>
            <w:hideMark/>
          </w:tcPr>
          <w:p w14:paraId="18B01113" w14:textId="77777777" w:rsidR="00941BF3" w:rsidRPr="00941BF3" w:rsidRDefault="00941BF3" w:rsidP="00941BF3">
            <w:pPr>
              <w:jc w:val="right"/>
              <w:rPr>
                <w:rFonts w:eastAsia="Times New Roman" w:cs="Times New Roman"/>
              </w:rPr>
            </w:pPr>
            <w:r w:rsidRPr="00941BF3">
              <w:rPr>
                <w:rFonts w:eastAsia="Times New Roman" w:cs="Times New Roman"/>
              </w:rPr>
              <w:t>NaN</w:t>
            </w:r>
          </w:p>
        </w:tc>
      </w:tr>
      <w:tr w:rsidR="00941BF3" w:rsidRPr="00941BF3" w14:paraId="2BBD1AFE" w14:textId="77777777" w:rsidTr="00941BF3">
        <w:trPr>
          <w:trHeight w:val="380"/>
        </w:trPr>
        <w:tc>
          <w:tcPr>
            <w:tcW w:w="2840" w:type="dxa"/>
            <w:tcBorders>
              <w:top w:val="nil"/>
              <w:left w:val="nil"/>
              <w:bottom w:val="nil"/>
              <w:right w:val="nil"/>
            </w:tcBorders>
            <w:shd w:val="clear" w:color="auto" w:fill="auto"/>
            <w:noWrap/>
            <w:vAlign w:val="bottom"/>
            <w:hideMark/>
          </w:tcPr>
          <w:p w14:paraId="4FA0A9E3" w14:textId="77777777" w:rsidR="00941BF3" w:rsidRPr="00941BF3" w:rsidRDefault="00941BF3" w:rsidP="00941BF3">
            <w:pPr>
              <w:rPr>
                <w:rFonts w:eastAsia="Times New Roman" w:cs="Times New Roman"/>
                <w:b/>
                <w:bCs/>
              </w:rPr>
            </w:pPr>
            <w:r w:rsidRPr="00941BF3">
              <w:rPr>
                <w:rFonts w:eastAsia="Times New Roman" w:cs="Times New Roman"/>
                <w:b/>
                <w:bCs/>
              </w:rPr>
              <w:t>Dominant blood meal</w:t>
            </w:r>
          </w:p>
        </w:tc>
        <w:tc>
          <w:tcPr>
            <w:tcW w:w="740" w:type="dxa"/>
            <w:tcBorders>
              <w:top w:val="nil"/>
              <w:left w:val="nil"/>
              <w:bottom w:val="nil"/>
              <w:right w:val="nil"/>
            </w:tcBorders>
            <w:shd w:val="clear" w:color="auto" w:fill="auto"/>
            <w:noWrap/>
            <w:vAlign w:val="bottom"/>
            <w:hideMark/>
          </w:tcPr>
          <w:p w14:paraId="61A252E3" w14:textId="77777777" w:rsidR="00941BF3" w:rsidRPr="00941BF3" w:rsidRDefault="00941BF3" w:rsidP="00941BF3">
            <w:pPr>
              <w:jc w:val="right"/>
              <w:rPr>
                <w:rFonts w:eastAsia="Times New Roman" w:cs="Times New Roman"/>
              </w:rPr>
            </w:pPr>
            <w:r w:rsidRPr="00941BF3">
              <w:rPr>
                <w:rFonts w:eastAsia="Times New Roman" w:cs="Times New Roman"/>
              </w:rPr>
              <w:t>4</w:t>
            </w:r>
          </w:p>
        </w:tc>
        <w:tc>
          <w:tcPr>
            <w:tcW w:w="1620" w:type="dxa"/>
            <w:tcBorders>
              <w:top w:val="nil"/>
              <w:left w:val="nil"/>
              <w:bottom w:val="nil"/>
              <w:right w:val="nil"/>
            </w:tcBorders>
            <w:shd w:val="clear" w:color="auto" w:fill="auto"/>
            <w:noWrap/>
            <w:vAlign w:val="bottom"/>
            <w:hideMark/>
          </w:tcPr>
          <w:p w14:paraId="2B52BE1C" w14:textId="77777777" w:rsidR="00941BF3" w:rsidRPr="00941BF3" w:rsidRDefault="00941BF3" w:rsidP="00941BF3">
            <w:pPr>
              <w:jc w:val="right"/>
              <w:rPr>
                <w:rFonts w:eastAsia="Times New Roman" w:cs="Times New Roman"/>
              </w:rPr>
            </w:pPr>
            <w:r w:rsidRPr="00941BF3">
              <w:rPr>
                <w:rFonts w:eastAsia="Times New Roman" w:cs="Times New Roman"/>
              </w:rPr>
              <w:t>0.614722</w:t>
            </w:r>
          </w:p>
        </w:tc>
        <w:tc>
          <w:tcPr>
            <w:tcW w:w="1800" w:type="dxa"/>
            <w:tcBorders>
              <w:top w:val="nil"/>
              <w:left w:val="nil"/>
              <w:bottom w:val="nil"/>
              <w:right w:val="nil"/>
            </w:tcBorders>
            <w:shd w:val="clear" w:color="auto" w:fill="auto"/>
            <w:noWrap/>
            <w:vAlign w:val="bottom"/>
            <w:hideMark/>
          </w:tcPr>
          <w:p w14:paraId="20540460" w14:textId="77777777" w:rsidR="00941BF3" w:rsidRPr="00941BF3" w:rsidRDefault="00941BF3" w:rsidP="00941BF3">
            <w:pPr>
              <w:jc w:val="right"/>
              <w:rPr>
                <w:rFonts w:eastAsia="Times New Roman" w:cs="Times New Roman"/>
              </w:rPr>
            </w:pPr>
            <w:r w:rsidRPr="00941BF3">
              <w:rPr>
                <w:rFonts w:eastAsia="Times New Roman" w:cs="Times New Roman"/>
              </w:rPr>
              <w:t>0.15368</w:t>
            </w:r>
          </w:p>
        </w:tc>
        <w:tc>
          <w:tcPr>
            <w:tcW w:w="1500" w:type="dxa"/>
            <w:tcBorders>
              <w:top w:val="nil"/>
              <w:left w:val="nil"/>
              <w:bottom w:val="nil"/>
              <w:right w:val="nil"/>
            </w:tcBorders>
            <w:shd w:val="clear" w:color="auto" w:fill="auto"/>
            <w:noWrap/>
            <w:vAlign w:val="bottom"/>
            <w:hideMark/>
          </w:tcPr>
          <w:p w14:paraId="5238A64C" w14:textId="77777777" w:rsidR="00941BF3" w:rsidRPr="00941BF3" w:rsidRDefault="00941BF3" w:rsidP="00941BF3">
            <w:pPr>
              <w:jc w:val="right"/>
              <w:rPr>
                <w:rFonts w:eastAsia="Times New Roman" w:cs="Times New Roman"/>
              </w:rPr>
            </w:pPr>
            <w:r w:rsidRPr="00941BF3">
              <w:rPr>
                <w:rFonts w:eastAsia="Times New Roman" w:cs="Times New Roman"/>
              </w:rPr>
              <w:t>1.080476</w:t>
            </w:r>
          </w:p>
        </w:tc>
        <w:tc>
          <w:tcPr>
            <w:tcW w:w="1680" w:type="dxa"/>
            <w:tcBorders>
              <w:top w:val="nil"/>
              <w:left w:val="nil"/>
              <w:bottom w:val="nil"/>
              <w:right w:val="nil"/>
            </w:tcBorders>
            <w:shd w:val="clear" w:color="auto" w:fill="auto"/>
            <w:noWrap/>
            <w:vAlign w:val="bottom"/>
            <w:hideMark/>
          </w:tcPr>
          <w:p w14:paraId="6250A020" w14:textId="77777777" w:rsidR="00941BF3" w:rsidRPr="00941BF3" w:rsidRDefault="00941BF3" w:rsidP="00941BF3">
            <w:pPr>
              <w:jc w:val="right"/>
              <w:rPr>
                <w:rFonts w:eastAsia="Times New Roman" w:cs="Times New Roman"/>
              </w:rPr>
            </w:pPr>
            <w:r w:rsidRPr="00941BF3">
              <w:rPr>
                <w:rFonts w:eastAsia="Times New Roman" w:cs="Times New Roman"/>
              </w:rPr>
              <w:t>0.090145</w:t>
            </w:r>
          </w:p>
        </w:tc>
        <w:tc>
          <w:tcPr>
            <w:tcW w:w="1440" w:type="dxa"/>
            <w:tcBorders>
              <w:top w:val="nil"/>
              <w:left w:val="nil"/>
              <w:bottom w:val="nil"/>
              <w:right w:val="nil"/>
            </w:tcBorders>
            <w:shd w:val="clear" w:color="auto" w:fill="auto"/>
            <w:noWrap/>
            <w:vAlign w:val="bottom"/>
            <w:hideMark/>
          </w:tcPr>
          <w:p w14:paraId="4A1BE8C1" w14:textId="77777777" w:rsidR="00941BF3" w:rsidRPr="00941BF3" w:rsidRDefault="00941BF3" w:rsidP="00941BF3">
            <w:pPr>
              <w:jc w:val="right"/>
              <w:rPr>
                <w:rFonts w:eastAsia="Times New Roman" w:cs="Times New Roman"/>
              </w:rPr>
            </w:pPr>
            <w:r w:rsidRPr="00941BF3">
              <w:rPr>
                <w:rFonts w:eastAsia="Times New Roman" w:cs="Times New Roman"/>
              </w:rPr>
              <w:t>0.354</w:t>
            </w:r>
          </w:p>
        </w:tc>
      </w:tr>
      <w:tr w:rsidR="00941BF3" w:rsidRPr="00941BF3" w14:paraId="6AD682DE" w14:textId="77777777" w:rsidTr="00941BF3">
        <w:trPr>
          <w:trHeight w:val="380"/>
        </w:trPr>
        <w:tc>
          <w:tcPr>
            <w:tcW w:w="2840" w:type="dxa"/>
            <w:tcBorders>
              <w:top w:val="nil"/>
              <w:left w:val="nil"/>
              <w:bottom w:val="nil"/>
              <w:right w:val="nil"/>
            </w:tcBorders>
            <w:shd w:val="clear" w:color="auto" w:fill="auto"/>
            <w:noWrap/>
            <w:vAlign w:val="bottom"/>
            <w:hideMark/>
          </w:tcPr>
          <w:p w14:paraId="10C144D0" w14:textId="77777777" w:rsidR="00941BF3" w:rsidRPr="00941BF3" w:rsidRDefault="00941BF3" w:rsidP="00941BF3">
            <w:pPr>
              <w:rPr>
                <w:rFonts w:eastAsia="Times New Roman" w:cs="Times New Roman"/>
                <w:b/>
                <w:bCs/>
              </w:rPr>
            </w:pPr>
            <w:r w:rsidRPr="00941BF3">
              <w:rPr>
                <w:rFonts w:eastAsia="Times New Roman" w:cs="Times New Roman"/>
                <w:b/>
                <w:bCs/>
              </w:rPr>
              <w:t>Blood meal richness</w:t>
            </w:r>
          </w:p>
        </w:tc>
        <w:tc>
          <w:tcPr>
            <w:tcW w:w="740" w:type="dxa"/>
            <w:tcBorders>
              <w:top w:val="nil"/>
              <w:left w:val="nil"/>
              <w:bottom w:val="nil"/>
              <w:right w:val="nil"/>
            </w:tcBorders>
            <w:shd w:val="clear" w:color="auto" w:fill="auto"/>
            <w:noWrap/>
            <w:vAlign w:val="bottom"/>
            <w:hideMark/>
          </w:tcPr>
          <w:p w14:paraId="61799E6D" w14:textId="77777777" w:rsidR="00941BF3" w:rsidRPr="00941BF3" w:rsidRDefault="00941BF3" w:rsidP="00941BF3">
            <w:pPr>
              <w:jc w:val="right"/>
              <w:rPr>
                <w:rFonts w:eastAsia="Times New Roman" w:cs="Times New Roman"/>
              </w:rPr>
            </w:pPr>
            <w:r w:rsidRPr="00941BF3">
              <w:rPr>
                <w:rFonts w:eastAsia="Times New Roman" w:cs="Times New Roman"/>
              </w:rPr>
              <w:t>3</w:t>
            </w:r>
          </w:p>
        </w:tc>
        <w:tc>
          <w:tcPr>
            <w:tcW w:w="1620" w:type="dxa"/>
            <w:tcBorders>
              <w:top w:val="nil"/>
              <w:left w:val="nil"/>
              <w:bottom w:val="nil"/>
              <w:right w:val="nil"/>
            </w:tcBorders>
            <w:shd w:val="clear" w:color="auto" w:fill="auto"/>
            <w:noWrap/>
            <w:vAlign w:val="bottom"/>
            <w:hideMark/>
          </w:tcPr>
          <w:p w14:paraId="11BFA4A6" w14:textId="77777777" w:rsidR="00941BF3" w:rsidRPr="00941BF3" w:rsidRDefault="00941BF3" w:rsidP="00941BF3">
            <w:pPr>
              <w:jc w:val="right"/>
              <w:rPr>
                <w:rFonts w:eastAsia="Times New Roman" w:cs="Times New Roman"/>
              </w:rPr>
            </w:pPr>
            <w:r w:rsidRPr="00941BF3">
              <w:rPr>
                <w:rFonts w:eastAsia="Times New Roman" w:cs="Times New Roman"/>
              </w:rPr>
              <w:t>0.586181</w:t>
            </w:r>
          </w:p>
        </w:tc>
        <w:tc>
          <w:tcPr>
            <w:tcW w:w="1800" w:type="dxa"/>
            <w:tcBorders>
              <w:top w:val="nil"/>
              <w:left w:val="nil"/>
              <w:bottom w:val="nil"/>
              <w:right w:val="nil"/>
            </w:tcBorders>
            <w:shd w:val="clear" w:color="auto" w:fill="auto"/>
            <w:noWrap/>
            <w:vAlign w:val="bottom"/>
            <w:hideMark/>
          </w:tcPr>
          <w:p w14:paraId="001C411C" w14:textId="77777777" w:rsidR="00941BF3" w:rsidRPr="00941BF3" w:rsidRDefault="00941BF3" w:rsidP="00941BF3">
            <w:pPr>
              <w:jc w:val="right"/>
              <w:rPr>
                <w:rFonts w:eastAsia="Times New Roman" w:cs="Times New Roman"/>
              </w:rPr>
            </w:pPr>
            <w:r w:rsidRPr="00941BF3">
              <w:rPr>
                <w:rFonts w:eastAsia="Times New Roman" w:cs="Times New Roman"/>
              </w:rPr>
              <w:t>0.195394</w:t>
            </w:r>
          </w:p>
        </w:tc>
        <w:tc>
          <w:tcPr>
            <w:tcW w:w="1500" w:type="dxa"/>
            <w:tcBorders>
              <w:top w:val="nil"/>
              <w:left w:val="nil"/>
              <w:bottom w:val="nil"/>
              <w:right w:val="nil"/>
            </w:tcBorders>
            <w:shd w:val="clear" w:color="auto" w:fill="auto"/>
            <w:noWrap/>
            <w:vAlign w:val="bottom"/>
            <w:hideMark/>
          </w:tcPr>
          <w:p w14:paraId="56FA899D" w14:textId="77777777" w:rsidR="00941BF3" w:rsidRPr="00941BF3" w:rsidRDefault="00941BF3" w:rsidP="00941BF3">
            <w:pPr>
              <w:jc w:val="right"/>
              <w:rPr>
                <w:rFonts w:eastAsia="Times New Roman" w:cs="Times New Roman"/>
              </w:rPr>
            </w:pPr>
            <w:r w:rsidRPr="00941BF3">
              <w:rPr>
                <w:rFonts w:eastAsia="Times New Roman" w:cs="Times New Roman"/>
              </w:rPr>
              <w:t>1.373748</w:t>
            </w:r>
          </w:p>
        </w:tc>
        <w:tc>
          <w:tcPr>
            <w:tcW w:w="1680" w:type="dxa"/>
            <w:tcBorders>
              <w:top w:val="nil"/>
              <w:left w:val="nil"/>
              <w:bottom w:val="nil"/>
              <w:right w:val="nil"/>
            </w:tcBorders>
            <w:shd w:val="clear" w:color="auto" w:fill="auto"/>
            <w:noWrap/>
            <w:vAlign w:val="bottom"/>
            <w:hideMark/>
          </w:tcPr>
          <w:p w14:paraId="647E3FF3" w14:textId="77777777" w:rsidR="00941BF3" w:rsidRPr="00941BF3" w:rsidRDefault="00941BF3" w:rsidP="00941BF3">
            <w:pPr>
              <w:jc w:val="right"/>
              <w:rPr>
                <w:rFonts w:eastAsia="Times New Roman" w:cs="Times New Roman"/>
              </w:rPr>
            </w:pPr>
            <w:r w:rsidRPr="00941BF3">
              <w:rPr>
                <w:rFonts w:eastAsia="Times New Roman" w:cs="Times New Roman"/>
              </w:rPr>
              <w:t>0.085959</w:t>
            </w:r>
          </w:p>
        </w:tc>
        <w:tc>
          <w:tcPr>
            <w:tcW w:w="1440" w:type="dxa"/>
            <w:tcBorders>
              <w:top w:val="nil"/>
              <w:left w:val="nil"/>
              <w:bottom w:val="nil"/>
              <w:right w:val="nil"/>
            </w:tcBorders>
            <w:shd w:val="clear" w:color="auto" w:fill="auto"/>
            <w:noWrap/>
            <w:vAlign w:val="bottom"/>
            <w:hideMark/>
          </w:tcPr>
          <w:p w14:paraId="5A68356D" w14:textId="77777777" w:rsidR="00941BF3" w:rsidRPr="00941BF3" w:rsidRDefault="00941BF3" w:rsidP="00941BF3">
            <w:pPr>
              <w:jc w:val="right"/>
              <w:rPr>
                <w:rFonts w:eastAsia="Times New Roman" w:cs="Times New Roman"/>
              </w:rPr>
            </w:pPr>
            <w:r w:rsidRPr="00941BF3">
              <w:rPr>
                <w:rFonts w:eastAsia="Times New Roman" w:cs="Times New Roman"/>
              </w:rPr>
              <w:t>0.08</w:t>
            </w:r>
          </w:p>
        </w:tc>
      </w:tr>
      <w:tr w:rsidR="00941BF3" w:rsidRPr="00941BF3" w14:paraId="1DFACD21" w14:textId="77777777" w:rsidTr="00941BF3">
        <w:trPr>
          <w:trHeight w:val="380"/>
        </w:trPr>
        <w:tc>
          <w:tcPr>
            <w:tcW w:w="2840" w:type="dxa"/>
            <w:tcBorders>
              <w:top w:val="nil"/>
              <w:left w:val="nil"/>
              <w:bottom w:val="nil"/>
              <w:right w:val="nil"/>
            </w:tcBorders>
            <w:shd w:val="clear" w:color="auto" w:fill="auto"/>
            <w:noWrap/>
            <w:vAlign w:val="bottom"/>
            <w:hideMark/>
          </w:tcPr>
          <w:p w14:paraId="42676A8C" w14:textId="77777777" w:rsidR="00941BF3" w:rsidRPr="00941BF3" w:rsidRDefault="00941BF3" w:rsidP="00941BF3">
            <w:pPr>
              <w:rPr>
                <w:rFonts w:eastAsia="Times New Roman" w:cs="Times New Roman"/>
                <w:b/>
                <w:bCs/>
              </w:rPr>
            </w:pPr>
            <w:r w:rsidRPr="00941BF3">
              <w:rPr>
                <w:rFonts w:eastAsia="Times New Roman" w:cs="Times New Roman"/>
                <w:b/>
                <w:bCs/>
              </w:rPr>
              <w:t>Residuals</w:t>
            </w:r>
          </w:p>
        </w:tc>
        <w:tc>
          <w:tcPr>
            <w:tcW w:w="740" w:type="dxa"/>
            <w:tcBorders>
              <w:top w:val="nil"/>
              <w:left w:val="nil"/>
              <w:bottom w:val="nil"/>
              <w:right w:val="nil"/>
            </w:tcBorders>
            <w:shd w:val="clear" w:color="auto" w:fill="auto"/>
            <w:noWrap/>
            <w:vAlign w:val="bottom"/>
            <w:hideMark/>
          </w:tcPr>
          <w:p w14:paraId="146F45EB" w14:textId="77777777" w:rsidR="00941BF3" w:rsidRPr="00941BF3" w:rsidRDefault="00941BF3" w:rsidP="00941BF3">
            <w:pPr>
              <w:jc w:val="right"/>
              <w:rPr>
                <w:rFonts w:eastAsia="Times New Roman" w:cs="Times New Roman"/>
              </w:rPr>
            </w:pPr>
            <w:r w:rsidRPr="00941BF3">
              <w:rPr>
                <w:rFonts w:eastAsia="Times New Roman" w:cs="Times New Roman"/>
              </w:rPr>
              <w:t>18</w:t>
            </w:r>
          </w:p>
        </w:tc>
        <w:tc>
          <w:tcPr>
            <w:tcW w:w="1620" w:type="dxa"/>
            <w:tcBorders>
              <w:top w:val="nil"/>
              <w:left w:val="nil"/>
              <w:bottom w:val="nil"/>
              <w:right w:val="nil"/>
            </w:tcBorders>
            <w:shd w:val="clear" w:color="auto" w:fill="auto"/>
            <w:noWrap/>
            <w:vAlign w:val="bottom"/>
            <w:hideMark/>
          </w:tcPr>
          <w:p w14:paraId="0BD9FFAC" w14:textId="77777777" w:rsidR="00941BF3" w:rsidRPr="00941BF3" w:rsidRDefault="00941BF3" w:rsidP="00941BF3">
            <w:pPr>
              <w:jc w:val="right"/>
              <w:rPr>
                <w:rFonts w:eastAsia="Times New Roman" w:cs="Times New Roman"/>
              </w:rPr>
            </w:pPr>
            <w:r w:rsidRPr="00941BF3">
              <w:rPr>
                <w:rFonts w:eastAsia="Times New Roman" w:cs="Times New Roman"/>
              </w:rPr>
              <w:t>2.560212</w:t>
            </w:r>
          </w:p>
        </w:tc>
        <w:tc>
          <w:tcPr>
            <w:tcW w:w="1800" w:type="dxa"/>
            <w:tcBorders>
              <w:top w:val="nil"/>
              <w:left w:val="nil"/>
              <w:bottom w:val="nil"/>
              <w:right w:val="nil"/>
            </w:tcBorders>
            <w:shd w:val="clear" w:color="auto" w:fill="auto"/>
            <w:noWrap/>
            <w:vAlign w:val="bottom"/>
            <w:hideMark/>
          </w:tcPr>
          <w:p w14:paraId="45321EE9" w14:textId="77777777" w:rsidR="00941BF3" w:rsidRPr="00941BF3" w:rsidRDefault="00941BF3" w:rsidP="00941BF3">
            <w:pPr>
              <w:jc w:val="right"/>
              <w:rPr>
                <w:rFonts w:eastAsia="Times New Roman" w:cs="Times New Roman"/>
              </w:rPr>
            </w:pPr>
            <w:r w:rsidRPr="00941BF3">
              <w:rPr>
                <w:rFonts w:eastAsia="Times New Roman" w:cs="Times New Roman"/>
              </w:rPr>
              <w:t>0.142234</w:t>
            </w:r>
          </w:p>
        </w:tc>
        <w:tc>
          <w:tcPr>
            <w:tcW w:w="1500" w:type="dxa"/>
            <w:tcBorders>
              <w:top w:val="nil"/>
              <w:left w:val="nil"/>
              <w:bottom w:val="nil"/>
              <w:right w:val="nil"/>
            </w:tcBorders>
            <w:shd w:val="clear" w:color="auto" w:fill="auto"/>
            <w:noWrap/>
            <w:vAlign w:val="bottom"/>
            <w:hideMark/>
          </w:tcPr>
          <w:p w14:paraId="2ED897AE" w14:textId="77777777" w:rsidR="00941BF3" w:rsidRPr="00941BF3" w:rsidRDefault="00941BF3" w:rsidP="00941BF3">
            <w:pPr>
              <w:jc w:val="right"/>
              <w:rPr>
                <w:rFonts w:eastAsia="Times New Roman" w:cs="Times New Roman"/>
              </w:rPr>
            </w:pPr>
            <w:r w:rsidRPr="00941BF3">
              <w:rPr>
                <w:rFonts w:eastAsia="Times New Roman" w:cs="Times New Roman"/>
              </w:rPr>
              <w:t>NaN</w:t>
            </w:r>
          </w:p>
        </w:tc>
        <w:tc>
          <w:tcPr>
            <w:tcW w:w="1680" w:type="dxa"/>
            <w:tcBorders>
              <w:top w:val="nil"/>
              <w:left w:val="nil"/>
              <w:bottom w:val="nil"/>
              <w:right w:val="nil"/>
            </w:tcBorders>
            <w:shd w:val="clear" w:color="auto" w:fill="auto"/>
            <w:noWrap/>
            <w:vAlign w:val="bottom"/>
            <w:hideMark/>
          </w:tcPr>
          <w:p w14:paraId="463FA92E" w14:textId="77777777" w:rsidR="00941BF3" w:rsidRPr="00941BF3" w:rsidRDefault="00941BF3" w:rsidP="00941BF3">
            <w:pPr>
              <w:jc w:val="right"/>
              <w:rPr>
                <w:rFonts w:eastAsia="Times New Roman" w:cs="Times New Roman"/>
              </w:rPr>
            </w:pPr>
            <w:r w:rsidRPr="00941BF3">
              <w:rPr>
                <w:rFonts w:eastAsia="Times New Roman" w:cs="Times New Roman"/>
              </w:rPr>
              <w:t>0.375437</w:t>
            </w:r>
          </w:p>
        </w:tc>
        <w:tc>
          <w:tcPr>
            <w:tcW w:w="1440" w:type="dxa"/>
            <w:tcBorders>
              <w:top w:val="nil"/>
              <w:left w:val="nil"/>
              <w:bottom w:val="nil"/>
              <w:right w:val="nil"/>
            </w:tcBorders>
            <w:shd w:val="clear" w:color="auto" w:fill="auto"/>
            <w:noWrap/>
            <w:vAlign w:val="bottom"/>
            <w:hideMark/>
          </w:tcPr>
          <w:p w14:paraId="134A21AE" w14:textId="77777777" w:rsidR="00941BF3" w:rsidRPr="00941BF3" w:rsidRDefault="00941BF3" w:rsidP="00941BF3">
            <w:pPr>
              <w:jc w:val="right"/>
              <w:rPr>
                <w:rFonts w:eastAsia="Times New Roman" w:cs="Times New Roman"/>
              </w:rPr>
            </w:pPr>
            <w:r w:rsidRPr="00941BF3">
              <w:rPr>
                <w:rFonts w:eastAsia="Times New Roman" w:cs="Times New Roman"/>
              </w:rPr>
              <w:t>NaN</w:t>
            </w:r>
          </w:p>
        </w:tc>
      </w:tr>
      <w:tr w:rsidR="00941BF3" w:rsidRPr="00941BF3" w14:paraId="3711C0D8" w14:textId="77777777" w:rsidTr="00941BF3">
        <w:trPr>
          <w:trHeight w:val="380"/>
        </w:trPr>
        <w:tc>
          <w:tcPr>
            <w:tcW w:w="2840" w:type="dxa"/>
            <w:tcBorders>
              <w:top w:val="nil"/>
              <w:left w:val="nil"/>
              <w:bottom w:val="nil"/>
              <w:right w:val="nil"/>
            </w:tcBorders>
            <w:shd w:val="clear" w:color="auto" w:fill="auto"/>
            <w:noWrap/>
            <w:vAlign w:val="bottom"/>
            <w:hideMark/>
          </w:tcPr>
          <w:p w14:paraId="399C3851" w14:textId="77777777" w:rsidR="00941BF3" w:rsidRPr="00941BF3" w:rsidRDefault="00941BF3" w:rsidP="00941BF3">
            <w:pPr>
              <w:rPr>
                <w:rFonts w:eastAsia="Times New Roman" w:cs="Times New Roman"/>
                <w:b/>
                <w:bCs/>
              </w:rPr>
            </w:pPr>
            <w:r w:rsidRPr="00941BF3">
              <w:rPr>
                <w:rFonts w:eastAsia="Times New Roman" w:cs="Times New Roman"/>
                <w:b/>
                <w:bCs/>
              </w:rPr>
              <w:t>Total</w:t>
            </w:r>
          </w:p>
        </w:tc>
        <w:tc>
          <w:tcPr>
            <w:tcW w:w="740" w:type="dxa"/>
            <w:tcBorders>
              <w:top w:val="nil"/>
              <w:left w:val="nil"/>
              <w:bottom w:val="nil"/>
              <w:right w:val="nil"/>
            </w:tcBorders>
            <w:shd w:val="clear" w:color="auto" w:fill="auto"/>
            <w:noWrap/>
            <w:vAlign w:val="bottom"/>
            <w:hideMark/>
          </w:tcPr>
          <w:p w14:paraId="39294049" w14:textId="77777777" w:rsidR="00941BF3" w:rsidRPr="00941BF3" w:rsidRDefault="00941BF3" w:rsidP="00941BF3">
            <w:pPr>
              <w:jc w:val="right"/>
              <w:rPr>
                <w:rFonts w:eastAsia="Times New Roman" w:cs="Times New Roman"/>
              </w:rPr>
            </w:pPr>
            <w:r w:rsidRPr="00941BF3">
              <w:rPr>
                <w:rFonts w:eastAsia="Times New Roman" w:cs="Times New Roman"/>
              </w:rPr>
              <w:t>33</w:t>
            </w:r>
          </w:p>
        </w:tc>
        <w:tc>
          <w:tcPr>
            <w:tcW w:w="1620" w:type="dxa"/>
            <w:tcBorders>
              <w:top w:val="nil"/>
              <w:left w:val="nil"/>
              <w:bottom w:val="nil"/>
              <w:right w:val="nil"/>
            </w:tcBorders>
            <w:shd w:val="clear" w:color="auto" w:fill="auto"/>
            <w:noWrap/>
            <w:vAlign w:val="bottom"/>
            <w:hideMark/>
          </w:tcPr>
          <w:p w14:paraId="7E940795" w14:textId="77777777" w:rsidR="00941BF3" w:rsidRPr="00941BF3" w:rsidRDefault="00941BF3" w:rsidP="00941BF3">
            <w:pPr>
              <w:jc w:val="right"/>
              <w:rPr>
                <w:rFonts w:eastAsia="Times New Roman" w:cs="Times New Roman"/>
              </w:rPr>
            </w:pPr>
            <w:r w:rsidRPr="00941BF3">
              <w:rPr>
                <w:rFonts w:eastAsia="Times New Roman" w:cs="Times New Roman"/>
              </w:rPr>
              <w:t>6.81928</w:t>
            </w:r>
          </w:p>
        </w:tc>
        <w:tc>
          <w:tcPr>
            <w:tcW w:w="1800" w:type="dxa"/>
            <w:tcBorders>
              <w:top w:val="nil"/>
              <w:left w:val="nil"/>
              <w:bottom w:val="nil"/>
              <w:right w:val="nil"/>
            </w:tcBorders>
            <w:shd w:val="clear" w:color="auto" w:fill="auto"/>
            <w:noWrap/>
            <w:vAlign w:val="bottom"/>
            <w:hideMark/>
          </w:tcPr>
          <w:p w14:paraId="0FF3E1E2" w14:textId="77777777" w:rsidR="00941BF3" w:rsidRPr="00941BF3" w:rsidRDefault="00941BF3" w:rsidP="00941BF3">
            <w:pPr>
              <w:jc w:val="right"/>
              <w:rPr>
                <w:rFonts w:eastAsia="Times New Roman" w:cs="Times New Roman"/>
              </w:rPr>
            </w:pPr>
            <w:r w:rsidRPr="00941BF3">
              <w:rPr>
                <w:rFonts w:eastAsia="Times New Roman" w:cs="Times New Roman"/>
              </w:rPr>
              <w:t>NaN</w:t>
            </w:r>
          </w:p>
        </w:tc>
        <w:tc>
          <w:tcPr>
            <w:tcW w:w="1500" w:type="dxa"/>
            <w:tcBorders>
              <w:top w:val="nil"/>
              <w:left w:val="nil"/>
              <w:bottom w:val="nil"/>
              <w:right w:val="nil"/>
            </w:tcBorders>
            <w:shd w:val="clear" w:color="auto" w:fill="auto"/>
            <w:noWrap/>
            <w:vAlign w:val="bottom"/>
            <w:hideMark/>
          </w:tcPr>
          <w:p w14:paraId="1A2D4D3B" w14:textId="77777777" w:rsidR="00941BF3" w:rsidRPr="00941BF3" w:rsidRDefault="00941BF3" w:rsidP="00941BF3">
            <w:pPr>
              <w:jc w:val="right"/>
              <w:rPr>
                <w:rFonts w:eastAsia="Times New Roman" w:cs="Times New Roman"/>
              </w:rPr>
            </w:pPr>
            <w:r w:rsidRPr="00941BF3">
              <w:rPr>
                <w:rFonts w:eastAsia="Times New Roman" w:cs="Times New Roman"/>
              </w:rPr>
              <w:t>NaN</w:t>
            </w:r>
          </w:p>
        </w:tc>
        <w:tc>
          <w:tcPr>
            <w:tcW w:w="1680" w:type="dxa"/>
            <w:tcBorders>
              <w:top w:val="nil"/>
              <w:left w:val="nil"/>
              <w:bottom w:val="nil"/>
              <w:right w:val="nil"/>
            </w:tcBorders>
            <w:shd w:val="clear" w:color="auto" w:fill="auto"/>
            <w:noWrap/>
            <w:vAlign w:val="bottom"/>
            <w:hideMark/>
          </w:tcPr>
          <w:p w14:paraId="56F897C4" w14:textId="77777777" w:rsidR="00941BF3" w:rsidRPr="00941BF3" w:rsidRDefault="00941BF3" w:rsidP="00941BF3">
            <w:pPr>
              <w:jc w:val="right"/>
              <w:rPr>
                <w:rFonts w:eastAsia="Times New Roman" w:cs="Times New Roman"/>
              </w:rPr>
            </w:pPr>
            <w:r w:rsidRPr="00941BF3">
              <w:rPr>
                <w:rFonts w:eastAsia="Times New Roman" w:cs="Times New Roman"/>
              </w:rPr>
              <w:t>1</w:t>
            </w:r>
          </w:p>
        </w:tc>
        <w:tc>
          <w:tcPr>
            <w:tcW w:w="1440" w:type="dxa"/>
            <w:tcBorders>
              <w:top w:val="nil"/>
              <w:left w:val="nil"/>
              <w:bottom w:val="nil"/>
              <w:right w:val="nil"/>
            </w:tcBorders>
            <w:shd w:val="clear" w:color="auto" w:fill="auto"/>
            <w:noWrap/>
            <w:vAlign w:val="bottom"/>
            <w:hideMark/>
          </w:tcPr>
          <w:p w14:paraId="19E3110C" w14:textId="77777777" w:rsidR="00941BF3" w:rsidRPr="00941BF3" w:rsidRDefault="00941BF3" w:rsidP="00941BF3">
            <w:pPr>
              <w:jc w:val="right"/>
              <w:rPr>
                <w:rFonts w:eastAsia="Times New Roman" w:cs="Times New Roman"/>
              </w:rPr>
            </w:pPr>
            <w:r w:rsidRPr="00941BF3">
              <w:rPr>
                <w:rFonts w:eastAsia="Times New Roman" w:cs="Times New Roman"/>
              </w:rPr>
              <w:t>NaN</w:t>
            </w:r>
          </w:p>
        </w:tc>
      </w:tr>
      <w:tr w:rsidR="00941BF3" w:rsidRPr="00941BF3" w14:paraId="6346B307" w14:textId="77777777" w:rsidTr="00941BF3">
        <w:trPr>
          <w:trHeight w:val="380"/>
        </w:trPr>
        <w:tc>
          <w:tcPr>
            <w:tcW w:w="2840" w:type="dxa"/>
            <w:tcBorders>
              <w:top w:val="nil"/>
              <w:left w:val="nil"/>
              <w:bottom w:val="nil"/>
              <w:right w:val="nil"/>
            </w:tcBorders>
            <w:shd w:val="clear" w:color="auto" w:fill="auto"/>
            <w:noWrap/>
            <w:vAlign w:val="bottom"/>
            <w:hideMark/>
          </w:tcPr>
          <w:p w14:paraId="3F1FDCE2" w14:textId="77777777" w:rsidR="00941BF3" w:rsidRPr="00941BF3" w:rsidRDefault="00941BF3" w:rsidP="00312E64">
            <w:pPr>
              <w:rPr>
                <w:rFonts w:eastAsia="Times New Roman" w:cs="Times New Roman"/>
              </w:rPr>
            </w:pPr>
          </w:p>
        </w:tc>
        <w:tc>
          <w:tcPr>
            <w:tcW w:w="740" w:type="dxa"/>
            <w:tcBorders>
              <w:top w:val="nil"/>
              <w:left w:val="nil"/>
              <w:bottom w:val="nil"/>
              <w:right w:val="nil"/>
            </w:tcBorders>
            <w:shd w:val="clear" w:color="auto" w:fill="auto"/>
            <w:noWrap/>
            <w:vAlign w:val="bottom"/>
            <w:hideMark/>
          </w:tcPr>
          <w:p w14:paraId="4469AFB4" w14:textId="77777777" w:rsidR="00941BF3" w:rsidRPr="00941BF3" w:rsidRDefault="00941BF3" w:rsidP="00941BF3">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258671EC" w14:textId="77777777" w:rsidR="00941BF3" w:rsidRPr="00941BF3" w:rsidRDefault="00941BF3" w:rsidP="00941BF3">
            <w:pPr>
              <w:rPr>
                <w:rFonts w:eastAsia="Times New Roman" w:cs="Times New Roman"/>
              </w:rPr>
            </w:pPr>
          </w:p>
        </w:tc>
        <w:tc>
          <w:tcPr>
            <w:tcW w:w="1800" w:type="dxa"/>
            <w:tcBorders>
              <w:top w:val="nil"/>
              <w:left w:val="nil"/>
              <w:bottom w:val="nil"/>
              <w:right w:val="nil"/>
            </w:tcBorders>
            <w:shd w:val="clear" w:color="auto" w:fill="auto"/>
            <w:noWrap/>
            <w:vAlign w:val="bottom"/>
            <w:hideMark/>
          </w:tcPr>
          <w:p w14:paraId="31CD22EF" w14:textId="77777777" w:rsidR="00941BF3" w:rsidRPr="00941BF3" w:rsidRDefault="00941BF3" w:rsidP="00941BF3">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25C1E725" w14:textId="77777777" w:rsidR="00941BF3" w:rsidRPr="00941BF3" w:rsidRDefault="00941BF3" w:rsidP="00941BF3">
            <w:pPr>
              <w:rPr>
                <w:rFonts w:eastAsia="Times New Roman" w:cs="Times New Roman"/>
              </w:rPr>
            </w:pPr>
          </w:p>
        </w:tc>
        <w:tc>
          <w:tcPr>
            <w:tcW w:w="1680" w:type="dxa"/>
            <w:tcBorders>
              <w:top w:val="nil"/>
              <w:left w:val="nil"/>
              <w:bottom w:val="nil"/>
              <w:right w:val="nil"/>
            </w:tcBorders>
            <w:shd w:val="clear" w:color="auto" w:fill="auto"/>
            <w:noWrap/>
            <w:vAlign w:val="bottom"/>
            <w:hideMark/>
          </w:tcPr>
          <w:p w14:paraId="1ACD3263" w14:textId="77777777" w:rsidR="00941BF3" w:rsidRPr="00941BF3" w:rsidRDefault="00941BF3" w:rsidP="00941BF3">
            <w:pPr>
              <w:rPr>
                <w:rFonts w:eastAsia="Times New Roman" w:cs="Times New Roman"/>
              </w:rPr>
            </w:pPr>
          </w:p>
        </w:tc>
        <w:tc>
          <w:tcPr>
            <w:tcW w:w="1440" w:type="dxa"/>
            <w:tcBorders>
              <w:top w:val="nil"/>
              <w:left w:val="nil"/>
              <w:bottom w:val="nil"/>
              <w:right w:val="nil"/>
            </w:tcBorders>
            <w:shd w:val="clear" w:color="auto" w:fill="auto"/>
            <w:noWrap/>
            <w:vAlign w:val="bottom"/>
            <w:hideMark/>
          </w:tcPr>
          <w:p w14:paraId="4D12BF6E" w14:textId="77777777" w:rsidR="00941BF3" w:rsidRPr="00941BF3" w:rsidRDefault="00941BF3" w:rsidP="00941BF3">
            <w:pPr>
              <w:rPr>
                <w:rFonts w:eastAsia="Times New Roman" w:cs="Times New Roman"/>
              </w:rPr>
            </w:pPr>
          </w:p>
        </w:tc>
      </w:tr>
      <w:tr w:rsidR="00941BF3" w:rsidRPr="00941BF3" w14:paraId="4E5E7752" w14:textId="77777777" w:rsidTr="00941BF3">
        <w:trPr>
          <w:trHeight w:val="380"/>
        </w:trPr>
        <w:tc>
          <w:tcPr>
            <w:tcW w:w="2840" w:type="dxa"/>
            <w:tcBorders>
              <w:top w:val="nil"/>
              <w:left w:val="nil"/>
              <w:bottom w:val="nil"/>
              <w:right w:val="nil"/>
            </w:tcBorders>
            <w:shd w:val="clear" w:color="auto" w:fill="auto"/>
            <w:noWrap/>
            <w:vAlign w:val="bottom"/>
            <w:hideMark/>
          </w:tcPr>
          <w:p w14:paraId="2A4F0C1B" w14:textId="77777777" w:rsidR="00941BF3" w:rsidRPr="00941BF3" w:rsidRDefault="00941BF3" w:rsidP="00941BF3">
            <w:pPr>
              <w:rPr>
                <w:rFonts w:eastAsia="Times New Roman" w:cs="Times New Roman"/>
              </w:rPr>
            </w:pPr>
          </w:p>
        </w:tc>
        <w:tc>
          <w:tcPr>
            <w:tcW w:w="740" w:type="dxa"/>
            <w:tcBorders>
              <w:top w:val="nil"/>
              <w:left w:val="nil"/>
              <w:bottom w:val="nil"/>
              <w:right w:val="nil"/>
            </w:tcBorders>
            <w:shd w:val="clear" w:color="auto" w:fill="auto"/>
            <w:noWrap/>
            <w:vAlign w:val="bottom"/>
            <w:hideMark/>
          </w:tcPr>
          <w:p w14:paraId="35902540" w14:textId="77777777" w:rsidR="00941BF3" w:rsidRPr="00941BF3" w:rsidRDefault="00941BF3" w:rsidP="00941BF3">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75F1DFFD" w14:textId="77777777" w:rsidR="00941BF3" w:rsidRPr="00941BF3" w:rsidRDefault="00941BF3" w:rsidP="00941BF3">
            <w:pPr>
              <w:rPr>
                <w:rFonts w:eastAsia="Times New Roman" w:cs="Times New Roman"/>
              </w:rPr>
            </w:pPr>
          </w:p>
        </w:tc>
        <w:tc>
          <w:tcPr>
            <w:tcW w:w="1800" w:type="dxa"/>
            <w:tcBorders>
              <w:top w:val="nil"/>
              <w:left w:val="nil"/>
              <w:bottom w:val="nil"/>
              <w:right w:val="nil"/>
            </w:tcBorders>
            <w:shd w:val="clear" w:color="auto" w:fill="auto"/>
            <w:noWrap/>
            <w:vAlign w:val="bottom"/>
            <w:hideMark/>
          </w:tcPr>
          <w:p w14:paraId="5B2AE1A6" w14:textId="77777777" w:rsidR="00941BF3" w:rsidRPr="00941BF3" w:rsidRDefault="00941BF3" w:rsidP="00941BF3">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171F7726" w14:textId="77777777" w:rsidR="00941BF3" w:rsidRPr="00941BF3" w:rsidRDefault="00941BF3" w:rsidP="00941BF3">
            <w:pPr>
              <w:rPr>
                <w:rFonts w:eastAsia="Times New Roman" w:cs="Times New Roman"/>
              </w:rPr>
            </w:pPr>
          </w:p>
        </w:tc>
        <w:tc>
          <w:tcPr>
            <w:tcW w:w="1680" w:type="dxa"/>
            <w:tcBorders>
              <w:top w:val="nil"/>
              <w:left w:val="nil"/>
              <w:bottom w:val="nil"/>
              <w:right w:val="nil"/>
            </w:tcBorders>
            <w:shd w:val="clear" w:color="auto" w:fill="auto"/>
            <w:noWrap/>
            <w:vAlign w:val="bottom"/>
            <w:hideMark/>
          </w:tcPr>
          <w:p w14:paraId="2D2A981D" w14:textId="77777777" w:rsidR="00941BF3" w:rsidRPr="00941BF3" w:rsidRDefault="00941BF3" w:rsidP="00941BF3">
            <w:pPr>
              <w:rPr>
                <w:rFonts w:eastAsia="Times New Roman" w:cs="Times New Roman"/>
              </w:rPr>
            </w:pPr>
          </w:p>
        </w:tc>
        <w:tc>
          <w:tcPr>
            <w:tcW w:w="1440" w:type="dxa"/>
            <w:tcBorders>
              <w:top w:val="nil"/>
              <w:left w:val="nil"/>
              <w:bottom w:val="nil"/>
              <w:right w:val="nil"/>
            </w:tcBorders>
            <w:shd w:val="clear" w:color="auto" w:fill="auto"/>
            <w:noWrap/>
            <w:vAlign w:val="bottom"/>
            <w:hideMark/>
          </w:tcPr>
          <w:p w14:paraId="561A69EC" w14:textId="77777777" w:rsidR="00941BF3" w:rsidRPr="00941BF3" w:rsidRDefault="00941BF3" w:rsidP="00941BF3">
            <w:pPr>
              <w:rPr>
                <w:rFonts w:eastAsia="Times New Roman" w:cs="Times New Roman"/>
              </w:rPr>
            </w:pPr>
          </w:p>
        </w:tc>
      </w:tr>
      <w:tr w:rsidR="00941BF3" w:rsidRPr="00941BF3" w14:paraId="3BA16205" w14:textId="77777777" w:rsidTr="00941BF3">
        <w:trPr>
          <w:trHeight w:val="380"/>
        </w:trPr>
        <w:tc>
          <w:tcPr>
            <w:tcW w:w="2840" w:type="dxa"/>
            <w:tcBorders>
              <w:top w:val="nil"/>
              <w:left w:val="nil"/>
              <w:bottom w:val="nil"/>
              <w:right w:val="nil"/>
            </w:tcBorders>
            <w:shd w:val="clear" w:color="auto" w:fill="auto"/>
            <w:noWrap/>
            <w:vAlign w:val="bottom"/>
            <w:hideMark/>
          </w:tcPr>
          <w:p w14:paraId="0FD0B045" w14:textId="77777777" w:rsidR="00941BF3" w:rsidRPr="00941BF3" w:rsidRDefault="00941BF3" w:rsidP="00941BF3">
            <w:pPr>
              <w:rPr>
                <w:rFonts w:eastAsia="Times New Roman" w:cs="Times New Roman"/>
                <w:b/>
                <w:bCs/>
              </w:rPr>
            </w:pPr>
            <w:r w:rsidRPr="00941BF3">
              <w:rPr>
                <w:rFonts w:eastAsia="Times New Roman" w:cs="Times New Roman"/>
                <w:b/>
                <w:bCs/>
              </w:rPr>
              <w:t>Weighted UniFrac</w:t>
            </w:r>
          </w:p>
        </w:tc>
        <w:tc>
          <w:tcPr>
            <w:tcW w:w="740" w:type="dxa"/>
            <w:tcBorders>
              <w:top w:val="nil"/>
              <w:left w:val="nil"/>
              <w:bottom w:val="nil"/>
              <w:right w:val="nil"/>
            </w:tcBorders>
            <w:shd w:val="clear" w:color="auto" w:fill="auto"/>
            <w:noWrap/>
            <w:vAlign w:val="bottom"/>
            <w:hideMark/>
          </w:tcPr>
          <w:p w14:paraId="540712E5" w14:textId="77777777" w:rsidR="00941BF3" w:rsidRPr="00941BF3" w:rsidRDefault="00941BF3" w:rsidP="00941BF3">
            <w:pPr>
              <w:rPr>
                <w:rFonts w:eastAsia="Times New Roman" w:cs="Times New Roman"/>
                <w:b/>
                <w:bCs/>
              </w:rPr>
            </w:pPr>
          </w:p>
        </w:tc>
        <w:tc>
          <w:tcPr>
            <w:tcW w:w="1620" w:type="dxa"/>
            <w:tcBorders>
              <w:top w:val="nil"/>
              <w:left w:val="nil"/>
              <w:bottom w:val="nil"/>
              <w:right w:val="nil"/>
            </w:tcBorders>
            <w:shd w:val="clear" w:color="auto" w:fill="auto"/>
            <w:noWrap/>
            <w:vAlign w:val="bottom"/>
            <w:hideMark/>
          </w:tcPr>
          <w:p w14:paraId="2E6CAE23" w14:textId="77777777" w:rsidR="00941BF3" w:rsidRPr="00941BF3" w:rsidRDefault="00941BF3" w:rsidP="00941BF3">
            <w:pPr>
              <w:rPr>
                <w:rFonts w:eastAsia="Times New Roman" w:cs="Times New Roman"/>
              </w:rPr>
            </w:pPr>
          </w:p>
        </w:tc>
        <w:tc>
          <w:tcPr>
            <w:tcW w:w="1800" w:type="dxa"/>
            <w:tcBorders>
              <w:top w:val="nil"/>
              <w:left w:val="nil"/>
              <w:bottom w:val="nil"/>
              <w:right w:val="nil"/>
            </w:tcBorders>
            <w:shd w:val="clear" w:color="auto" w:fill="auto"/>
            <w:noWrap/>
            <w:vAlign w:val="bottom"/>
            <w:hideMark/>
          </w:tcPr>
          <w:p w14:paraId="1A61517B" w14:textId="77777777" w:rsidR="00941BF3" w:rsidRPr="00941BF3" w:rsidRDefault="00941BF3" w:rsidP="00941BF3">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227F8A37" w14:textId="77777777" w:rsidR="00941BF3" w:rsidRPr="00941BF3" w:rsidRDefault="00941BF3" w:rsidP="00941BF3">
            <w:pPr>
              <w:rPr>
                <w:rFonts w:eastAsia="Times New Roman" w:cs="Times New Roman"/>
              </w:rPr>
            </w:pPr>
          </w:p>
        </w:tc>
        <w:tc>
          <w:tcPr>
            <w:tcW w:w="1680" w:type="dxa"/>
            <w:tcBorders>
              <w:top w:val="nil"/>
              <w:left w:val="nil"/>
              <w:bottom w:val="nil"/>
              <w:right w:val="nil"/>
            </w:tcBorders>
            <w:shd w:val="clear" w:color="auto" w:fill="auto"/>
            <w:noWrap/>
            <w:vAlign w:val="bottom"/>
            <w:hideMark/>
          </w:tcPr>
          <w:p w14:paraId="11E6321B" w14:textId="77777777" w:rsidR="00941BF3" w:rsidRPr="00941BF3" w:rsidRDefault="00941BF3" w:rsidP="00941BF3">
            <w:pPr>
              <w:rPr>
                <w:rFonts w:eastAsia="Times New Roman" w:cs="Times New Roman"/>
              </w:rPr>
            </w:pPr>
          </w:p>
        </w:tc>
        <w:tc>
          <w:tcPr>
            <w:tcW w:w="1440" w:type="dxa"/>
            <w:tcBorders>
              <w:top w:val="nil"/>
              <w:left w:val="nil"/>
              <w:bottom w:val="nil"/>
              <w:right w:val="nil"/>
            </w:tcBorders>
            <w:shd w:val="clear" w:color="auto" w:fill="auto"/>
            <w:noWrap/>
            <w:vAlign w:val="bottom"/>
            <w:hideMark/>
          </w:tcPr>
          <w:p w14:paraId="471CEC48" w14:textId="77777777" w:rsidR="00941BF3" w:rsidRPr="00941BF3" w:rsidRDefault="00941BF3" w:rsidP="00941BF3">
            <w:pPr>
              <w:rPr>
                <w:rFonts w:eastAsia="Times New Roman" w:cs="Times New Roman"/>
              </w:rPr>
            </w:pPr>
          </w:p>
        </w:tc>
      </w:tr>
      <w:tr w:rsidR="00941BF3" w:rsidRPr="00941BF3" w14:paraId="709328BD" w14:textId="77777777" w:rsidTr="00941BF3">
        <w:trPr>
          <w:trHeight w:val="380"/>
        </w:trPr>
        <w:tc>
          <w:tcPr>
            <w:tcW w:w="2840" w:type="dxa"/>
            <w:tcBorders>
              <w:top w:val="nil"/>
              <w:left w:val="nil"/>
              <w:bottom w:val="single" w:sz="4" w:space="0" w:color="auto"/>
              <w:right w:val="nil"/>
            </w:tcBorders>
            <w:shd w:val="clear" w:color="auto" w:fill="auto"/>
            <w:noWrap/>
            <w:vAlign w:val="bottom"/>
            <w:hideMark/>
          </w:tcPr>
          <w:p w14:paraId="393A27D1" w14:textId="77777777" w:rsidR="00941BF3" w:rsidRPr="00941BF3" w:rsidRDefault="00941BF3" w:rsidP="00941BF3">
            <w:pPr>
              <w:rPr>
                <w:rFonts w:eastAsia="Times New Roman" w:cs="Times New Roman"/>
              </w:rPr>
            </w:pPr>
            <w:r w:rsidRPr="00941BF3">
              <w:rPr>
                <w:rFonts w:eastAsia="Times New Roman" w:cs="Times New Roman"/>
              </w:rPr>
              <w:t> </w:t>
            </w:r>
          </w:p>
        </w:tc>
        <w:tc>
          <w:tcPr>
            <w:tcW w:w="740" w:type="dxa"/>
            <w:tcBorders>
              <w:top w:val="nil"/>
              <w:left w:val="nil"/>
              <w:bottom w:val="single" w:sz="4" w:space="0" w:color="auto"/>
              <w:right w:val="nil"/>
            </w:tcBorders>
            <w:shd w:val="clear" w:color="auto" w:fill="auto"/>
            <w:noWrap/>
            <w:vAlign w:val="bottom"/>
            <w:hideMark/>
          </w:tcPr>
          <w:p w14:paraId="07165A24" w14:textId="77777777" w:rsidR="00941BF3" w:rsidRPr="00941BF3" w:rsidRDefault="00941BF3" w:rsidP="00941BF3">
            <w:pPr>
              <w:rPr>
                <w:rFonts w:eastAsia="Times New Roman" w:cs="Times New Roman"/>
                <w:b/>
                <w:bCs/>
              </w:rPr>
            </w:pPr>
            <w:r w:rsidRPr="00941BF3">
              <w:rPr>
                <w:rFonts w:eastAsia="Times New Roman" w:cs="Times New Roman"/>
                <w:b/>
                <w:bCs/>
              </w:rPr>
              <w:t>Df</w:t>
            </w:r>
          </w:p>
        </w:tc>
        <w:tc>
          <w:tcPr>
            <w:tcW w:w="1620" w:type="dxa"/>
            <w:tcBorders>
              <w:top w:val="nil"/>
              <w:left w:val="nil"/>
              <w:bottom w:val="single" w:sz="4" w:space="0" w:color="auto"/>
              <w:right w:val="nil"/>
            </w:tcBorders>
            <w:shd w:val="clear" w:color="auto" w:fill="auto"/>
            <w:noWrap/>
            <w:vAlign w:val="bottom"/>
            <w:hideMark/>
          </w:tcPr>
          <w:p w14:paraId="7F8CC90D" w14:textId="77777777" w:rsidR="00941BF3" w:rsidRPr="00941BF3" w:rsidRDefault="00941BF3" w:rsidP="00941BF3">
            <w:pPr>
              <w:rPr>
                <w:rFonts w:eastAsia="Times New Roman" w:cs="Times New Roman"/>
                <w:b/>
                <w:bCs/>
              </w:rPr>
            </w:pPr>
            <w:r w:rsidRPr="00941BF3">
              <w:rPr>
                <w:rFonts w:eastAsia="Times New Roman" w:cs="Times New Roman"/>
                <w:b/>
                <w:bCs/>
              </w:rPr>
              <w:t>SumsOfSqs</w:t>
            </w:r>
          </w:p>
        </w:tc>
        <w:tc>
          <w:tcPr>
            <w:tcW w:w="1800" w:type="dxa"/>
            <w:tcBorders>
              <w:top w:val="nil"/>
              <w:left w:val="nil"/>
              <w:bottom w:val="single" w:sz="4" w:space="0" w:color="auto"/>
              <w:right w:val="nil"/>
            </w:tcBorders>
            <w:shd w:val="clear" w:color="auto" w:fill="auto"/>
            <w:noWrap/>
            <w:vAlign w:val="bottom"/>
            <w:hideMark/>
          </w:tcPr>
          <w:p w14:paraId="5709FDD8" w14:textId="77777777" w:rsidR="00941BF3" w:rsidRPr="00941BF3" w:rsidRDefault="00941BF3" w:rsidP="00941BF3">
            <w:pPr>
              <w:rPr>
                <w:rFonts w:eastAsia="Times New Roman" w:cs="Times New Roman"/>
                <w:b/>
                <w:bCs/>
              </w:rPr>
            </w:pPr>
            <w:r w:rsidRPr="00941BF3">
              <w:rPr>
                <w:rFonts w:eastAsia="Times New Roman" w:cs="Times New Roman"/>
                <w:b/>
                <w:bCs/>
              </w:rPr>
              <w:t>MeanSqs</w:t>
            </w:r>
          </w:p>
        </w:tc>
        <w:tc>
          <w:tcPr>
            <w:tcW w:w="1500" w:type="dxa"/>
            <w:tcBorders>
              <w:top w:val="nil"/>
              <w:left w:val="nil"/>
              <w:bottom w:val="single" w:sz="4" w:space="0" w:color="auto"/>
              <w:right w:val="nil"/>
            </w:tcBorders>
            <w:shd w:val="clear" w:color="auto" w:fill="auto"/>
            <w:noWrap/>
            <w:vAlign w:val="bottom"/>
            <w:hideMark/>
          </w:tcPr>
          <w:p w14:paraId="355C26B4" w14:textId="77777777" w:rsidR="00941BF3" w:rsidRPr="00941BF3" w:rsidRDefault="00941BF3" w:rsidP="00941BF3">
            <w:pPr>
              <w:rPr>
                <w:rFonts w:eastAsia="Times New Roman" w:cs="Times New Roman"/>
                <w:b/>
                <w:bCs/>
              </w:rPr>
            </w:pPr>
            <w:r w:rsidRPr="00941BF3">
              <w:rPr>
                <w:rFonts w:eastAsia="Times New Roman" w:cs="Times New Roman"/>
                <w:b/>
                <w:bCs/>
              </w:rPr>
              <w:t>F.Model</w:t>
            </w:r>
          </w:p>
        </w:tc>
        <w:tc>
          <w:tcPr>
            <w:tcW w:w="1680" w:type="dxa"/>
            <w:tcBorders>
              <w:top w:val="nil"/>
              <w:left w:val="nil"/>
              <w:bottom w:val="single" w:sz="4" w:space="0" w:color="auto"/>
              <w:right w:val="nil"/>
            </w:tcBorders>
            <w:shd w:val="clear" w:color="auto" w:fill="auto"/>
            <w:noWrap/>
            <w:vAlign w:val="bottom"/>
            <w:hideMark/>
          </w:tcPr>
          <w:p w14:paraId="2B459C10" w14:textId="77777777" w:rsidR="00941BF3" w:rsidRPr="00941BF3" w:rsidRDefault="00941BF3" w:rsidP="00941BF3">
            <w:pPr>
              <w:rPr>
                <w:rFonts w:eastAsia="Times New Roman" w:cs="Times New Roman"/>
                <w:b/>
                <w:bCs/>
              </w:rPr>
            </w:pPr>
            <w:r w:rsidRPr="00941BF3">
              <w:rPr>
                <w:rFonts w:eastAsia="Times New Roman" w:cs="Times New Roman"/>
                <w:b/>
                <w:bCs/>
              </w:rPr>
              <w:t>R2</w:t>
            </w:r>
          </w:p>
        </w:tc>
        <w:tc>
          <w:tcPr>
            <w:tcW w:w="1440" w:type="dxa"/>
            <w:tcBorders>
              <w:top w:val="nil"/>
              <w:left w:val="nil"/>
              <w:bottom w:val="single" w:sz="4" w:space="0" w:color="auto"/>
              <w:right w:val="nil"/>
            </w:tcBorders>
            <w:shd w:val="clear" w:color="auto" w:fill="auto"/>
            <w:noWrap/>
            <w:vAlign w:val="bottom"/>
            <w:hideMark/>
          </w:tcPr>
          <w:p w14:paraId="2880CF08" w14:textId="77777777" w:rsidR="00941BF3" w:rsidRPr="00941BF3" w:rsidRDefault="00941BF3" w:rsidP="00941BF3">
            <w:pPr>
              <w:rPr>
                <w:rFonts w:eastAsia="Times New Roman" w:cs="Times New Roman"/>
                <w:b/>
                <w:bCs/>
              </w:rPr>
            </w:pPr>
            <w:r w:rsidRPr="00941BF3">
              <w:rPr>
                <w:rFonts w:eastAsia="Times New Roman" w:cs="Times New Roman"/>
                <w:b/>
                <w:bCs/>
              </w:rPr>
              <w:t>p-value</w:t>
            </w:r>
          </w:p>
        </w:tc>
      </w:tr>
      <w:tr w:rsidR="00941BF3" w:rsidRPr="00941BF3" w14:paraId="173756CE" w14:textId="77777777" w:rsidTr="00941BF3">
        <w:trPr>
          <w:trHeight w:val="380"/>
        </w:trPr>
        <w:tc>
          <w:tcPr>
            <w:tcW w:w="2840" w:type="dxa"/>
            <w:tcBorders>
              <w:top w:val="nil"/>
              <w:left w:val="nil"/>
              <w:bottom w:val="nil"/>
              <w:right w:val="nil"/>
            </w:tcBorders>
            <w:shd w:val="clear" w:color="auto" w:fill="auto"/>
            <w:noWrap/>
            <w:vAlign w:val="bottom"/>
            <w:hideMark/>
          </w:tcPr>
          <w:p w14:paraId="588EDBC3" w14:textId="77777777" w:rsidR="00941BF3" w:rsidRPr="00941BF3" w:rsidRDefault="00941BF3" w:rsidP="00941BF3">
            <w:pPr>
              <w:rPr>
                <w:rFonts w:eastAsia="Times New Roman" w:cs="Times New Roman"/>
                <w:b/>
                <w:bCs/>
              </w:rPr>
            </w:pPr>
            <w:r w:rsidRPr="00941BF3">
              <w:rPr>
                <w:rFonts w:eastAsia="Times New Roman" w:cs="Times New Roman"/>
                <w:b/>
                <w:bCs/>
              </w:rPr>
              <w:t>Palm identity</w:t>
            </w:r>
          </w:p>
        </w:tc>
        <w:tc>
          <w:tcPr>
            <w:tcW w:w="740" w:type="dxa"/>
            <w:tcBorders>
              <w:top w:val="nil"/>
              <w:left w:val="nil"/>
              <w:bottom w:val="nil"/>
              <w:right w:val="nil"/>
            </w:tcBorders>
            <w:shd w:val="clear" w:color="auto" w:fill="auto"/>
            <w:noWrap/>
            <w:vAlign w:val="bottom"/>
            <w:hideMark/>
          </w:tcPr>
          <w:p w14:paraId="7B91A07A" w14:textId="77777777" w:rsidR="00941BF3" w:rsidRPr="00941BF3" w:rsidRDefault="00941BF3" w:rsidP="00941BF3">
            <w:pPr>
              <w:jc w:val="right"/>
              <w:rPr>
                <w:rFonts w:eastAsia="Times New Roman" w:cs="Times New Roman"/>
              </w:rPr>
            </w:pPr>
            <w:r w:rsidRPr="00941BF3">
              <w:rPr>
                <w:rFonts w:eastAsia="Times New Roman" w:cs="Times New Roman"/>
              </w:rPr>
              <w:t>7</w:t>
            </w:r>
          </w:p>
        </w:tc>
        <w:tc>
          <w:tcPr>
            <w:tcW w:w="1620" w:type="dxa"/>
            <w:tcBorders>
              <w:top w:val="nil"/>
              <w:left w:val="nil"/>
              <w:bottom w:val="nil"/>
              <w:right w:val="nil"/>
            </w:tcBorders>
            <w:shd w:val="clear" w:color="auto" w:fill="auto"/>
            <w:noWrap/>
            <w:vAlign w:val="bottom"/>
            <w:hideMark/>
          </w:tcPr>
          <w:p w14:paraId="1CC663F4" w14:textId="77777777" w:rsidR="00941BF3" w:rsidRPr="00941BF3" w:rsidRDefault="00941BF3" w:rsidP="00941BF3">
            <w:pPr>
              <w:jc w:val="right"/>
              <w:rPr>
                <w:rFonts w:eastAsia="Times New Roman" w:cs="Times New Roman"/>
              </w:rPr>
            </w:pPr>
            <w:r w:rsidRPr="00941BF3">
              <w:rPr>
                <w:rFonts w:eastAsia="Times New Roman" w:cs="Times New Roman"/>
              </w:rPr>
              <w:t>0.615071</w:t>
            </w:r>
          </w:p>
        </w:tc>
        <w:tc>
          <w:tcPr>
            <w:tcW w:w="1800" w:type="dxa"/>
            <w:tcBorders>
              <w:top w:val="nil"/>
              <w:left w:val="nil"/>
              <w:bottom w:val="nil"/>
              <w:right w:val="nil"/>
            </w:tcBorders>
            <w:shd w:val="clear" w:color="auto" w:fill="auto"/>
            <w:noWrap/>
            <w:vAlign w:val="bottom"/>
            <w:hideMark/>
          </w:tcPr>
          <w:p w14:paraId="01F55665" w14:textId="77777777" w:rsidR="00941BF3" w:rsidRPr="00941BF3" w:rsidRDefault="00941BF3" w:rsidP="00941BF3">
            <w:pPr>
              <w:jc w:val="right"/>
              <w:rPr>
                <w:rFonts w:eastAsia="Times New Roman" w:cs="Times New Roman"/>
              </w:rPr>
            </w:pPr>
            <w:r w:rsidRPr="00941BF3">
              <w:rPr>
                <w:rFonts w:eastAsia="Times New Roman" w:cs="Times New Roman"/>
              </w:rPr>
              <w:t>0.087867</w:t>
            </w:r>
          </w:p>
        </w:tc>
        <w:tc>
          <w:tcPr>
            <w:tcW w:w="1500" w:type="dxa"/>
            <w:tcBorders>
              <w:top w:val="nil"/>
              <w:left w:val="nil"/>
              <w:bottom w:val="nil"/>
              <w:right w:val="nil"/>
            </w:tcBorders>
            <w:shd w:val="clear" w:color="auto" w:fill="auto"/>
            <w:noWrap/>
            <w:vAlign w:val="bottom"/>
            <w:hideMark/>
          </w:tcPr>
          <w:p w14:paraId="3C00107F" w14:textId="77777777" w:rsidR="00941BF3" w:rsidRPr="00941BF3" w:rsidRDefault="00941BF3" w:rsidP="00941BF3">
            <w:pPr>
              <w:jc w:val="right"/>
              <w:rPr>
                <w:rFonts w:eastAsia="Times New Roman" w:cs="Times New Roman"/>
              </w:rPr>
            </w:pPr>
            <w:r w:rsidRPr="00941BF3">
              <w:rPr>
                <w:rFonts w:eastAsia="Times New Roman" w:cs="Times New Roman"/>
              </w:rPr>
              <w:t>3.335282</w:t>
            </w:r>
          </w:p>
        </w:tc>
        <w:tc>
          <w:tcPr>
            <w:tcW w:w="1680" w:type="dxa"/>
            <w:tcBorders>
              <w:top w:val="nil"/>
              <w:left w:val="nil"/>
              <w:bottom w:val="nil"/>
              <w:right w:val="nil"/>
            </w:tcBorders>
            <w:shd w:val="clear" w:color="auto" w:fill="auto"/>
            <w:noWrap/>
            <w:vAlign w:val="bottom"/>
            <w:hideMark/>
          </w:tcPr>
          <w:p w14:paraId="6985ADA1" w14:textId="77777777" w:rsidR="00941BF3" w:rsidRPr="00941BF3" w:rsidRDefault="00941BF3" w:rsidP="00941BF3">
            <w:pPr>
              <w:jc w:val="right"/>
              <w:rPr>
                <w:rFonts w:eastAsia="Times New Roman" w:cs="Times New Roman"/>
              </w:rPr>
            </w:pPr>
            <w:r w:rsidRPr="00941BF3">
              <w:rPr>
                <w:rFonts w:eastAsia="Times New Roman" w:cs="Times New Roman"/>
              </w:rPr>
              <w:t>0.495473</w:t>
            </w:r>
          </w:p>
        </w:tc>
        <w:tc>
          <w:tcPr>
            <w:tcW w:w="1440" w:type="dxa"/>
            <w:tcBorders>
              <w:top w:val="nil"/>
              <w:left w:val="nil"/>
              <w:bottom w:val="nil"/>
              <w:right w:val="nil"/>
            </w:tcBorders>
            <w:shd w:val="clear" w:color="auto" w:fill="auto"/>
            <w:noWrap/>
            <w:vAlign w:val="bottom"/>
            <w:hideMark/>
          </w:tcPr>
          <w:p w14:paraId="4862F3FF" w14:textId="77777777" w:rsidR="00941BF3" w:rsidRPr="00941BF3" w:rsidRDefault="00941BF3" w:rsidP="00941BF3">
            <w:pPr>
              <w:jc w:val="right"/>
              <w:rPr>
                <w:rFonts w:eastAsia="Times New Roman" w:cs="Times New Roman"/>
              </w:rPr>
            </w:pPr>
            <w:r w:rsidRPr="00941BF3">
              <w:rPr>
                <w:rFonts w:eastAsia="Times New Roman" w:cs="Times New Roman"/>
              </w:rPr>
              <w:t>0.102</w:t>
            </w:r>
          </w:p>
        </w:tc>
      </w:tr>
      <w:tr w:rsidR="00941BF3" w:rsidRPr="00941BF3" w14:paraId="0DCDA3F9" w14:textId="77777777" w:rsidTr="00941BF3">
        <w:trPr>
          <w:trHeight w:val="380"/>
        </w:trPr>
        <w:tc>
          <w:tcPr>
            <w:tcW w:w="2840" w:type="dxa"/>
            <w:tcBorders>
              <w:top w:val="nil"/>
              <w:left w:val="nil"/>
              <w:bottom w:val="nil"/>
              <w:right w:val="nil"/>
            </w:tcBorders>
            <w:shd w:val="clear" w:color="auto" w:fill="auto"/>
            <w:noWrap/>
            <w:vAlign w:val="bottom"/>
            <w:hideMark/>
          </w:tcPr>
          <w:p w14:paraId="4109D628" w14:textId="77777777" w:rsidR="00941BF3" w:rsidRPr="00941BF3" w:rsidRDefault="00941BF3" w:rsidP="00941BF3">
            <w:pPr>
              <w:rPr>
                <w:rFonts w:eastAsia="Times New Roman" w:cs="Times New Roman"/>
                <w:b/>
                <w:bCs/>
              </w:rPr>
            </w:pPr>
            <w:r w:rsidRPr="00941BF3">
              <w:rPr>
                <w:rFonts w:eastAsia="Times New Roman" w:cs="Times New Roman"/>
                <w:b/>
                <w:bCs/>
              </w:rPr>
              <w:t>Age group</w:t>
            </w:r>
          </w:p>
        </w:tc>
        <w:tc>
          <w:tcPr>
            <w:tcW w:w="740" w:type="dxa"/>
            <w:tcBorders>
              <w:top w:val="nil"/>
              <w:left w:val="nil"/>
              <w:bottom w:val="nil"/>
              <w:right w:val="nil"/>
            </w:tcBorders>
            <w:shd w:val="clear" w:color="auto" w:fill="auto"/>
            <w:noWrap/>
            <w:vAlign w:val="bottom"/>
            <w:hideMark/>
          </w:tcPr>
          <w:p w14:paraId="316994A6" w14:textId="77777777" w:rsidR="00941BF3" w:rsidRPr="00941BF3" w:rsidRDefault="00941BF3" w:rsidP="00941BF3">
            <w:pPr>
              <w:jc w:val="right"/>
              <w:rPr>
                <w:rFonts w:eastAsia="Times New Roman" w:cs="Times New Roman"/>
              </w:rPr>
            </w:pPr>
            <w:r w:rsidRPr="00941BF3">
              <w:rPr>
                <w:rFonts w:eastAsia="Times New Roman" w:cs="Times New Roman"/>
              </w:rPr>
              <w:t>1</w:t>
            </w:r>
          </w:p>
        </w:tc>
        <w:tc>
          <w:tcPr>
            <w:tcW w:w="1620" w:type="dxa"/>
            <w:tcBorders>
              <w:top w:val="nil"/>
              <w:left w:val="nil"/>
              <w:bottom w:val="nil"/>
              <w:right w:val="nil"/>
            </w:tcBorders>
            <w:shd w:val="clear" w:color="auto" w:fill="auto"/>
            <w:noWrap/>
            <w:vAlign w:val="bottom"/>
            <w:hideMark/>
          </w:tcPr>
          <w:p w14:paraId="3A786F29" w14:textId="77777777" w:rsidR="00941BF3" w:rsidRPr="00941BF3" w:rsidRDefault="00941BF3" w:rsidP="00941BF3">
            <w:pPr>
              <w:jc w:val="right"/>
              <w:rPr>
                <w:rFonts w:eastAsia="Times New Roman" w:cs="Times New Roman"/>
              </w:rPr>
            </w:pPr>
            <w:r w:rsidRPr="00941BF3">
              <w:rPr>
                <w:rFonts w:eastAsia="Times New Roman" w:cs="Times New Roman"/>
              </w:rPr>
              <w:t>0.057596</w:t>
            </w:r>
          </w:p>
        </w:tc>
        <w:tc>
          <w:tcPr>
            <w:tcW w:w="1800" w:type="dxa"/>
            <w:tcBorders>
              <w:top w:val="nil"/>
              <w:left w:val="nil"/>
              <w:bottom w:val="nil"/>
              <w:right w:val="nil"/>
            </w:tcBorders>
            <w:shd w:val="clear" w:color="auto" w:fill="auto"/>
            <w:noWrap/>
            <w:vAlign w:val="bottom"/>
            <w:hideMark/>
          </w:tcPr>
          <w:p w14:paraId="394D3CFB" w14:textId="77777777" w:rsidR="00941BF3" w:rsidRPr="00941BF3" w:rsidRDefault="00941BF3" w:rsidP="00941BF3">
            <w:pPr>
              <w:jc w:val="right"/>
              <w:rPr>
                <w:rFonts w:eastAsia="Times New Roman" w:cs="Times New Roman"/>
              </w:rPr>
            </w:pPr>
            <w:r w:rsidRPr="00941BF3">
              <w:rPr>
                <w:rFonts w:eastAsia="Times New Roman" w:cs="Times New Roman"/>
              </w:rPr>
              <w:t>0.057596</w:t>
            </w:r>
          </w:p>
        </w:tc>
        <w:tc>
          <w:tcPr>
            <w:tcW w:w="1500" w:type="dxa"/>
            <w:tcBorders>
              <w:top w:val="nil"/>
              <w:left w:val="nil"/>
              <w:bottom w:val="nil"/>
              <w:right w:val="nil"/>
            </w:tcBorders>
            <w:shd w:val="clear" w:color="auto" w:fill="auto"/>
            <w:noWrap/>
            <w:vAlign w:val="bottom"/>
            <w:hideMark/>
          </w:tcPr>
          <w:p w14:paraId="63292ECA" w14:textId="77777777" w:rsidR="00941BF3" w:rsidRPr="00941BF3" w:rsidRDefault="00941BF3" w:rsidP="00941BF3">
            <w:pPr>
              <w:jc w:val="right"/>
              <w:rPr>
                <w:rFonts w:eastAsia="Times New Roman" w:cs="Times New Roman"/>
              </w:rPr>
            </w:pPr>
            <w:r w:rsidRPr="00941BF3">
              <w:rPr>
                <w:rFonts w:eastAsia="Times New Roman" w:cs="Times New Roman"/>
              </w:rPr>
              <w:t>2.186225</w:t>
            </w:r>
          </w:p>
        </w:tc>
        <w:tc>
          <w:tcPr>
            <w:tcW w:w="1680" w:type="dxa"/>
            <w:tcBorders>
              <w:top w:val="nil"/>
              <w:left w:val="nil"/>
              <w:bottom w:val="nil"/>
              <w:right w:val="nil"/>
            </w:tcBorders>
            <w:shd w:val="clear" w:color="auto" w:fill="auto"/>
            <w:noWrap/>
            <w:vAlign w:val="bottom"/>
            <w:hideMark/>
          </w:tcPr>
          <w:p w14:paraId="3DF4F1C5" w14:textId="77777777" w:rsidR="00941BF3" w:rsidRPr="00941BF3" w:rsidRDefault="00941BF3" w:rsidP="00941BF3">
            <w:pPr>
              <w:jc w:val="right"/>
              <w:rPr>
                <w:rFonts w:eastAsia="Times New Roman" w:cs="Times New Roman"/>
              </w:rPr>
            </w:pPr>
            <w:r w:rsidRPr="00941BF3">
              <w:rPr>
                <w:rFonts w:eastAsia="Times New Roman" w:cs="Times New Roman"/>
              </w:rPr>
              <w:t>0.046396</w:t>
            </w:r>
          </w:p>
        </w:tc>
        <w:tc>
          <w:tcPr>
            <w:tcW w:w="1440" w:type="dxa"/>
            <w:tcBorders>
              <w:top w:val="nil"/>
              <w:left w:val="nil"/>
              <w:bottom w:val="nil"/>
              <w:right w:val="nil"/>
            </w:tcBorders>
            <w:shd w:val="clear" w:color="auto" w:fill="auto"/>
            <w:noWrap/>
            <w:vAlign w:val="bottom"/>
            <w:hideMark/>
          </w:tcPr>
          <w:p w14:paraId="78EBEC1A" w14:textId="77777777" w:rsidR="00941BF3" w:rsidRPr="00941BF3" w:rsidRDefault="00941BF3" w:rsidP="00941BF3">
            <w:pPr>
              <w:jc w:val="right"/>
              <w:rPr>
                <w:rFonts w:eastAsia="Times New Roman" w:cs="Times New Roman"/>
              </w:rPr>
            </w:pPr>
            <w:r w:rsidRPr="00941BF3">
              <w:rPr>
                <w:rFonts w:eastAsia="Times New Roman" w:cs="Times New Roman"/>
              </w:rPr>
              <w:t>0.175</w:t>
            </w:r>
          </w:p>
        </w:tc>
      </w:tr>
      <w:tr w:rsidR="00941BF3" w:rsidRPr="00941BF3" w14:paraId="72DC6B24" w14:textId="77777777" w:rsidTr="00941BF3">
        <w:trPr>
          <w:trHeight w:val="380"/>
        </w:trPr>
        <w:tc>
          <w:tcPr>
            <w:tcW w:w="2840" w:type="dxa"/>
            <w:tcBorders>
              <w:top w:val="nil"/>
              <w:left w:val="nil"/>
              <w:bottom w:val="nil"/>
              <w:right w:val="nil"/>
            </w:tcBorders>
            <w:shd w:val="clear" w:color="auto" w:fill="auto"/>
            <w:noWrap/>
            <w:vAlign w:val="bottom"/>
            <w:hideMark/>
          </w:tcPr>
          <w:p w14:paraId="25184B1F" w14:textId="77777777" w:rsidR="00941BF3" w:rsidRPr="00941BF3" w:rsidRDefault="00941BF3" w:rsidP="00941BF3">
            <w:pPr>
              <w:rPr>
                <w:rFonts w:eastAsia="Times New Roman" w:cs="Times New Roman"/>
                <w:b/>
                <w:bCs/>
              </w:rPr>
            </w:pPr>
            <w:r w:rsidRPr="00941BF3">
              <w:rPr>
                <w:rFonts w:eastAsia="Times New Roman" w:cs="Times New Roman"/>
                <w:b/>
                <w:bCs/>
              </w:rPr>
              <w:t>Habitat type</w:t>
            </w:r>
          </w:p>
        </w:tc>
        <w:tc>
          <w:tcPr>
            <w:tcW w:w="740" w:type="dxa"/>
            <w:tcBorders>
              <w:top w:val="nil"/>
              <w:left w:val="nil"/>
              <w:bottom w:val="nil"/>
              <w:right w:val="nil"/>
            </w:tcBorders>
            <w:shd w:val="clear" w:color="auto" w:fill="auto"/>
            <w:noWrap/>
            <w:vAlign w:val="bottom"/>
            <w:hideMark/>
          </w:tcPr>
          <w:p w14:paraId="30069890" w14:textId="77777777" w:rsidR="00941BF3" w:rsidRPr="00941BF3" w:rsidRDefault="00941BF3" w:rsidP="00941BF3">
            <w:pPr>
              <w:jc w:val="right"/>
              <w:rPr>
                <w:rFonts w:eastAsia="Times New Roman" w:cs="Times New Roman"/>
              </w:rPr>
            </w:pPr>
            <w:r w:rsidRPr="00941BF3">
              <w:rPr>
                <w:rFonts w:eastAsia="Times New Roman" w:cs="Times New Roman"/>
              </w:rPr>
              <w:t>1</w:t>
            </w:r>
          </w:p>
        </w:tc>
        <w:tc>
          <w:tcPr>
            <w:tcW w:w="1620" w:type="dxa"/>
            <w:tcBorders>
              <w:top w:val="nil"/>
              <w:left w:val="nil"/>
              <w:bottom w:val="nil"/>
              <w:right w:val="nil"/>
            </w:tcBorders>
            <w:shd w:val="clear" w:color="auto" w:fill="auto"/>
            <w:noWrap/>
            <w:vAlign w:val="bottom"/>
            <w:hideMark/>
          </w:tcPr>
          <w:p w14:paraId="08179DEA" w14:textId="77777777" w:rsidR="00941BF3" w:rsidRPr="00941BF3" w:rsidRDefault="00941BF3" w:rsidP="00941BF3">
            <w:pPr>
              <w:jc w:val="right"/>
              <w:rPr>
                <w:rFonts w:eastAsia="Times New Roman" w:cs="Times New Roman"/>
              </w:rPr>
            </w:pPr>
            <w:r w:rsidRPr="00941BF3">
              <w:rPr>
                <w:rFonts w:eastAsia="Times New Roman" w:cs="Times New Roman"/>
              </w:rPr>
              <w:t>0</w:t>
            </w:r>
          </w:p>
        </w:tc>
        <w:tc>
          <w:tcPr>
            <w:tcW w:w="1800" w:type="dxa"/>
            <w:tcBorders>
              <w:top w:val="nil"/>
              <w:left w:val="nil"/>
              <w:bottom w:val="nil"/>
              <w:right w:val="nil"/>
            </w:tcBorders>
            <w:shd w:val="clear" w:color="auto" w:fill="auto"/>
            <w:noWrap/>
            <w:vAlign w:val="bottom"/>
            <w:hideMark/>
          </w:tcPr>
          <w:p w14:paraId="0D11C612" w14:textId="77777777" w:rsidR="00941BF3" w:rsidRPr="00941BF3" w:rsidRDefault="00941BF3" w:rsidP="00941BF3">
            <w:pPr>
              <w:jc w:val="right"/>
              <w:rPr>
                <w:rFonts w:eastAsia="Times New Roman" w:cs="Times New Roman"/>
              </w:rPr>
            </w:pPr>
            <w:r w:rsidRPr="00941BF3">
              <w:rPr>
                <w:rFonts w:eastAsia="Times New Roman" w:cs="Times New Roman"/>
              </w:rPr>
              <w:t>0</w:t>
            </w:r>
          </w:p>
        </w:tc>
        <w:tc>
          <w:tcPr>
            <w:tcW w:w="1500" w:type="dxa"/>
            <w:tcBorders>
              <w:top w:val="nil"/>
              <w:left w:val="nil"/>
              <w:bottom w:val="nil"/>
              <w:right w:val="nil"/>
            </w:tcBorders>
            <w:shd w:val="clear" w:color="auto" w:fill="auto"/>
            <w:noWrap/>
            <w:vAlign w:val="bottom"/>
            <w:hideMark/>
          </w:tcPr>
          <w:p w14:paraId="7DE84C85" w14:textId="77777777" w:rsidR="00941BF3" w:rsidRPr="00941BF3" w:rsidRDefault="00941BF3" w:rsidP="00941BF3">
            <w:pPr>
              <w:jc w:val="right"/>
              <w:rPr>
                <w:rFonts w:eastAsia="Times New Roman" w:cs="Times New Roman"/>
              </w:rPr>
            </w:pPr>
            <w:r w:rsidRPr="00941BF3">
              <w:rPr>
                <w:rFonts w:eastAsia="Times New Roman" w:cs="Times New Roman"/>
              </w:rPr>
              <w:t>0</w:t>
            </w:r>
          </w:p>
        </w:tc>
        <w:tc>
          <w:tcPr>
            <w:tcW w:w="1680" w:type="dxa"/>
            <w:tcBorders>
              <w:top w:val="nil"/>
              <w:left w:val="nil"/>
              <w:bottom w:val="nil"/>
              <w:right w:val="nil"/>
            </w:tcBorders>
            <w:shd w:val="clear" w:color="auto" w:fill="auto"/>
            <w:noWrap/>
            <w:vAlign w:val="bottom"/>
            <w:hideMark/>
          </w:tcPr>
          <w:p w14:paraId="53CC7C0F" w14:textId="77777777" w:rsidR="00941BF3" w:rsidRPr="00941BF3" w:rsidRDefault="00941BF3" w:rsidP="00941BF3">
            <w:pPr>
              <w:jc w:val="right"/>
              <w:rPr>
                <w:rFonts w:eastAsia="Times New Roman" w:cs="Times New Roman"/>
              </w:rPr>
            </w:pPr>
            <w:r w:rsidRPr="00941BF3">
              <w:rPr>
                <w:rFonts w:eastAsia="Times New Roman" w:cs="Times New Roman"/>
              </w:rPr>
              <w:t>0</w:t>
            </w:r>
          </w:p>
        </w:tc>
        <w:tc>
          <w:tcPr>
            <w:tcW w:w="1440" w:type="dxa"/>
            <w:tcBorders>
              <w:top w:val="nil"/>
              <w:left w:val="nil"/>
              <w:bottom w:val="nil"/>
              <w:right w:val="nil"/>
            </w:tcBorders>
            <w:shd w:val="clear" w:color="auto" w:fill="auto"/>
            <w:noWrap/>
            <w:vAlign w:val="bottom"/>
            <w:hideMark/>
          </w:tcPr>
          <w:p w14:paraId="66C01B19" w14:textId="77777777" w:rsidR="00941BF3" w:rsidRPr="00941BF3" w:rsidRDefault="00941BF3" w:rsidP="00941BF3">
            <w:pPr>
              <w:jc w:val="right"/>
              <w:rPr>
                <w:rFonts w:eastAsia="Times New Roman" w:cs="Times New Roman"/>
              </w:rPr>
            </w:pPr>
            <w:r w:rsidRPr="00941BF3">
              <w:rPr>
                <w:rFonts w:eastAsia="Times New Roman" w:cs="Times New Roman"/>
              </w:rPr>
              <w:t>NaN</w:t>
            </w:r>
          </w:p>
        </w:tc>
      </w:tr>
      <w:tr w:rsidR="00941BF3" w:rsidRPr="00941BF3" w14:paraId="6A12994E" w14:textId="77777777" w:rsidTr="00941BF3">
        <w:trPr>
          <w:trHeight w:val="380"/>
        </w:trPr>
        <w:tc>
          <w:tcPr>
            <w:tcW w:w="2840" w:type="dxa"/>
            <w:tcBorders>
              <w:top w:val="nil"/>
              <w:left w:val="nil"/>
              <w:bottom w:val="nil"/>
              <w:right w:val="nil"/>
            </w:tcBorders>
            <w:shd w:val="clear" w:color="auto" w:fill="auto"/>
            <w:noWrap/>
            <w:vAlign w:val="bottom"/>
            <w:hideMark/>
          </w:tcPr>
          <w:p w14:paraId="0D0734D9" w14:textId="77777777" w:rsidR="00941BF3" w:rsidRPr="00941BF3" w:rsidRDefault="00941BF3" w:rsidP="00941BF3">
            <w:pPr>
              <w:rPr>
                <w:rFonts w:eastAsia="Times New Roman" w:cs="Times New Roman"/>
                <w:b/>
                <w:bCs/>
              </w:rPr>
            </w:pPr>
            <w:r w:rsidRPr="00941BF3">
              <w:rPr>
                <w:rFonts w:eastAsia="Times New Roman" w:cs="Times New Roman"/>
                <w:b/>
                <w:bCs/>
              </w:rPr>
              <w:t>Dominant blood meal</w:t>
            </w:r>
          </w:p>
        </w:tc>
        <w:tc>
          <w:tcPr>
            <w:tcW w:w="740" w:type="dxa"/>
            <w:tcBorders>
              <w:top w:val="nil"/>
              <w:left w:val="nil"/>
              <w:bottom w:val="nil"/>
              <w:right w:val="nil"/>
            </w:tcBorders>
            <w:shd w:val="clear" w:color="auto" w:fill="auto"/>
            <w:noWrap/>
            <w:vAlign w:val="bottom"/>
            <w:hideMark/>
          </w:tcPr>
          <w:p w14:paraId="68832A8B" w14:textId="77777777" w:rsidR="00941BF3" w:rsidRPr="00941BF3" w:rsidRDefault="00941BF3" w:rsidP="00941BF3">
            <w:pPr>
              <w:jc w:val="right"/>
              <w:rPr>
                <w:rFonts w:eastAsia="Times New Roman" w:cs="Times New Roman"/>
              </w:rPr>
            </w:pPr>
            <w:r w:rsidRPr="00941BF3">
              <w:rPr>
                <w:rFonts w:eastAsia="Times New Roman" w:cs="Times New Roman"/>
              </w:rPr>
              <w:t>4</w:t>
            </w:r>
          </w:p>
        </w:tc>
        <w:tc>
          <w:tcPr>
            <w:tcW w:w="1620" w:type="dxa"/>
            <w:tcBorders>
              <w:top w:val="nil"/>
              <w:left w:val="nil"/>
              <w:bottom w:val="nil"/>
              <w:right w:val="nil"/>
            </w:tcBorders>
            <w:shd w:val="clear" w:color="auto" w:fill="auto"/>
            <w:noWrap/>
            <w:vAlign w:val="bottom"/>
            <w:hideMark/>
          </w:tcPr>
          <w:p w14:paraId="0B03FBCD" w14:textId="77777777" w:rsidR="00941BF3" w:rsidRPr="00941BF3" w:rsidRDefault="00941BF3" w:rsidP="00941BF3">
            <w:pPr>
              <w:jc w:val="right"/>
              <w:rPr>
                <w:rFonts w:eastAsia="Times New Roman" w:cs="Times New Roman"/>
              </w:rPr>
            </w:pPr>
            <w:r w:rsidRPr="00941BF3">
              <w:rPr>
                <w:rFonts w:eastAsia="Times New Roman" w:cs="Times New Roman"/>
              </w:rPr>
              <w:t>0.046655</w:t>
            </w:r>
          </w:p>
        </w:tc>
        <w:tc>
          <w:tcPr>
            <w:tcW w:w="1800" w:type="dxa"/>
            <w:tcBorders>
              <w:top w:val="nil"/>
              <w:left w:val="nil"/>
              <w:bottom w:val="nil"/>
              <w:right w:val="nil"/>
            </w:tcBorders>
            <w:shd w:val="clear" w:color="auto" w:fill="auto"/>
            <w:noWrap/>
            <w:vAlign w:val="bottom"/>
            <w:hideMark/>
          </w:tcPr>
          <w:p w14:paraId="32DFB121" w14:textId="77777777" w:rsidR="00941BF3" w:rsidRPr="00941BF3" w:rsidRDefault="00941BF3" w:rsidP="00941BF3">
            <w:pPr>
              <w:jc w:val="right"/>
              <w:rPr>
                <w:rFonts w:eastAsia="Times New Roman" w:cs="Times New Roman"/>
              </w:rPr>
            </w:pPr>
            <w:r w:rsidRPr="00941BF3">
              <w:rPr>
                <w:rFonts w:eastAsia="Times New Roman" w:cs="Times New Roman"/>
              </w:rPr>
              <w:t>0.011664</w:t>
            </w:r>
          </w:p>
        </w:tc>
        <w:tc>
          <w:tcPr>
            <w:tcW w:w="1500" w:type="dxa"/>
            <w:tcBorders>
              <w:top w:val="nil"/>
              <w:left w:val="nil"/>
              <w:bottom w:val="nil"/>
              <w:right w:val="nil"/>
            </w:tcBorders>
            <w:shd w:val="clear" w:color="auto" w:fill="auto"/>
            <w:noWrap/>
            <w:vAlign w:val="bottom"/>
            <w:hideMark/>
          </w:tcPr>
          <w:p w14:paraId="4A9B07AB" w14:textId="77777777" w:rsidR="00941BF3" w:rsidRPr="00941BF3" w:rsidRDefault="00941BF3" w:rsidP="00941BF3">
            <w:pPr>
              <w:jc w:val="right"/>
              <w:rPr>
                <w:rFonts w:eastAsia="Times New Roman" w:cs="Times New Roman"/>
              </w:rPr>
            </w:pPr>
            <w:r w:rsidRPr="00941BF3">
              <w:rPr>
                <w:rFonts w:eastAsia="Times New Roman" w:cs="Times New Roman"/>
              </w:rPr>
              <w:t>0.442731</w:t>
            </w:r>
          </w:p>
        </w:tc>
        <w:tc>
          <w:tcPr>
            <w:tcW w:w="1680" w:type="dxa"/>
            <w:tcBorders>
              <w:top w:val="nil"/>
              <w:left w:val="nil"/>
              <w:bottom w:val="nil"/>
              <w:right w:val="nil"/>
            </w:tcBorders>
            <w:shd w:val="clear" w:color="auto" w:fill="auto"/>
            <w:noWrap/>
            <w:vAlign w:val="bottom"/>
            <w:hideMark/>
          </w:tcPr>
          <w:p w14:paraId="38820C4E" w14:textId="77777777" w:rsidR="00941BF3" w:rsidRPr="00941BF3" w:rsidRDefault="00941BF3" w:rsidP="00941BF3">
            <w:pPr>
              <w:jc w:val="right"/>
              <w:rPr>
                <w:rFonts w:eastAsia="Times New Roman" w:cs="Times New Roman"/>
              </w:rPr>
            </w:pPr>
            <w:r w:rsidRPr="00941BF3">
              <w:rPr>
                <w:rFonts w:eastAsia="Times New Roman" w:cs="Times New Roman"/>
              </w:rPr>
              <w:t>0.037583</w:t>
            </w:r>
          </w:p>
        </w:tc>
        <w:tc>
          <w:tcPr>
            <w:tcW w:w="1440" w:type="dxa"/>
            <w:tcBorders>
              <w:top w:val="nil"/>
              <w:left w:val="nil"/>
              <w:bottom w:val="nil"/>
              <w:right w:val="nil"/>
            </w:tcBorders>
            <w:shd w:val="clear" w:color="auto" w:fill="auto"/>
            <w:noWrap/>
            <w:vAlign w:val="bottom"/>
            <w:hideMark/>
          </w:tcPr>
          <w:p w14:paraId="701ED65D" w14:textId="77777777" w:rsidR="00941BF3" w:rsidRPr="00941BF3" w:rsidRDefault="00941BF3" w:rsidP="00941BF3">
            <w:pPr>
              <w:jc w:val="right"/>
              <w:rPr>
                <w:rFonts w:eastAsia="Times New Roman" w:cs="Times New Roman"/>
              </w:rPr>
            </w:pPr>
            <w:r w:rsidRPr="00941BF3">
              <w:rPr>
                <w:rFonts w:eastAsia="Times New Roman" w:cs="Times New Roman"/>
              </w:rPr>
              <w:t>0.47</w:t>
            </w:r>
          </w:p>
        </w:tc>
      </w:tr>
      <w:tr w:rsidR="00941BF3" w:rsidRPr="00941BF3" w14:paraId="0D749543" w14:textId="77777777" w:rsidTr="00941BF3">
        <w:trPr>
          <w:trHeight w:val="380"/>
        </w:trPr>
        <w:tc>
          <w:tcPr>
            <w:tcW w:w="2840" w:type="dxa"/>
            <w:tcBorders>
              <w:top w:val="nil"/>
              <w:left w:val="nil"/>
              <w:bottom w:val="nil"/>
              <w:right w:val="nil"/>
            </w:tcBorders>
            <w:shd w:val="clear" w:color="auto" w:fill="auto"/>
            <w:noWrap/>
            <w:vAlign w:val="bottom"/>
            <w:hideMark/>
          </w:tcPr>
          <w:p w14:paraId="66903859" w14:textId="77777777" w:rsidR="00941BF3" w:rsidRPr="00941BF3" w:rsidRDefault="00941BF3" w:rsidP="00941BF3">
            <w:pPr>
              <w:rPr>
                <w:rFonts w:eastAsia="Times New Roman" w:cs="Times New Roman"/>
                <w:b/>
                <w:bCs/>
              </w:rPr>
            </w:pPr>
            <w:r w:rsidRPr="00941BF3">
              <w:rPr>
                <w:rFonts w:eastAsia="Times New Roman" w:cs="Times New Roman"/>
                <w:b/>
                <w:bCs/>
              </w:rPr>
              <w:t>Blood meal richness</w:t>
            </w:r>
          </w:p>
        </w:tc>
        <w:tc>
          <w:tcPr>
            <w:tcW w:w="740" w:type="dxa"/>
            <w:tcBorders>
              <w:top w:val="nil"/>
              <w:left w:val="nil"/>
              <w:bottom w:val="nil"/>
              <w:right w:val="nil"/>
            </w:tcBorders>
            <w:shd w:val="clear" w:color="auto" w:fill="auto"/>
            <w:noWrap/>
            <w:vAlign w:val="bottom"/>
            <w:hideMark/>
          </w:tcPr>
          <w:p w14:paraId="45CEA791" w14:textId="77777777" w:rsidR="00941BF3" w:rsidRPr="00941BF3" w:rsidRDefault="00941BF3" w:rsidP="00941BF3">
            <w:pPr>
              <w:jc w:val="right"/>
              <w:rPr>
                <w:rFonts w:eastAsia="Times New Roman" w:cs="Times New Roman"/>
              </w:rPr>
            </w:pPr>
            <w:r w:rsidRPr="00941BF3">
              <w:rPr>
                <w:rFonts w:eastAsia="Times New Roman" w:cs="Times New Roman"/>
              </w:rPr>
              <w:t>3</w:t>
            </w:r>
          </w:p>
        </w:tc>
        <w:tc>
          <w:tcPr>
            <w:tcW w:w="1620" w:type="dxa"/>
            <w:tcBorders>
              <w:top w:val="nil"/>
              <w:left w:val="nil"/>
              <w:bottom w:val="nil"/>
              <w:right w:val="nil"/>
            </w:tcBorders>
            <w:shd w:val="clear" w:color="auto" w:fill="auto"/>
            <w:noWrap/>
            <w:vAlign w:val="bottom"/>
            <w:hideMark/>
          </w:tcPr>
          <w:p w14:paraId="23FF3B79" w14:textId="77777777" w:rsidR="00941BF3" w:rsidRPr="00941BF3" w:rsidRDefault="00941BF3" w:rsidP="00941BF3">
            <w:pPr>
              <w:jc w:val="right"/>
              <w:rPr>
                <w:rFonts w:eastAsia="Times New Roman" w:cs="Times New Roman"/>
              </w:rPr>
            </w:pPr>
            <w:r w:rsidRPr="00941BF3">
              <w:rPr>
                <w:rFonts w:eastAsia="Times New Roman" w:cs="Times New Roman"/>
              </w:rPr>
              <w:t>0.047855</w:t>
            </w:r>
          </w:p>
        </w:tc>
        <w:tc>
          <w:tcPr>
            <w:tcW w:w="1800" w:type="dxa"/>
            <w:tcBorders>
              <w:top w:val="nil"/>
              <w:left w:val="nil"/>
              <w:bottom w:val="nil"/>
              <w:right w:val="nil"/>
            </w:tcBorders>
            <w:shd w:val="clear" w:color="auto" w:fill="auto"/>
            <w:noWrap/>
            <w:vAlign w:val="bottom"/>
            <w:hideMark/>
          </w:tcPr>
          <w:p w14:paraId="1199439D" w14:textId="77777777" w:rsidR="00941BF3" w:rsidRPr="00941BF3" w:rsidRDefault="00941BF3" w:rsidP="00941BF3">
            <w:pPr>
              <w:jc w:val="right"/>
              <w:rPr>
                <w:rFonts w:eastAsia="Times New Roman" w:cs="Times New Roman"/>
              </w:rPr>
            </w:pPr>
            <w:r w:rsidRPr="00941BF3">
              <w:rPr>
                <w:rFonts w:eastAsia="Times New Roman" w:cs="Times New Roman"/>
              </w:rPr>
              <w:t>0.015952</w:t>
            </w:r>
          </w:p>
        </w:tc>
        <w:tc>
          <w:tcPr>
            <w:tcW w:w="1500" w:type="dxa"/>
            <w:tcBorders>
              <w:top w:val="nil"/>
              <w:left w:val="nil"/>
              <w:bottom w:val="nil"/>
              <w:right w:val="nil"/>
            </w:tcBorders>
            <w:shd w:val="clear" w:color="auto" w:fill="auto"/>
            <w:noWrap/>
            <w:vAlign w:val="bottom"/>
            <w:hideMark/>
          </w:tcPr>
          <w:p w14:paraId="3FC3896B" w14:textId="77777777" w:rsidR="00941BF3" w:rsidRPr="00941BF3" w:rsidRDefault="00941BF3" w:rsidP="00941BF3">
            <w:pPr>
              <w:jc w:val="right"/>
              <w:rPr>
                <w:rFonts w:eastAsia="Times New Roman" w:cs="Times New Roman"/>
              </w:rPr>
            </w:pPr>
            <w:r w:rsidRPr="00941BF3">
              <w:rPr>
                <w:rFonts w:eastAsia="Times New Roman" w:cs="Times New Roman"/>
              </w:rPr>
              <w:t>0.60549</w:t>
            </w:r>
          </w:p>
        </w:tc>
        <w:tc>
          <w:tcPr>
            <w:tcW w:w="1680" w:type="dxa"/>
            <w:tcBorders>
              <w:top w:val="nil"/>
              <w:left w:val="nil"/>
              <w:bottom w:val="nil"/>
              <w:right w:val="nil"/>
            </w:tcBorders>
            <w:shd w:val="clear" w:color="auto" w:fill="auto"/>
            <w:noWrap/>
            <w:vAlign w:val="bottom"/>
            <w:hideMark/>
          </w:tcPr>
          <w:p w14:paraId="4B7BAE3A" w14:textId="77777777" w:rsidR="00941BF3" w:rsidRPr="00941BF3" w:rsidRDefault="00941BF3" w:rsidP="00941BF3">
            <w:pPr>
              <w:jc w:val="right"/>
              <w:rPr>
                <w:rFonts w:eastAsia="Times New Roman" w:cs="Times New Roman"/>
              </w:rPr>
            </w:pPr>
            <w:r w:rsidRPr="00941BF3">
              <w:rPr>
                <w:rFonts w:eastAsia="Times New Roman" w:cs="Times New Roman"/>
              </w:rPr>
              <w:t>0.038549</w:t>
            </w:r>
          </w:p>
        </w:tc>
        <w:tc>
          <w:tcPr>
            <w:tcW w:w="1440" w:type="dxa"/>
            <w:tcBorders>
              <w:top w:val="nil"/>
              <w:left w:val="nil"/>
              <w:bottom w:val="nil"/>
              <w:right w:val="nil"/>
            </w:tcBorders>
            <w:shd w:val="clear" w:color="auto" w:fill="auto"/>
            <w:noWrap/>
            <w:vAlign w:val="bottom"/>
            <w:hideMark/>
          </w:tcPr>
          <w:p w14:paraId="62D7D789" w14:textId="77777777" w:rsidR="00941BF3" w:rsidRPr="00941BF3" w:rsidRDefault="00941BF3" w:rsidP="00941BF3">
            <w:pPr>
              <w:jc w:val="right"/>
              <w:rPr>
                <w:rFonts w:eastAsia="Times New Roman" w:cs="Times New Roman"/>
              </w:rPr>
            </w:pPr>
            <w:r w:rsidRPr="00941BF3">
              <w:rPr>
                <w:rFonts w:eastAsia="Times New Roman" w:cs="Times New Roman"/>
              </w:rPr>
              <w:t>0.613</w:t>
            </w:r>
          </w:p>
        </w:tc>
      </w:tr>
      <w:tr w:rsidR="00941BF3" w:rsidRPr="00941BF3" w14:paraId="34C7E23C" w14:textId="77777777" w:rsidTr="00941BF3">
        <w:trPr>
          <w:trHeight w:val="380"/>
        </w:trPr>
        <w:tc>
          <w:tcPr>
            <w:tcW w:w="2840" w:type="dxa"/>
            <w:tcBorders>
              <w:top w:val="nil"/>
              <w:left w:val="nil"/>
              <w:bottom w:val="nil"/>
              <w:right w:val="nil"/>
            </w:tcBorders>
            <w:shd w:val="clear" w:color="auto" w:fill="auto"/>
            <w:noWrap/>
            <w:vAlign w:val="bottom"/>
            <w:hideMark/>
          </w:tcPr>
          <w:p w14:paraId="4C8EF3CC" w14:textId="77777777" w:rsidR="00941BF3" w:rsidRPr="00941BF3" w:rsidRDefault="00941BF3" w:rsidP="00941BF3">
            <w:pPr>
              <w:rPr>
                <w:rFonts w:eastAsia="Times New Roman" w:cs="Times New Roman"/>
                <w:b/>
                <w:bCs/>
              </w:rPr>
            </w:pPr>
            <w:r w:rsidRPr="00941BF3">
              <w:rPr>
                <w:rFonts w:eastAsia="Times New Roman" w:cs="Times New Roman"/>
                <w:b/>
                <w:bCs/>
              </w:rPr>
              <w:t>Residuals</w:t>
            </w:r>
          </w:p>
        </w:tc>
        <w:tc>
          <w:tcPr>
            <w:tcW w:w="740" w:type="dxa"/>
            <w:tcBorders>
              <w:top w:val="nil"/>
              <w:left w:val="nil"/>
              <w:bottom w:val="nil"/>
              <w:right w:val="nil"/>
            </w:tcBorders>
            <w:shd w:val="clear" w:color="auto" w:fill="auto"/>
            <w:noWrap/>
            <w:vAlign w:val="bottom"/>
            <w:hideMark/>
          </w:tcPr>
          <w:p w14:paraId="232BA563" w14:textId="77777777" w:rsidR="00941BF3" w:rsidRPr="00941BF3" w:rsidRDefault="00941BF3" w:rsidP="00941BF3">
            <w:pPr>
              <w:jc w:val="right"/>
              <w:rPr>
                <w:rFonts w:eastAsia="Times New Roman" w:cs="Times New Roman"/>
              </w:rPr>
            </w:pPr>
            <w:r w:rsidRPr="00941BF3">
              <w:rPr>
                <w:rFonts w:eastAsia="Times New Roman" w:cs="Times New Roman"/>
              </w:rPr>
              <w:t>18</w:t>
            </w:r>
          </w:p>
        </w:tc>
        <w:tc>
          <w:tcPr>
            <w:tcW w:w="1620" w:type="dxa"/>
            <w:tcBorders>
              <w:top w:val="nil"/>
              <w:left w:val="nil"/>
              <w:bottom w:val="nil"/>
              <w:right w:val="nil"/>
            </w:tcBorders>
            <w:shd w:val="clear" w:color="auto" w:fill="auto"/>
            <w:noWrap/>
            <w:vAlign w:val="bottom"/>
            <w:hideMark/>
          </w:tcPr>
          <w:p w14:paraId="5C749D5B" w14:textId="77777777" w:rsidR="00941BF3" w:rsidRPr="00941BF3" w:rsidRDefault="00941BF3" w:rsidP="00941BF3">
            <w:pPr>
              <w:jc w:val="right"/>
              <w:rPr>
                <w:rFonts w:eastAsia="Times New Roman" w:cs="Times New Roman"/>
              </w:rPr>
            </w:pPr>
            <w:r w:rsidRPr="00941BF3">
              <w:rPr>
                <w:rFonts w:eastAsia="Times New Roman" w:cs="Times New Roman"/>
              </w:rPr>
              <w:t>0.474206</w:t>
            </w:r>
          </w:p>
        </w:tc>
        <w:tc>
          <w:tcPr>
            <w:tcW w:w="1800" w:type="dxa"/>
            <w:tcBorders>
              <w:top w:val="nil"/>
              <w:left w:val="nil"/>
              <w:bottom w:val="nil"/>
              <w:right w:val="nil"/>
            </w:tcBorders>
            <w:shd w:val="clear" w:color="auto" w:fill="auto"/>
            <w:noWrap/>
            <w:vAlign w:val="bottom"/>
            <w:hideMark/>
          </w:tcPr>
          <w:p w14:paraId="00C59676" w14:textId="77777777" w:rsidR="00941BF3" w:rsidRPr="00941BF3" w:rsidRDefault="00941BF3" w:rsidP="00941BF3">
            <w:pPr>
              <w:jc w:val="right"/>
              <w:rPr>
                <w:rFonts w:eastAsia="Times New Roman" w:cs="Times New Roman"/>
              </w:rPr>
            </w:pPr>
            <w:r w:rsidRPr="00941BF3">
              <w:rPr>
                <w:rFonts w:eastAsia="Times New Roman" w:cs="Times New Roman"/>
              </w:rPr>
              <w:t>0.026345</w:t>
            </w:r>
          </w:p>
        </w:tc>
        <w:tc>
          <w:tcPr>
            <w:tcW w:w="1500" w:type="dxa"/>
            <w:tcBorders>
              <w:top w:val="nil"/>
              <w:left w:val="nil"/>
              <w:bottom w:val="nil"/>
              <w:right w:val="nil"/>
            </w:tcBorders>
            <w:shd w:val="clear" w:color="auto" w:fill="auto"/>
            <w:noWrap/>
            <w:vAlign w:val="bottom"/>
            <w:hideMark/>
          </w:tcPr>
          <w:p w14:paraId="3729DDA5" w14:textId="77777777" w:rsidR="00941BF3" w:rsidRPr="00941BF3" w:rsidRDefault="00941BF3" w:rsidP="00941BF3">
            <w:pPr>
              <w:jc w:val="right"/>
              <w:rPr>
                <w:rFonts w:eastAsia="Times New Roman" w:cs="Times New Roman"/>
              </w:rPr>
            </w:pPr>
            <w:r w:rsidRPr="00941BF3">
              <w:rPr>
                <w:rFonts w:eastAsia="Times New Roman" w:cs="Times New Roman"/>
              </w:rPr>
              <w:t>NaN</w:t>
            </w:r>
          </w:p>
        </w:tc>
        <w:tc>
          <w:tcPr>
            <w:tcW w:w="1680" w:type="dxa"/>
            <w:tcBorders>
              <w:top w:val="nil"/>
              <w:left w:val="nil"/>
              <w:bottom w:val="nil"/>
              <w:right w:val="nil"/>
            </w:tcBorders>
            <w:shd w:val="clear" w:color="auto" w:fill="auto"/>
            <w:noWrap/>
            <w:vAlign w:val="bottom"/>
            <w:hideMark/>
          </w:tcPr>
          <w:p w14:paraId="5C28E64C" w14:textId="77777777" w:rsidR="00941BF3" w:rsidRPr="00941BF3" w:rsidRDefault="00941BF3" w:rsidP="00941BF3">
            <w:pPr>
              <w:jc w:val="right"/>
              <w:rPr>
                <w:rFonts w:eastAsia="Times New Roman" w:cs="Times New Roman"/>
              </w:rPr>
            </w:pPr>
            <w:r w:rsidRPr="00941BF3">
              <w:rPr>
                <w:rFonts w:eastAsia="Times New Roman" w:cs="Times New Roman"/>
              </w:rPr>
              <w:t>0.381999</w:t>
            </w:r>
          </w:p>
        </w:tc>
        <w:tc>
          <w:tcPr>
            <w:tcW w:w="1440" w:type="dxa"/>
            <w:tcBorders>
              <w:top w:val="nil"/>
              <w:left w:val="nil"/>
              <w:bottom w:val="nil"/>
              <w:right w:val="nil"/>
            </w:tcBorders>
            <w:shd w:val="clear" w:color="auto" w:fill="auto"/>
            <w:noWrap/>
            <w:vAlign w:val="bottom"/>
            <w:hideMark/>
          </w:tcPr>
          <w:p w14:paraId="2817D15F" w14:textId="77777777" w:rsidR="00941BF3" w:rsidRPr="00941BF3" w:rsidRDefault="00941BF3" w:rsidP="00941BF3">
            <w:pPr>
              <w:jc w:val="right"/>
              <w:rPr>
                <w:rFonts w:eastAsia="Times New Roman" w:cs="Times New Roman"/>
              </w:rPr>
            </w:pPr>
            <w:r w:rsidRPr="00941BF3">
              <w:rPr>
                <w:rFonts w:eastAsia="Times New Roman" w:cs="Times New Roman"/>
              </w:rPr>
              <w:t>NaN</w:t>
            </w:r>
          </w:p>
        </w:tc>
      </w:tr>
      <w:tr w:rsidR="00941BF3" w:rsidRPr="00941BF3" w14:paraId="2AF4504B" w14:textId="77777777" w:rsidTr="00941BF3">
        <w:trPr>
          <w:trHeight w:val="380"/>
        </w:trPr>
        <w:tc>
          <w:tcPr>
            <w:tcW w:w="2840" w:type="dxa"/>
            <w:tcBorders>
              <w:top w:val="nil"/>
              <w:left w:val="nil"/>
              <w:bottom w:val="nil"/>
              <w:right w:val="nil"/>
            </w:tcBorders>
            <w:shd w:val="clear" w:color="auto" w:fill="auto"/>
            <w:noWrap/>
            <w:vAlign w:val="bottom"/>
            <w:hideMark/>
          </w:tcPr>
          <w:p w14:paraId="733EDE87" w14:textId="77777777" w:rsidR="00941BF3" w:rsidRPr="00941BF3" w:rsidRDefault="00941BF3" w:rsidP="00941BF3">
            <w:pPr>
              <w:rPr>
                <w:rFonts w:eastAsia="Times New Roman" w:cs="Times New Roman"/>
                <w:b/>
                <w:bCs/>
              </w:rPr>
            </w:pPr>
            <w:r w:rsidRPr="00941BF3">
              <w:rPr>
                <w:rFonts w:eastAsia="Times New Roman" w:cs="Times New Roman"/>
                <w:b/>
                <w:bCs/>
              </w:rPr>
              <w:t>Total</w:t>
            </w:r>
          </w:p>
        </w:tc>
        <w:tc>
          <w:tcPr>
            <w:tcW w:w="740" w:type="dxa"/>
            <w:tcBorders>
              <w:top w:val="nil"/>
              <w:left w:val="nil"/>
              <w:bottom w:val="nil"/>
              <w:right w:val="nil"/>
            </w:tcBorders>
            <w:shd w:val="clear" w:color="auto" w:fill="auto"/>
            <w:noWrap/>
            <w:vAlign w:val="bottom"/>
            <w:hideMark/>
          </w:tcPr>
          <w:p w14:paraId="4DEBCCDD" w14:textId="77777777" w:rsidR="00941BF3" w:rsidRPr="00941BF3" w:rsidRDefault="00941BF3" w:rsidP="00941BF3">
            <w:pPr>
              <w:jc w:val="right"/>
              <w:rPr>
                <w:rFonts w:eastAsia="Times New Roman" w:cs="Times New Roman"/>
              </w:rPr>
            </w:pPr>
            <w:r w:rsidRPr="00941BF3">
              <w:rPr>
                <w:rFonts w:eastAsia="Times New Roman" w:cs="Times New Roman"/>
              </w:rPr>
              <w:t>33</w:t>
            </w:r>
          </w:p>
        </w:tc>
        <w:tc>
          <w:tcPr>
            <w:tcW w:w="1620" w:type="dxa"/>
            <w:tcBorders>
              <w:top w:val="nil"/>
              <w:left w:val="nil"/>
              <w:bottom w:val="nil"/>
              <w:right w:val="nil"/>
            </w:tcBorders>
            <w:shd w:val="clear" w:color="auto" w:fill="auto"/>
            <w:noWrap/>
            <w:vAlign w:val="bottom"/>
            <w:hideMark/>
          </w:tcPr>
          <w:p w14:paraId="6A1F22CF" w14:textId="77777777" w:rsidR="00941BF3" w:rsidRPr="00941BF3" w:rsidRDefault="00941BF3" w:rsidP="00941BF3">
            <w:pPr>
              <w:jc w:val="right"/>
              <w:rPr>
                <w:rFonts w:eastAsia="Times New Roman" w:cs="Times New Roman"/>
              </w:rPr>
            </w:pPr>
            <w:r w:rsidRPr="00941BF3">
              <w:rPr>
                <w:rFonts w:eastAsia="Times New Roman" w:cs="Times New Roman"/>
              </w:rPr>
              <w:t>1.241382</w:t>
            </w:r>
          </w:p>
        </w:tc>
        <w:tc>
          <w:tcPr>
            <w:tcW w:w="1800" w:type="dxa"/>
            <w:tcBorders>
              <w:top w:val="nil"/>
              <w:left w:val="nil"/>
              <w:bottom w:val="nil"/>
              <w:right w:val="nil"/>
            </w:tcBorders>
            <w:shd w:val="clear" w:color="auto" w:fill="auto"/>
            <w:noWrap/>
            <w:vAlign w:val="bottom"/>
            <w:hideMark/>
          </w:tcPr>
          <w:p w14:paraId="478747F3" w14:textId="77777777" w:rsidR="00941BF3" w:rsidRPr="00941BF3" w:rsidRDefault="00941BF3" w:rsidP="00941BF3">
            <w:pPr>
              <w:jc w:val="right"/>
              <w:rPr>
                <w:rFonts w:eastAsia="Times New Roman" w:cs="Times New Roman"/>
              </w:rPr>
            </w:pPr>
            <w:r w:rsidRPr="00941BF3">
              <w:rPr>
                <w:rFonts w:eastAsia="Times New Roman" w:cs="Times New Roman"/>
              </w:rPr>
              <w:t>NaN</w:t>
            </w:r>
          </w:p>
        </w:tc>
        <w:tc>
          <w:tcPr>
            <w:tcW w:w="1500" w:type="dxa"/>
            <w:tcBorders>
              <w:top w:val="nil"/>
              <w:left w:val="nil"/>
              <w:bottom w:val="nil"/>
              <w:right w:val="nil"/>
            </w:tcBorders>
            <w:shd w:val="clear" w:color="auto" w:fill="auto"/>
            <w:noWrap/>
            <w:vAlign w:val="bottom"/>
            <w:hideMark/>
          </w:tcPr>
          <w:p w14:paraId="2BE00C92" w14:textId="77777777" w:rsidR="00941BF3" w:rsidRPr="00941BF3" w:rsidRDefault="00941BF3" w:rsidP="00941BF3">
            <w:pPr>
              <w:jc w:val="right"/>
              <w:rPr>
                <w:rFonts w:eastAsia="Times New Roman" w:cs="Times New Roman"/>
              </w:rPr>
            </w:pPr>
            <w:r w:rsidRPr="00941BF3">
              <w:rPr>
                <w:rFonts w:eastAsia="Times New Roman" w:cs="Times New Roman"/>
              </w:rPr>
              <w:t>NaN</w:t>
            </w:r>
          </w:p>
        </w:tc>
        <w:tc>
          <w:tcPr>
            <w:tcW w:w="1680" w:type="dxa"/>
            <w:tcBorders>
              <w:top w:val="nil"/>
              <w:left w:val="nil"/>
              <w:bottom w:val="nil"/>
              <w:right w:val="nil"/>
            </w:tcBorders>
            <w:shd w:val="clear" w:color="auto" w:fill="auto"/>
            <w:noWrap/>
            <w:vAlign w:val="bottom"/>
            <w:hideMark/>
          </w:tcPr>
          <w:p w14:paraId="4D4F07F8" w14:textId="77777777" w:rsidR="00941BF3" w:rsidRPr="00941BF3" w:rsidRDefault="00941BF3" w:rsidP="00941BF3">
            <w:pPr>
              <w:jc w:val="right"/>
              <w:rPr>
                <w:rFonts w:eastAsia="Times New Roman" w:cs="Times New Roman"/>
              </w:rPr>
            </w:pPr>
            <w:r w:rsidRPr="00941BF3">
              <w:rPr>
                <w:rFonts w:eastAsia="Times New Roman" w:cs="Times New Roman"/>
              </w:rPr>
              <w:t>1</w:t>
            </w:r>
          </w:p>
        </w:tc>
        <w:tc>
          <w:tcPr>
            <w:tcW w:w="1440" w:type="dxa"/>
            <w:tcBorders>
              <w:top w:val="nil"/>
              <w:left w:val="nil"/>
              <w:bottom w:val="nil"/>
              <w:right w:val="nil"/>
            </w:tcBorders>
            <w:shd w:val="clear" w:color="auto" w:fill="auto"/>
            <w:noWrap/>
            <w:vAlign w:val="bottom"/>
            <w:hideMark/>
          </w:tcPr>
          <w:p w14:paraId="6BF18125" w14:textId="77777777" w:rsidR="00941BF3" w:rsidRPr="00941BF3" w:rsidRDefault="00941BF3" w:rsidP="00941BF3">
            <w:pPr>
              <w:jc w:val="right"/>
              <w:rPr>
                <w:rFonts w:eastAsia="Times New Roman" w:cs="Times New Roman"/>
              </w:rPr>
            </w:pPr>
            <w:r w:rsidRPr="00941BF3">
              <w:rPr>
                <w:rFonts w:eastAsia="Times New Roman" w:cs="Times New Roman"/>
              </w:rPr>
              <w:t>NaN</w:t>
            </w:r>
          </w:p>
        </w:tc>
      </w:tr>
    </w:tbl>
    <w:p w14:paraId="130F2527" w14:textId="77777777" w:rsidR="00C503D6" w:rsidRPr="00A53C1D" w:rsidRDefault="00C503D6" w:rsidP="00C503D6">
      <w:pPr>
        <w:rPr>
          <w:rFonts w:cs="Times New Roman"/>
        </w:rPr>
      </w:pPr>
    </w:p>
    <w:p w14:paraId="76F57344" w14:textId="4181667F" w:rsidR="00DF7BE4" w:rsidRPr="00A53C1D" w:rsidRDefault="00DF7BE4" w:rsidP="00DF7BE4">
      <w:pPr>
        <w:rPr>
          <w:rFonts w:cs="Times New Roman"/>
          <w:b/>
          <w:bCs/>
        </w:rPr>
      </w:pPr>
      <w:r w:rsidRPr="00A53C1D">
        <w:rPr>
          <w:rFonts w:cs="Times New Roman"/>
          <w:b/>
          <w:bCs/>
        </w:rPr>
        <w:lastRenderedPageBreak/>
        <w:t xml:space="preserve">Table </w:t>
      </w:r>
      <w:r w:rsidR="00FD07E9">
        <w:rPr>
          <w:rFonts w:cs="Times New Roman"/>
          <w:b/>
          <w:bCs/>
        </w:rPr>
        <w:t>3.</w:t>
      </w:r>
      <w:r w:rsidRPr="00A53C1D">
        <w:rPr>
          <w:rFonts w:cs="Times New Roman"/>
          <w:b/>
          <w:bCs/>
        </w:rPr>
        <w:t>19 PERMANOVAs testing the effects of habitat type, blood meal type, and blood meal richness on community composition (unweighted) and structure (weighted) across La Chorrera palms after accounting for palm identity and developmental stage</w:t>
      </w:r>
    </w:p>
    <w:p w14:paraId="733A26E9" w14:textId="4153F835" w:rsidR="00312E64" w:rsidRPr="00A53C1D" w:rsidRDefault="00DF7BE4" w:rsidP="00DF7BE4">
      <w:pPr>
        <w:rPr>
          <w:rFonts w:cs="Times New Roman"/>
        </w:rPr>
      </w:pPr>
      <w:r w:rsidRPr="00A53C1D">
        <w:rPr>
          <w:rFonts w:cs="Times New Roman"/>
        </w:rPr>
        <w:t>Results highlighted in boldface indicate p-values of less than 0.05.</w:t>
      </w:r>
    </w:p>
    <w:p w14:paraId="0D6FB8C9" w14:textId="77777777" w:rsidR="00DF7BE4" w:rsidRPr="00A53C1D" w:rsidRDefault="00DF7BE4" w:rsidP="00DF7BE4">
      <w:pPr>
        <w:rPr>
          <w:rFonts w:cs="Times New Roman"/>
        </w:rPr>
      </w:pPr>
    </w:p>
    <w:p w14:paraId="26B4016E" w14:textId="77777777" w:rsidR="00DF7BE4" w:rsidRPr="00A53C1D" w:rsidRDefault="00DF7BE4" w:rsidP="00DF7BE4">
      <w:pPr>
        <w:rPr>
          <w:rFonts w:cs="Times New Roman"/>
        </w:rPr>
      </w:pPr>
    </w:p>
    <w:tbl>
      <w:tblPr>
        <w:tblW w:w="11201" w:type="dxa"/>
        <w:tblLook w:val="04A0" w:firstRow="1" w:lastRow="0" w:firstColumn="1" w:lastColumn="0" w:noHBand="0" w:noVBand="1"/>
      </w:tblPr>
      <w:tblGrid>
        <w:gridCol w:w="2760"/>
        <w:gridCol w:w="920"/>
        <w:gridCol w:w="1540"/>
        <w:gridCol w:w="1700"/>
        <w:gridCol w:w="1460"/>
        <w:gridCol w:w="1281"/>
        <w:gridCol w:w="1540"/>
      </w:tblGrid>
      <w:tr w:rsidR="001F5DA7" w:rsidRPr="001F5DA7" w14:paraId="7B273E54" w14:textId="77777777" w:rsidTr="001F5DA7">
        <w:trPr>
          <w:trHeight w:val="380"/>
        </w:trPr>
        <w:tc>
          <w:tcPr>
            <w:tcW w:w="2760" w:type="dxa"/>
            <w:tcBorders>
              <w:top w:val="nil"/>
              <w:left w:val="nil"/>
              <w:bottom w:val="nil"/>
              <w:right w:val="nil"/>
            </w:tcBorders>
            <w:shd w:val="clear" w:color="auto" w:fill="auto"/>
            <w:noWrap/>
            <w:vAlign w:val="bottom"/>
            <w:hideMark/>
          </w:tcPr>
          <w:p w14:paraId="1F4D8C27" w14:textId="77777777" w:rsidR="001F5DA7" w:rsidRPr="001F5DA7" w:rsidRDefault="001F5DA7" w:rsidP="001F5DA7">
            <w:pPr>
              <w:rPr>
                <w:rFonts w:eastAsia="Times New Roman" w:cs="Times New Roman"/>
                <w:b/>
                <w:bCs/>
              </w:rPr>
            </w:pPr>
            <w:r w:rsidRPr="001F5DA7">
              <w:rPr>
                <w:rFonts w:eastAsia="Times New Roman" w:cs="Times New Roman"/>
                <w:b/>
                <w:bCs/>
              </w:rPr>
              <w:t>Unweighted UniFrac</w:t>
            </w:r>
          </w:p>
        </w:tc>
        <w:tc>
          <w:tcPr>
            <w:tcW w:w="920" w:type="dxa"/>
            <w:tcBorders>
              <w:top w:val="nil"/>
              <w:left w:val="nil"/>
              <w:bottom w:val="nil"/>
              <w:right w:val="nil"/>
            </w:tcBorders>
            <w:shd w:val="clear" w:color="auto" w:fill="auto"/>
            <w:noWrap/>
            <w:vAlign w:val="bottom"/>
            <w:hideMark/>
          </w:tcPr>
          <w:p w14:paraId="7D066B89" w14:textId="77777777" w:rsidR="001F5DA7" w:rsidRPr="001F5DA7" w:rsidRDefault="001F5DA7" w:rsidP="001F5DA7">
            <w:pPr>
              <w:rPr>
                <w:rFonts w:eastAsia="Times New Roman" w:cs="Times New Roman"/>
                <w:b/>
                <w:bCs/>
              </w:rPr>
            </w:pPr>
          </w:p>
        </w:tc>
        <w:tc>
          <w:tcPr>
            <w:tcW w:w="1540" w:type="dxa"/>
            <w:tcBorders>
              <w:top w:val="nil"/>
              <w:left w:val="nil"/>
              <w:bottom w:val="nil"/>
              <w:right w:val="nil"/>
            </w:tcBorders>
            <w:shd w:val="clear" w:color="auto" w:fill="auto"/>
            <w:noWrap/>
            <w:vAlign w:val="bottom"/>
            <w:hideMark/>
          </w:tcPr>
          <w:p w14:paraId="7A586FE3" w14:textId="77777777" w:rsidR="001F5DA7" w:rsidRPr="001F5DA7" w:rsidRDefault="001F5DA7" w:rsidP="001F5DA7">
            <w:pPr>
              <w:rPr>
                <w:rFonts w:eastAsia="Times New Roman" w:cs="Times New Roman"/>
              </w:rPr>
            </w:pPr>
          </w:p>
        </w:tc>
        <w:tc>
          <w:tcPr>
            <w:tcW w:w="1700" w:type="dxa"/>
            <w:tcBorders>
              <w:top w:val="nil"/>
              <w:left w:val="nil"/>
              <w:bottom w:val="nil"/>
              <w:right w:val="nil"/>
            </w:tcBorders>
            <w:shd w:val="clear" w:color="auto" w:fill="auto"/>
            <w:noWrap/>
            <w:vAlign w:val="bottom"/>
            <w:hideMark/>
          </w:tcPr>
          <w:p w14:paraId="2DC940E4" w14:textId="77777777" w:rsidR="001F5DA7" w:rsidRPr="001F5DA7" w:rsidRDefault="001F5DA7" w:rsidP="001F5DA7">
            <w:pPr>
              <w:rPr>
                <w:rFonts w:eastAsia="Times New Roman" w:cs="Times New Roman"/>
              </w:rPr>
            </w:pPr>
          </w:p>
        </w:tc>
        <w:tc>
          <w:tcPr>
            <w:tcW w:w="1460" w:type="dxa"/>
            <w:tcBorders>
              <w:top w:val="nil"/>
              <w:left w:val="nil"/>
              <w:bottom w:val="nil"/>
              <w:right w:val="nil"/>
            </w:tcBorders>
            <w:shd w:val="clear" w:color="auto" w:fill="auto"/>
            <w:noWrap/>
            <w:vAlign w:val="bottom"/>
            <w:hideMark/>
          </w:tcPr>
          <w:p w14:paraId="1CCB342F" w14:textId="77777777" w:rsidR="001F5DA7" w:rsidRPr="001F5DA7" w:rsidRDefault="001F5DA7" w:rsidP="001F5DA7">
            <w:pPr>
              <w:rPr>
                <w:rFonts w:eastAsia="Times New Roman" w:cs="Times New Roman"/>
              </w:rPr>
            </w:pPr>
          </w:p>
        </w:tc>
        <w:tc>
          <w:tcPr>
            <w:tcW w:w="1281" w:type="dxa"/>
            <w:tcBorders>
              <w:top w:val="nil"/>
              <w:left w:val="nil"/>
              <w:bottom w:val="nil"/>
              <w:right w:val="nil"/>
            </w:tcBorders>
            <w:shd w:val="clear" w:color="auto" w:fill="auto"/>
            <w:noWrap/>
            <w:vAlign w:val="bottom"/>
            <w:hideMark/>
          </w:tcPr>
          <w:p w14:paraId="3A9DC23F" w14:textId="77777777" w:rsidR="001F5DA7" w:rsidRPr="001F5DA7" w:rsidRDefault="001F5DA7" w:rsidP="001F5DA7">
            <w:pPr>
              <w:rPr>
                <w:rFonts w:eastAsia="Times New Roman" w:cs="Times New Roman"/>
              </w:rPr>
            </w:pPr>
          </w:p>
        </w:tc>
        <w:tc>
          <w:tcPr>
            <w:tcW w:w="1540" w:type="dxa"/>
            <w:tcBorders>
              <w:top w:val="nil"/>
              <w:left w:val="nil"/>
              <w:bottom w:val="nil"/>
              <w:right w:val="nil"/>
            </w:tcBorders>
            <w:shd w:val="clear" w:color="auto" w:fill="auto"/>
            <w:noWrap/>
            <w:vAlign w:val="bottom"/>
            <w:hideMark/>
          </w:tcPr>
          <w:p w14:paraId="5131B630" w14:textId="77777777" w:rsidR="001F5DA7" w:rsidRPr="001F5DA7" w:rsidRDefault="001F5DA7" w:rsidP="001F5DA7">
            <w:pPr>
              <w:rPr>
                <w:rFonts w:eastAsia="Times New Roman" w:cs="Times New Roman"/>
              </w:rPr>
            </w:pPr>
          </w:p>
        </w:tc>
      </w:tr>
      <w:tr w:rsidR="001F5DA7" w:rsidRPr="001F5DA7" w14:paraId="183B9F6C" w14:textId="77777777" w:rsidTr="001F5DA7">
        <w:trPr>
          <w:trHeight w:val="380"/>
        </w:trPr>
        <w:tc>
          <w:tcPr>
            <w:tcW w:w="2760" w:type="dxa"/>
            <w:tcBorders>
              <w:top w:val="nil"/>
              <w:left w:val="nil"/>
              <w:bottom w:val="single" w:sz="4" w:space="0" w:color="auto"/>
              <w:right w:val="nil"/>
            </w:tcBorders>
            <w:shd w:val="clear" w:color="auto" w:fill="auto"/>
            <w:noWrap/>
            <w:vAlign w:val="bottom"/>
            <w:hideMark/>
          </w:tcPr>
          <w:p w14:paraId="2B8F1620" w14:textId="77777777" w:rsidR="001F5DA7" w:rsidRPr="001F5DA7" w:rsidRDefault="001F5DA7" w:rsidP="001F5DA7">
            <w:pPr>
              <w:rPr>
                <w:rFonts w:eastAsia="Times New Roman" w:cs="Times New Roman"/>
              </w:rPr>
            </w:pPr>
            <w:r w:rsidRPr="001F5DA7">
              <w:rPr>
                <w:rFonts w:eastAsia="Times New Roman" w:cs="Times New Roman"/>
              </w:rPr>
              <w:t> </w:t>
            </w:r>
          </w:p>
        </w:tc>
        <w:tc>
          <w:tcPr>
            <w:tcW w:w="920" w:type="dxa"/>
            <w:tcBorders>
              <w:top w:val="nil"/>
              <w:left w:val="nil"/>
              <w:bottom w:val="single" w:sz="4" w:space="0" w:color="auto"/>
              <w:right w:val="nil"/>
            </w:tcBorders>
            <w:shd w:val="clear" w:color="auto" w:fill="auto"/>
            <w:noWrap/>
            <w:vAlign w:val="bottom"/>
            <w:hideMark/>
          </w:tcPr>
          <w:p w14:paraId="2B509BF9" w14:textId="77777777" w:rsidR="001F5DA7" w:rsidRPr="001F5DA7" w:rsidRDefault="001F5DA7" w:rsidP="001F5DA7">
            <w:pPr>
              <w:rPr>
                <w:rFonts w:eastAsia="Times New Roman" w:cs="Times New Roman"/>
                <w:b/>
                <w:bCs/>
              </w:rPr>
            </w:pPr>
            <w:r w:rsidRPr="001F5DA7">
              <w:rPr>
                <w:rFonts w:eastAsia="Times New Roman" w:cs="Times New Roman"/>
                <w:b/>
                <w:bCs/>
              </w:rPr>
              <w:t>Df</w:t>
            </w:r>
          </w:p>
        </w:tc>
        <w:tc>
          <w:tcPr>
            <w:tcW w:w="1540" w:type="dxa"/>
            <w:tcBorders>
              <w:top w:val="nil"/>
              <w:left w:val="nil"/>
              <w:bottom w:val="single" w:sz="4" w:space="0" w:color="auto"/>
              <w:right w:val="nil"/>
            </w:tcBorders>
            <w:shd w:val="clear" w:color="auto" w:fill="auto"/>
            <w:noWrap/>
            <w:vAlign w:val="bottom"/>
            <w:hideMark/>
          </w:tcPr>
          <w:p w14:paraId="4E7C6AD6" w14:textId="77777777" w:rsidR="001F5DA7" w:rsidRPr="001F5DA7" w:rsidRDefault="001F5DA7" w:rsidP="001F5DA7">
            <w:pPr>
              <w:rPr>
                <w:rFonts w:eastAsia="Times New Roman" w:cs="Times New Roman"/>
                <w:b/>
                <w:bCs/>
              </w:rPr>
            </w:pPr>
            <w:r w:rsidRPr="001F5DA7">
              <w:rPr>
                <w:rFonts w:eastAsia="Times New Roman" w:cs="Times New Roman"/>
                <w:b/>
                <w:bCs/>
              </w:rPr>
              <w:t>SumsOfSqs</w:t>
            </w:r>
          </w:p>
        </w:tc>
        <w:tc>
          <w:tcPr>
            <w:tcW w:w="1700" w:type="dxa"/>
            <w:tcBorders>
              <w:top w:val="nil"/>
              <w:left w:val="nil"/>
              <w:bottom w:val="single" w:sz="4" w:space="0" w:color="auto"/>
              <w:right w:val="nil"/>
            </w:tcBorders>
            <w:shd w:val="clear" w:color="auto" w:fill="auto"/>
            <w:noWrap/>
            <w:vAlign w:val="bottom"/>
            <w:hideMark/>
          </w:tcPr>
          <w:p w14:paraId="161B633E" w14:textId="77777777" w:rsidR="001F5DA7" w:rsidRPr="001F5DA7" w:rsidRDefault="001F5DA7" w:rsidP="001F5DA7">
            <w:pPr>
              <w:rPr>
                <w:rFonts w:eastAsia="Times New Roman" w:cs="Times New Roman"/>
                <w:b/>
                <w:bCs/>
              </w:rPr>
            </w:pPr>
            <w:r w:rsidRPr="001F5DA7">
              <w:rPr>
                <w:rFonts w:eastAsia="Times New Roman" w:cs="Times New Roman"/>
                <w:b/>
                <w:bCs/>
              </w:rPr>
              <w:t>MeanSqs</w:t>
            </w:r>
          </w:p>
        </w:tc>
        <w:tc>
          <w:tcPr>
            <w:tcW w:w="1460" w:type="dxa"/>
            <w:tcBorders>
              <w:top w:val="nil"/>
              <w:left w:val="nil"/>
              <w:bottom w:val="single" w:sz="4" w:space="0" w:color="auto"/>
              <w:right w:val="nil"/>
            </w:tcBorders>
            <w:shd w:val="clear" w:color="auto" w:fill="auto"/>
            <w:noWrap/>
            <w:vAlign w:val="bottom"/>
            <w:hideMark/>
          </w:tcPr>
          <w:p w14:paraId="33BB10A6" w14:textId="77777777" w:rsidR="001F5DA7" w:rsidRPr="001F5DA7" w:rsidRDefault="001F5DA7" w:rsidP="001F5DA7">
            <w:pPr>
              <w:rPr>
                <w:rFonts w:eastAsia="Times New Roman" w:cs="Times New Roman"/>
                <w:b/>
                <w:bCs/>
              </w:rPr>
            </w:pPr>
            <w:r w:rsidRPr="001F5DA7">
              <w:rPr>
                <w:rFonts w:eastAsia="Times New Roman" w:cs="Times New Roman"/>
                <w:b/>
                <w:bCs/>
              </w:rPr>
              <w:t>F.Model</w:t>
            </w:r>
          </w:p>
        </w:tc>
        <w:tc>
          <w:tcPr>
            <w:tcW w:w="1281" w:type="dxa"/>
            <w:tcBorders>
              <w:top w:val="nil"/>
              <w:left w:val="nil"/>
              <w:bottom w:val="single" w:sz="4" w:space="0" w:color="auto"/>
              <w:right w:val="nil"/>
            </w:tcBorders>
            <w:shd w:val="clear" w:color="auto" w:fill="auto"/>
            <w:noWrap/>
            <w:vAlign w:val="bottom"/>
            <w:hideMark/>
          </w:tcPr>
          <w:p w14:paraId="2A7A82F4" w14:textId="77777777" w:rsidR="001F5DA7" w:rsidRPr="001F5DA7" w:rsidRDefault="001F5DA7" w:rsidP="001F5DA7">
            <w:pPr>
              <w:rPr>
                <w:rFonts w:eastAsia="Times New Roman" w:cs="Times New Roman"/>
                <w:b/>
                <w:bCs/>
              </w:rPr>
            </w:pPr>
            <w:r w:rsidRPr="001F5DA7">
              <w:rPr>
                <w:rFonts w:eastAsia="Times New Roman" w:cs="Times New Roman"/>
                <w:b/>
                <w:bCs/>
              </w:rPr>
              <w:t>R2</w:t>
            </w:r>
          </w:p>
        </w:tc>
        <w:tc>
          <w:tcPr>
            <w:tcW w:w="1540" w:type="dxa"/>
            <w:tcBorders>
              <w:top w:val="nil"/>
              <w:left w:val="nil"/>
              <w:bottom w:val="single" w:sz="4" w:space="0" w:color="auto"/>
              <w:right w:val="nil"/>
            </w:tcBorders>
            <w:shd w:val="clear" w:color="auto" w:fill="auto"/>
            <w:noWrap/>
            <w:vAlign w:val="bottom"/>
            <w:hideMark/>
          </w:tcPr>
          <w:p w14:paraId="38FE8B87" w14:textId="77777777" w:rsidR="001F5DA7" w:rsidRPr="001F5DA7" w:rsidRDefault="001F5DA7" w:rsidP="001F5DA7">
            <w:pPr>
              <w:rPr>
                <w:rFonts w:eastAsia="Times New Roman" w:cs="Times New Roman"/>
                <w:b/>
                <w:bCs/>
              </w:rPr>
            </w:pPr>
            <w:r w:rsidRPr="001F5DA7">
              <w:rPr>
                <w:rFonts w:eastAsia="Times New Roman" w:cs="Times New Roman"/>
                <w:b/>
                <w:bCs/>
              </w:rPr>
              <w:t>p-value</w:t>
            </w:r>
          </w:p>
        </w:tc>
      </w:tr>
      <w:tr w:rsidR="001F5DA7" w:rsidRPr="001F5DA7" w14:paraId="498C4354" w14:textId="77777777" w:rsidTr="001F5DA7">
        <w:trPr>
          <w:trHeight w:val="380"/>
        </w:trPr>
        <w:tc>
          <w:tcPr>
            <w:tcW w:w="2760" w:type="dxa"/>
            <w:tcBorders>
              <w:top w:val="nil"/>
              <w:left w:val="nil"/>
              <w:bottom w:val="nil"/>
              <w:right w:val="nil"/>
            </w:tcBorders>
            <w:shd w:val="clear" w:color="auto" w:fill="auto"/>
            <w:noWrap/>
            <w:vAlign w:val="bottom"/>
            <w:hideMark/>
          </w:tcPr>
          <w:p w14:paraId="425FC2DB" w14:textId="77777777" w:rsidR="001F5DA7" w:rsidRPr="001F5DA7" w:rsidRDefault="001F5DA7" w:rsidP="001F5DA7">
            <w:pPr>
              <w:rPr>
                <w:rFonts w:eastAsia="Times New Roman" w:cs="Times New Roman"/>
                <w:b/>
                <w:bCs/>
              </w:rPr>
            </w:pPr>
            <w:r w:rsidRPr="001F5DA7">
              <w:rPr>
                <w:rFonts w:eastAsia="Times New Roman" w:cs="Times New Roman"/>
                <w:b/>
                <w:bCs/>
              </w:rPr>
              <w:t>Palm identity</w:t>
            </w:r>
          </w:p>
        </w:tc>
        <w:tc>
          <w:tcPr>
            <w:tcW w:w="920" w:type="dxa"/>
            <w:tcBorders>
              <w:top w:val="nil"/>
              <w:left w:val="nil"/>
              <w:bottom w:val="nil"/>
              <w:right w:val="nil"/>
            </w:tcBorders>
            <w:shd w:val="clear" w:color="auto" w:fill="auto"/>
            <w:noWrap/>
            <w:vAlign w:val="bottom"/>
            <w:hideMark/>
          </w:tcPr>
          <w:p w14:paraId="6EC3367B" w14:textId="77777777" w:rsidR="001F5DA7" w:rsidRPr="001F5DA7" w:rsidRDefault="001F5DA7" w:rsidP="001F5DA7">
            <w:pPr>
              <w:jc w:val="right"/>
              <w:rPr>
                <w:rFonts w:eastAsia="Times New Roman" w:cs="Times New Roman"/>
              </w:rPr>
            </w:pPr>
            <w:r w:rsidRPr="001F5DA7">
              <w:rPr>
                <w:rFonts w:eastAsia="Times New Roman" w:cs="Times New Roman"/>
              </w:rPr>
              <w:t>16</w:t>
            </w:r>
          </w:p>
        </w:tc>
        <w:tc>
          <w:tcPr>
            <w:tcW w:w="1540" w:type="dxa"/>
            <w:tcBorders>
              <w:top w:val="nil"/>
              <w:left w:val="nil"/>
              <w:bottom w:val="nil"/>
              <w:right w:val="nil"/>
            </w:tcBorders>
            <w:shd w:val="clear" w:color="auto" w:fill="auto"/>
            <w:noWrap/>
            <w:vAlign w:val="bottom"/>
            <w:hideMark/>
          </w:tcPr>
          <w:p w14:paraId="520DEE3D" w14:textId="77777777" w:rsidR="001F5DA7" w:rsidRPr="001F5DA7" w:rsidRDefault="001F5DA7" w:rsidP="001F5DA7">
            <w:pPr>
              <w:jc w:val="right"/>
              <w:rPr>
                <w:rFonts w:eastAsia="Times New Roman" w:cs="Times New Roman"/>
              </w:rPr>
            </w:pPr>
            <w:r w:rsidRPr="001F5DA7">
              <w:rPr>
                <w:rFonts w:eastAsia="Times New Roman" w:cs="Times New Roman"/>
              </w:rPr>
              <w:t>5.022065</w:t>
            </w:r>
          </w:p>
        </w:tc>
        <w:tc>
          <w:tcPr>
            <w:tcW w:w="1700" w:type="dxa"/>
            <w:tcBorders>
              <w:top w:val="nil"/>
              <w:left w:val="nil"/>
              <w:bottom w:val="nil"/>
              <w:right w:val="nil"/>
            </w:tcBorders>
            <w:shd w:val="clear" w:color="auto" w:fill="auto"/>
            <w:noWrap/>
            <w:vAlign w:val="bottom"/>
            <w:hideMark/>
          </w:tcPr>
          <w:p w14:paraId="7B79872D" w14:textId="77777777" w:rsidR="001F5DA7" w:rsidRPr="001F5DA7" w:rsidRDefault="001F5DA7" w:rsidP="001F5DA7">
            <w:pPr>
              <w:jc w:val="right"/>
              <w:rPr>
                <w:rFonts w:eastAsia="Times New Roman" w:cs="Times New Roman"/>
              </w:rPr>
            </w:pPr>
            <w:r w:rsidRPr="001F5DA7">
              <w:rPr>
                <w:rFonts w:eastAsia="Times New Roman" w:cs="Times New Roman"/>
              </w:rPr>
              <w:t>0.313879</w:t>
            </w:r>
          </w:p>
        </w:tc>
        <w:tc>
          <w:tcPr>
            <w:tcW w:w="1460" w:type="dxa"/>
            <w:tcBorders>
              <w:top w:val="nil"/>
              <w:left w:val="nil"/>
              <w:bottom w:val="nil"/>
              <w:right w:val="nil"/>
            </w:tcBorders>
            <w:shd w:val="clear" w:color="auto" w:fill="auto"/>
            <w:noWrap/>
            <w:vAlign w:val="bottom"/>
            <w:hideMark/>
          </w:tcPr>
          <w:p w14:paraId="0043D492" w14:textId="77777777" w:rsidR="001F5DA7" w:rsidRPr="001F5DA7" w:rsidRDefault="001F5DA7" w:rsidP="001F5DA7">
            <w:pPr>
              <w:jc w:val="right"/>
              <w:rPr>
                <w:rFonts w:eastAsia="Times New Roman" w:cs="Times New Roman"/>
              </w:rPr>
            </w:pPr>
            <w:r w:rsidRPr="001F5DA7">
              <w:rPr>
                <w:rFonts w:eastAsia="Times New Roman" w:cs="Times New Roman"/>
              </w:rPr>
              <w:t>2.134166</w:t>
            </w:r>
          </w:p>
        </w:tc>
        <w:tc>
          <w:tcPr>
            <w:tcW w:w="1281" w:type="dxa"/>
            <w:tcBorders>
              <w:top w:val="nil"/>
              <w:left w:val="nil"/>
              <w:bottom w:val="nil"/>
              <w:right w:val="nil"/>
            </w:tcBorders>
            <w:shd w:val="clear" w:color="auto" w:fill="auto"/>
            <w:noWrap/>
            <w:vAlign w:val="bottom"/>
            <w:hideMark/>
          </w:tcPr>
          <w:p w14:paraId="453E8509" w14:textId="77777777" w:rsidR="001F5DA7" w:rsidRPr="001F5DA7" w:rsidRDefault="001F5DA7" w:rsidP="001F5DA7">
            <w:pPr>
              <w:jc w:val="right"/>
              <w:rPr>
                <w:rFonts w:eastAsia="Times New Roman" w:cs="Times New Roman"/>
              </w:rPr>
            </w:pPr>
            <w:r w:rsidRPr="001F5DA7">
              <w:rPr>
                <w:rFonts w:eastAsia="Times New Roman" w:cs="Times New Roman"/>
              </w:rPr>
              <w:t>0.344193</w:t>
            </w:r>
          </w:p>
        </w:tc>
        <w:tc>
          <w:tcPr>
            <w:tcW w:w="1540" w:type="dxa"/>
            <w:tcBorders>
              <w:top w:val="nil"/>
              <w:left w:val="nil"/>
              <w:bottom w:val="nil"/>
              <w:right w:val="nil"/>
            </w:tcBorders>
            <w:shd w:val="clear" w:color="auto" w:fill="auto"/>
            <w:noWrap/>
            <w:vAlign w:val="bottom"/>
            <w:hideMark/>
          </w:tcPr>
          <w:p w14:paraId="0A827341" w14:textId="77777777" w:rsidR="001F5DA7" w:rsidRPr="001F5DA7" w:rsidRDefault="001F5DA7" w:rsidP="001F5DA7">
            <w:pPr>
              <w:jc w:val="right"/>
              <w:rPr>
                <w:rFonts w:eastAsia="Times New Roman" w:cs="Times New Roman"/>
                <w:b/>
                <w:bCs/>
              </w:rPr>
            </w:pPr>
            <w:r w:rsidRPr="001F5DA7">
              <w:rPr>
                <w:rFonts w:eastAsia="Times New Roman" w:cs="Times New Roman"/>
                <w:b/>
                <w:bCs/>
              </w:rPr>
              <w:t>0.001</w:t>
            </w:r>
          </w:p>
        </w:tc>
      </w:tr>
      <w:tr w:rsidR="001F5DA7" w:rsidRPr="001F5DA7" w14:paraId="0DFB1891" w14:textId="77777777" w:rsidTr="001F5DA7">
        <w:trPr>
          <w:trHeight w:val="380"/>
        </w:trPr>
        <w:tc>
          <w:tcPr>
            <w:tcW w:w="2760" w:type="dxa"/>
            <w:tcBorders>
              <w:top w:val="nil"/>
              <w:left w:val="nil"/>
              <w:bottom w:val="nil"/>
              <w:right w:val="nil"/>
            </w:tcBorders>
            <w:shd w:val="clear" w:color="auto" w:fill="auto"/>
            <w:noWrap/>
            <w:vAlign w:val="bottom"/>
            <w:hideMark/>
          </w:tcPr>
          <w:p w14:paraId="24FFC8A1" w14:textId="77777777" w:rsidR="001F5DA7" w:rsidRPr="001F5DA7" w:rsidRDefault="001F5DA7" w:rsidP="001F5DA7">
            <w:pPr>
              <w:rPr>
                <w:rFonts w:eastAsia="Times New Roman" w:cs="Times New Roman"/>
                <w:b/>
                <w:bCs/>
              </w:rPr>
            </w:pPr>
            <w:r w:rsidRPr="001F5DA7">
              <w:rPr>
                <w:rFonts w:eastAsia="Times New Roman" w:cs="Times New Roman"/>
                <w:b/>
                <w:bCs/>
              </w:rPr>
              <w:t>Age group</w:t>
            </w:r>
          </w:p>
        </w:tc>
        <w:tc>
          <w:tcPr>
            <w:tcW w:w="920" w:type="dxa"/>
            <w:tcBorders>
              <w:top w:val="nil"/>
              <w:left w:val="nil"/>
              <w:bottom w:val="nil"/>
              <w:right w:val="nil"/>
            </w:tcBorders>
            <w:shd w:val="clear" w:color="auto" w:fill="auto"/>
            <w:noWrap/>
            <w:vAlign w:val="bottom"/>
            <w:hideMark/>
          </w:tcPr>
          <w:p w14:paraId="03C09D89" w14:textId="77777777" w:rsidR="001F5DA7" w:rsidRPr="001F5DA7" w:rsidRDefault="001F5DA7" w:rsidP="001F5DA7">
            <w:pPr>
              <w:jc w:val="right"/>
              <w:rPr>
                <w:rFonts w:eastAsia="Times New Roman" w:cs="Times New Roman"/>
              </w:rPr>
            </w:pPr>
            <w:r w:rsidRPr="001F5DA7">
              <w:rPr>
                <w:rFonts w:eastAsia="Times New Roman" w:cs="Times New Roman"/>
              </w:rPr>
              <w:t>1</w:t>
            </w:r>
          </w:p>
        </w:tc>
        <w:tc>
          <w:tcPr>
            <w:tcW w:w="1540" w:type="dxa"/>
            <w:tcBorders>
              <w:top w:val="nil"/>
              <w:left w:val="nil"/>
              <w:bottom w:val="nil"/>
              <w:right w:val="nil"/>
            </w:tcBorders>
            <w:shd w:val="clear" w:color="auto" w:fill="auto"/>
            <w:noWrap/>
            <w:vAlign w:val="bottom"/>
            <w:hideMark/>
          </w:tcPr>
          <w:p w14:paraId="0F684A78" w14:textId="77777777" w:rsidR="001F5DA7" w:rsidRPr="001F5DA7" w:rsidRDefault="001F5DA7" w:rsidP="001F5DA7">
            <w:pPr>
              <w:jc w:val="right"/>
              <w:rPr>
                <w:rFonts w:eastAsia="Times New Roman" w:cs="Times New Roman"/>
              </w:rPr>
            </w:pPr>
            <w:r w:rsidRPr="001F5DA7">
              <w:rPr>
                <w:rFonts w:eastAsia="Times New Roman" w:cs="Times New Roman"/>
              </w:rPr>
              <w:t>0.320773</w:t>
            </w:r>
          </w:p>
        </w:tc>
        <w:tc>
          <w:tcPr>
            <w:tcW w:w="1700" w:type="dxa"/>
            <w:tcBorders>
              <w:top w:val="nil"/>
              <w:left w:val="nil"/>
              <w:bottom w:val="nil"/>
              <w:right w:val="nil"/>
            </w:tcBorders>
            <w:shd w:val="clear" w:color="auto" w:fill="auto"/>
            <w:noWrap/>
            <w:vAlign w:val="bottom"/>
            <w:hideMark/>
          </w:tcPr>
          <w:p w14:paraId="2EFD8BD3" w14:textId="77777777" w:rsidR="001F5DA7" w:rsidRPr="001F5DA7" w:rsidRDefault="001F5DA7" w:rsidP="001F5DA7">
            <w:pPr>
              <w:jc w:val="right"/>
              <w:rPr>
                <w:rFonts w:eastAsia="Times New Roman" w:cs="Times New Roman"/>
              </w:rPr>
            </w:pPr>
            <w:r w:rsidRPr="001F5DA7">
              <w:rPr>
                <w:rFonts w:eastAsia="Times New Roman" w:cs="Times New Roman"/>
              </w:rPr>
              <w:t>0.320773</w:t>
            </w:r>
          </w:p>
        </w:tc>
        <w:tc>
          <w:tcPr>
            <w:tcW w:w="1460" w:type="dxa"/>
            <w:tcBorders>
              <w:top w:val="nil"/>
              <w:left w:val="nil"/>
              <w:bottom w:val="nil"/>
              <w:right w:val="nil"/>
            </w:tcBorders>
            <w:shd w:val="clear" w:color="auto" w:fill="auto"/>
            <w:noWrap/>
            <w:vAlign w:val="bottom"/>
            <w:hideMark/>
          </w:tcPr>
          <w:p w14:paraId="4FE9FA43" w14:textId="77777777" w:rsidR="001F5DA7" w:rsidRPr="001F5DA7" w:rsidRDefault="001F5DA7" w:rsidP="001F5DA7">
            <w:pPr>
              <w:jc w:val="right"/>
              <w:rPr>
                <w:rFonts w:eastAsia="Times New Roman" w:cs="Times New Roman"/>
              </w:rPr>
            </w:pPr>
            <w:r w:rsidRPr="001F5DA7">
              <w:rPr>
                <w:rFonts w:eastAsia="Times New Roman" w:cs="Times New Roman"/>
              </w:rPr>
              <w:t>2.181037</w:t>
            </w:r>
          </w:p>
        </w:tc>
        <w:tc>
          <w:tcPr>
            <w:tcW w:w="1281" w:type="dxa"/>
            <w:tcBorders>
              <w:top w:val="nil"/>
              <w:left w:val="nil"/>
              <w:bottom w:val="nil"/>
              <w:right w:val="nil"/>
            </w:tcBorders>
            <w:shd w:val="clear" w:color="auto" w:fill="auto"/>
            <w:noWrap/>
            <w:vAlign w:val="bottom"/>
            <w:hideMark/>
          </w:tcPr>
          <w:p w14:paraId="5E32C9A9" w14:textId="77777777" w:rsidR="001F5DA7" w:rsidRPr="001F5DA7" w:rsidRDefault="001F5DA7" w:rsidP="001F5DA7">
            <w:pPr>
              <w:jc w:val="right"/>
              <w:rPr>
                <w:rFonts w:eastAsia="Times New Roman" w:cs="Times New Roman"/>
              </w:rPr>
            </w:pPr>
            <w:r w:rsidRPr="001F5DA7">
              <w:rPr>
                <w:rFonts w:eastAsia="Times New Roman" w:cs="Times New Roman"/>
              </w:rPr>
              <w:t>0.021984</w:t>
            </w:r>
          </w:p>
        </w:tc>
        <w:tc>
          <w:tcPr>
            <w:tcW w:w="1540" w:type="dxa"/>
            <w:tcBorders>
              <w:top w:val="nil"/>
              <w:left w:val="nil"/>
              <w:bottom w:val="nil"/>
              <w:right w:val="nil"/>
            </w:tcBorders>
            <w:shd w:val="clear" w:color="auto" w:fill="auto"/>
            <w:noWrap/>
            <w:vAlign w:val="bottom"/>
            <w:hideMark/>
          </w:tcPr>
          <w:p w14:paraId="5D6F32C2" w14:textId="77777777" w:rsidR="001F5DA7" w:rsidRPr="001F5DA7" w:rsidRDefault="001F5DA7" w:rsidP="001F5DA7">
            <w:pPr>
              <w:jc w:val="right"/>
              <w:rPr>
                <w:rFonts w:eastAsia="Times New Roman" w:cs="Times New Roman"/>
                <w:b/>
                <w:bCs/>
              </w:rPr>
            </w:pPr>
            <w:r w:rsidRPr="001F5DA7">
              <w:rPr>
                <w:rFonts w:eastAsia="Times New Roman" w:cs="Times New Roman"/>
                <w:b/>
                <w:bCs/>
              </w:rPr>
              <w:t>0.009</w:t>
            </w:r>
          </w:p>
        </w:tc>
      </w:tr>
      <w:tr w:rsidR="001F5DA7" w:rsidRPr="001F5DA7" w14:paraId="483A5635" w14:textId="77777777" w:rsidTr="001F5DA7">
        <w:trPr>
          <w:trHeight w:val="380"/>
        </w:trPr>
        <w:tc>
          <w:tcPr>
            <w:tcW w:w="2760" w:type="dxa"/>
            <w:tcBorders>
              <w:top w:val="nil"/>
              <w:left w:val="nil"/>
              <w:bottom w:val="nil"/>
              <w:right w:val="nil"/>
            </w:tcBorders>
            <w:shd w:val="clear" w:color="auto" w:fill="auto"/>
            <w:noWrap/>
            <w:vAlign w:val="bottom"/>
            <w:hideMark/>
          </w:tcPr>
          <w:p w14:paraId="74EA2F37" w14:textId="77777777" w:rsidR="001F5DA7" w:rsidRPr="001F5DA7" w:rsidRDefault="001F5DA7" w:rsidP="001F5DA7">
            <w:pPr>
              <w:rPr>
                <w:rFonts w:eastAsia="Times New Roman" w:cs="Times New Roman"/>
                <w:b/>
                <w:bCs/>
              </w:rPr>
            </w:pPr>
            <w:r w:rsidRPr="001F5DA7">
              <w:rPr>
                <w:rFonts w:eastAsia="Times New Roman" w:cs="Times New Roman"/>
                <w:b/>
                <w:bCs/>
              </w:rPr>
              <w:t>Habitat type</w:t>
            </w:r>
          </w:p>
        </w:tc>
        <w:tc>
          <w:tcPr>
            <w:tcW w:w="920" w:type="dxa"/>
            <w:tcBorders>
              <w:top w:val="nil"/>
              <w:left w:val="nil"/>
              <w:bottom w:val="nil"/>
              <w:right w:val="nil"/>
            </w:tcBorders>
            <w:shd w:val="clear" w:color="auto" w:fill="auto"/>
            <w:noWrap/>
            <w:vAlign w:val="bottom"/>
            <w:hideMark/>
          </w:tcPr>
          <w:p w14:paraId="57224831" w14:textId="77777777" w:rsidR="001F5DA7" w:rsidRPr="001F5DA7" w:rsidRDefault="001F5DA7" w:rsidP="001F5DA7">
            <w:pPr>
              <w:jc w:val="right"/>
              <w:rPr>
                <w:rFonts w:eastAsia="Times New Roman" w:cs="Times New Roman"/>
              </w:rPr>
            </w:pPr>
            <w:r w:rsidRPr="001F5DA7">
              <w:rPr>
                <w:rFonts w:eastAsia="Times New Roman" w:cs="Times New Roman"/>
              </w:rPr>
              <w:t>1</w:t>
            </w:r>
          </w:p>
        </w:tc>
        <w:tc>
          <w:tcPr>
            <w:tcW w:w="1540" w:type="dxa"/>
            <w:tcBorders>
              <w:top w:val="nil"/>
              <w:left w:val="nil"/>
              <w:bottom w:val="nil"/>
              <w:right w:val="nil"/>
            </w:tcBorders>
            <w:shd w:val="clear" w:color="auto" w:fill="auto"/>
            <w:noWrap/>
            <w:vAlign w:val="bottom"/>
            <w:hideMark/>
          </w:tcPr>
          <w:p w14:paraId="59385957" w14:textId="77777777" w:rsidR="001F5DA7" w:rsidRPr="001F5DA7" w:rsidRDefault="001F5DA7" w:rsidP="001F5DA7">
            <w:pPr>
              <w:jc w:val="right"/>
              <w:rPr>
                <w:rFonts w:eastAsia="Times New Roman" w:cs="Times New Roman"/>
              </w:rPr>
            </w:pPr>
            <w:r w:rsidRPr="001F5DA7">
              <w:rPr>
                <w:rFonts w:eastAsia="Times New Roman" w:cs="Times New Roman"/>
              </w:rPr>
              <w:t>0</w:t>
            </w:r>
          </w:p>
        </w:tc>
        <w:tc>
          <w:tcPr>
            <w:tcW w:w="1700" w:type="dxa"/>
            <w:tcBorders>
              <w:top w:val="nil"/>
              <w:left w:val="nil"/>
              <w:bottom w:val="nil"/>
              <w:right w:val="nil"/>
            </w:tcBorders>
            <w:shd w:val="clear" w:color="auto" w:fill="auto"/>
            <w:noWrap/>
            <w:vAlign w:val="bottom"/>
            <w:hideMark/>
          </w:tcPr>
          <w:p w14:paraId="61C83AC4" w14:textId="77777777" w:rsidR="001F5DA7" w:rsidRPr="001F5DA7" w:rsidRDefault="001F5DA7" w:rsidP="001F5DA7">
            <w:pPr>
              <w:jc w:val="right"/>
              <w:rPr>
                <w:rFonts w:eastAsia="Times New Roman" w:cs="Times New Roman"/>
              </w:rPr>
            </w:pPr>
            <w:r w:rsidRPr="001F5DA7">
              <w:rPr>
                <w:rFonts w:eastAsia="Times New Roman" w:cs="Times New Roman"/>
              </w:rPr>
              <w:t>0</w:t>
            </w:r>
          </w:p>
        </w:tc>
        <w:tc>
          <w:tcPr>
            <w:tcW w:w="1460" w:type="dxa"/>
            <w:tcBorders>
              <w:top w:val="nil"/>
              <w:left w:val="nil"/>
              <w:bottom w:val="nil"/>
              <w:right w:val="nil"/>
            </w:tcBorders>
            <w:shd w:val="clear" w:color="auto" w:fill="auto"/>
            <w:noWrap/>
            <w:vAlign w:val="bottom"/>
            <w:hideMark/>
          </w:tcPr>
          <w:p w14:paraId="59835B13" w14:textId="77777777" w:rsidR="001F5DA7" w:rsidRPr="001F5DA7" w:rsidRDefault="001F5DA7" w:rsidP="001F5DA7">
            <w:pPr>
              <w:jc w:val="right"/>
              <w:rPr>
                <w:rFonts w:eastAsia="Times New Roman" w:cs="Times New Roman"/>
              </w:rPr>
            </w:pPr>
            <w:r w:rsidRPr="001F5DA7">
              <w:rPr>
                <w:rFonts w:eastAsia="Times New Roman" w:cs="Times New Roman"/>
              </w:rPr>
              <w:t>0</w:t>
            </w:r>
          </w:p>
        </w:tc>
        <w:tc>
          <w:tcPr>
            <w:tcW w:w="1281" w:type="dxa"/>
            <w:tcBorders>
              <w:top w:val="nil"/>
              <w:left w:val="nil"/>
              <w:bottom w:val="nil"/>
              <w:right w:val="nil"/>
            </w:tcBorders>
            <w:shd w:val="clear" w:color="auto" w:fill="auto"/>
            <w:noWrap/>
            <w:vAlign w:val="bottom"/>
            <w:hideMark/>
          </w:tcPr>
          <w:p w14:paraId="1F49DAFF" w14:textId="77777777" w:rsidR="001F5DA7" w:rsidRPr="001F5DA7" w:rsidRDefault="001F5DA7" w:rsidP="001F5DA7">
            <w:pPr>
              <w:jc w:val="right"/>
              <w:rPr>
                <w:rFonts w:eastAsia="Times New Roman" w:cs="Times New Roman"/>
              </w:rPr>
            </w:pPr>
            <w:r w:rsidRPr="001F5DA7">
              <w:rPr>
                <w:rFonts w:eastAsia="Times New Roman" w:cs="Times New Roman"/>
              </w:rPr>
              <w:t>0</w:t>
            </w:r>
          </w:p>
        </w:tc>
        <w:tc>
          <w:tcPr>
            <w:tcW w:w="1540" w:type="dxa"/>
            <w:tcBorders>
              <w:top w:val="nil"/>
              <w:left w:val="nil"/>
              <w:bottom w:val="nil"/>
              <w:right w:val="nil"/>
            </w:tcBorders>
            <w:shd w:val="clear" w:color="auto" w:fill="auto"/>
            <w:noWrap/>
            <w:vAlign w:val="bottom"/>
            <w:hideMark/>
          </w:tcPr>
          <w:p w14:paraId="6F631C1C" w14:textId="77777777" w:rsidR="001F5DA7" w:rsidRPr="001F5DA7" w:rsidRDefault="001F5DA7" w:rsidP="001F5DA7">
            <w:pPr>
              <w:jc w:val="right"/>
              <w:rPr>
                <w:rFonts w:eastAsia="Times New Roman" w:cs="Times New Roman"/>
                <w:b/>
                <w:bCs/>
              </w:rPr>
            </w:pPr>
            <w:r w:rsidRPr="001F5DA7">
              <w:rPr>
                <w:rFonts w:eastAsia="Times New Roman" w:cs="Times New Roman"/>
                <w:b/>
                <w:bCs/>
              </w:rPr>
              <w:t>NaN</w:t>
            </w:r>
          </w:p>
        </w:tc>
      </w:tr>
      <w:tr w:rsidR="001F5DA7" w:rsidRPr="001F5DA7" w14:paraId="43B506E0" w14:textId="77777777" w:rsidTr="001F5DA7">
        <w:trPr>
          <w:trHeight w:val="380"/>
        </w:trPr>
        <w:tc>
          <w:tcPr>
            <w:tcW w:w="2760" w:type="dxa"/>
            <w:tcBorders>
              <w:top w:val="nil"/>
              <w:left w:val="nil"/>
              <w:bottom w:val="nil"/>
              <w:right w:val="nil"/>
            </w:tcBorders>
            <w:shd w:val="clear" w:color="auto" w:fill="auto"/>
            <w:noWrap/>
            <w:vAlign w:val="bottom"/>
            <w:hideMark/>
          </w:tcPr>
          <w:p w14:paraId="010A08CC" w14:textId="77777777" w:rsidR="001F5DA7" w:rsidRPr="001F5DA7" w:rsidRDefault="001F5DA7" w:rsidP="001F5DA7">
            <w:pPr>
              <w:rPr>
                <w:rFonts w:eastAsia="Times New Roman" w:cs="Times New Roman"/>
                <w:b/>
                <w:bCs/>
              </w:rPr>
            </w:pPr>
            <w:r w:rsidRPr="001F5DA7">
              <w:rPr>
                <w:rFonts w:eastAsia="Times New Roman" w:cs="Times New Roman"/>
                <w:b/>
                <w:bCs/>
              </w:rPr>
              <w:t>Dominant blood meal</w:t>
            </w:r>
          </w:p>
        </w:tc>
        <w:tc>
          <w:tcPr>
            <w:tcW w:w="920" w:type="dxa"/>
            <w:tcBorders>
              <w:top w:val="nil"/>
              <w:left w:val="nil"/>
              <w:bottom w:val="nil"/>
              <w:right w:val="nil"/>
            </w:tcBorders>
            <w:shd w:val="clear" w:color="auto" w:fill="auto"/>
            <w:noWrap/>
            <w:vAlign w:val="bottom"/>
            <w:hideMark/>
          </w:tcPr>
          <w:p w14:paraId="79002FE8" w14:textId="77777777" w:rsidR="001F5DA7" w:rsidRPr="001F5DA7" w:rsidRDefault="001F5DA7" w:rsidP="001F5DA7">
            <w:pPr>
              <w:jc w:val="right"/>
              <w:rPr>
                <w:rFonts w:eastAsia="Times New Roman" w:cs="Times New Roman"/>
              </w:rPr>
            </w:pPr>
            <w:r w:rsidRPr="001F5DA7">
              <w:rPr>
                <w:rFonts w:eastAsia="Times New Roman" w:cs="Times New Roman"/>
              </w:rPr>
              <w:t>7</w:t>
            </w:r>
          </w:p>
        </w:tc>
        <w:tc>
          <w:tcPr>
            <w:tcW w:w="1540" w:type="dxa"/>
            <w:tcBorders>
              <w:top w:val="nil"/>
              <w:left w:val="nil"/>
              <w:bottom w:val="nil"/>
              <w:right w:val="nil"/>
            </w:tcBorders>
            <w:shd w:val="clear" w:color="auto" w:fill="auto"/>
            <w:noWrap/>
            <w:vAlign w:val="bottom"/>
            <w:hideMark/>
          </w:tcPr>
          <w:p w14:paraId="173AC129" w14:textId="77777777" w:rsidR="001F5DA7" w:rsidRPr="001F5DA7" w:rsidRDefault="001F5DA7" w:rsidP="001F5DA7">
            <w:pPr>
              <w:jc w:val="right"/>
              <w:rPr>
                <w:rFonts w:eastAsia="Times New Roman" w:cs="Times New Roman"/>
              </w:rPr>
            </w:pPr>
            <w:r w:rsidRPr="001F5DA7">
              <w:rPr>
                <w:rFonts w:eastAsia="Times New Roman" w:cs="Times New Roman"/>
              </w:rPr>
              <w:t>1.115065</w:t>
            </w:r>
          </w:p>
        </w:tc>
        <w:tc>
          <w:tcPr>
            <w:tcW w:w="1700" w:type="dxa"/>
            <w:tcBorders>
              <w:top w:val="nil"/>
              <w:left w:val="nil"/>
              <w:bottom w:val="nil"/>
              <w:right w:val="nil"/>
            </w:tcBorders>
            <w:shd w:val="clear" w:color="auto" w:fill="auto"/>
            <w:noWrap/>
            <w:vAlign w:val="bottom"/>
            <w:hideMark/>
          </w:tcPr>
          <w:p w14:paraId="4410F3DF" w14:textId="77777777" w:rsidR="001F5DA7" w:rsidRPr="001F5DA7" w:rsidRDefault="001F5DA7" w:rsidP="001F5DA7">
            <w:pPr>
              <w:jc w:val="right"/>
              <w:rPr>
                <w:rFonts w:eastAsia="Times New Roman" w:cs="Times New Roman"/>
              </w:rPr>
            </w:pPr>
            <w:r w:rsidRPr="001F5DA7">
              <w:rPr>
                <w:rFonts w:eastAsia="Times New Roman" w:cs="Times New Roman"/>
              </w:rPr>
              <w:t>0.159295</w:t>
            </w:r>
          </w:p>
        </w:tc>
        <w:tc>
          <w:tcPr>
            <w:tcW w:w="1460" w:type="dxa"/>
            <w:tcBorders>
              <w:top w:val="nil"/>
              <w:left w:val="nil"/>
              <w:bottom w:val="nil"/>
              <w:right w:val="nil"/>
            </w:tcBorders>
            <w:shd w:val="clear" w:color="auto" w:fill="auto"/>
            <w:noWrap/>
            <w:vAlign w:val="bottom"/>
            <w:hideMark/>
          </w:tcPr>
          <w:p w14:paraId="596891C5" w14:textId="77777777" w:rsidR="001F5DA7" w:rsidRPr="001F5DA7" w:rsidRDefault="001F5DA7" w:rsidP="001F5DA7">
            <w:pPr>
              <w:jc w:val="right"/>
              <w:rPr>
                <w:rFonts w:eastAsia="Times New Roman" w:cs="Times New Roman"/>
              </w:rPr>
            </w:pPr>
            <w:r w:rsidRPr="001F5DA7">
              <w:rPr>
                <w:rFonts w:eastAsia="Times New Roman" w:cs="Times New Roman"/>
              </w:rPr>
              <w:t>1.083099</w:t>
            </w:r>
          </w:p>
        </w:tc>
        <w:tc>
          <w:tcPr>
            <w:tcW w:w="1281" w:type="dxa"/>
            <w:tcBorders>
              <w:top w:val="nil"/>
              <w:left w:val="nil"/>
              <w:bottom w:val="nil"/>
              <w:right w:val="nil"/>
            </w:tcBorders>
            <w:shd w:val="clear" w:color="auto" w:fill="auto"/>
            <w:noWrap/>
            <w:vAlign w:val="bottom"/>
            <w:hideMark/>
          </w:tcPr>
          <w:p w14:paraId="1BAD11A7" w14:textId="77777777" w:rsidR="001F5DA7" w:rsidRPr="001F5DA7" w:rsidRDefault="001F5DA7" w:rsidP="001F5DA7">
            <w:pPr>
              <w:jc w:val="right"/>
              <w:rPr>
                <w:rFonts w:eastAsia="Times New Roman" w:cs="Times New Roman"/>
              </w:rPr>
            </w:pPr>
            <w:r w:rsidRPr="001F5DA7">
              <w:rPr>
                <w:rFonts w:eastAsia="Times New Roman" w:cs="Times New Roman"/>
              </w:rPr>
              <w:t>0.076422</w:t>
            </w:r>
          </w:p>
        </w:tc>
        <w:tc>
          <w:tcPr>
            <w:tcW w:w="1540" w:type="dxa"/>
            <w:tcBorders>
              <w:top w:val="nil"/>
              <w:left w:val="nil"/>
              <w:bottom w:val="nil"/>
              <w:right w:val="nil"/>
            </w:tcBorders>
            <w:shd w:val="clear" w:color="auto" w:fill="auto"/>
            <w:noWrap/>
            <w:vAlign w:val="bottom"/>
            <w:hideMark/>
          </w:tcPr>
          <w:p w14:paraId="598AFA66" w14:textId="77777777" w:rsidR="001F5DA7" w:rsidRPr="001F5DA7" w:rsidRDefault="001F5DA7" w:rsidP="001F5DA7">
            <w:pPr>
              <w:jc w:val="right"/>
              <w:rPr>
                <w:rFonts w:eastAsia="Times New Roman" w:cs="Times New Roman"/>
              </w:rPr>
            </w:pPr>
            <w:r w:rsidRPr="001F5DA7">
              <w:rPr>
                <w:rFonts w:eastAsia="Times New Roman" w:cs="Times New Roman"/>
              </w:rPr>
              <w:t>0.269</w:t>
            </w:r>
          </w:p>
        </w:tc>
      </w:tr>
      <w:tr w:rsidR="001F5DA7" w:rsidRPr="001F5DA7" w14:paraId="43BB43B4" w14:textId="77777777" w:rsidTr="001F5DA7">
        <w:trPr>
          <w:trHeight w:val="380"/>
        </w:trPr>
        <w:tc>
          <w:tcPr>
            <w:tcW w:w="2760" w:type="dxa"/>
            <w:tcBorders>
              <w:top w:val="nil"/>
              <w:left w:val="nil"/>
              <w:bottom w:val="nil"/>
              <w:right w:val="nil"/>
            </w:tcBorders>
            <w:shd w:val="clear" w:color="auto" w:fill="auto"/>
            <w:noWrap/>
            <w:vAlign w:val="bottom"/>
            <w:hideMark/>
          </w:tcPr>
          <w:p w14:paraId="12D5A7D4" w14:textId="77777777" w:rsidR="001F5DA7" w:rsidRPr="001F5DA7" w:rsidRDefault="001F5DA7" w:rsidP="001F5DA7">
            <w:pPr>
              <w:rPr>
                <w:rFonts w:eastAsia="Times New Roman" w:cs="Times New Roman"/>
                <w:b/>
                <w:bCs/>
              </w:rPr>
            </w:pPr>
            <w:r w:rsidRPr="001F5DA7">
              <w:rPr>
                <w:rFonts w:eastAsia="Times New Roman" w:cs="Times New Roman"/>
                <w:b/>
                <w:bCs/>
              </w:rPr>
              <w:t>Blood meal richness</w:t>
            </w:r>
          </w:p>
        </w:tc>
        <w:tc>
          <w:tcPr>
            <w:tcW w:w="920" w:type="dxa"/>
            <w:tcBorders>
              <w:top w:val="nil"/>
              <w:left w:val="nil"/>
              <w:bottom w:val="nil"/>
              <w:right w:val="nil"/>
            </w:tcBorders>
            <w:shd w:val="clear" w:color="auto" w:fill="auto"/>
            <w:noWrap/>
            <w:vAlign w:val="bottom"/>
            <w:hideMark/>
          </w:tcPr>
          <w:p w14:paraId="29942B6F" w14:textId="77777777" w:rsidR="001F5DA7" w:rsidRPr="001F5DA7" w:rsidRDefault="001F5DA7" w:rsidP="001F5DA7">
            <w:pPr>
              <w:jc w:val="right"/>
              <w:rPr>
                <w:rFonts w:eastAsia="Times New Roman" w:cs="Times New Roman"/>
              </w:rPr>
            </w:pPr>
            <w:r w:rsidRPr="001F5DA7">
              <w:rPr>
                <w:rFonts w:eastAsia="Times New Roman" w:cs="Times New Roman"/>
              </w:rPr>
              <w:t>3</w:t>
            </w:r>
          </w:p>
        </w:tc>
        <w:tc>
          <w:tcPr>
            <w:tcW w:w="1540" w:type="dxa"/>
            <w:tcBorders>
              <w:top w:val="nil"/>
              <w:left w:val="nil"/>
              <w:bottom w:val="nil"/>
              <w:right w:val="nil"/>
            </w:tcBorders>
            <w:shd w:val="clear" w:color="auto" w:fill="auto"/>
            <w:noWrap/>
            <w:vAlign w:val="bottom"/>
            <w:hideMark/>
          </w:tcPr>
          <w:p w14:paraId="34531CBD" w14:textId="77777777" w:rsidR="001F5DA7" w:rsidRPr="001F5DA7" w:rsidRDefault="001F5DA7" w:rsidP="001F5DA7">
            <w:pPr>
              <w:jc w:val="right"/>
              <w:rPr>
                <w:rFonts w:eastAsia="Times New Roman" w:cs="Times New Roman"/>
              </w:rPr>
            </w:pPr>
            <w:r w:rsidRPr="001F5DA7">
              <w:rPr>
                <w:rFonts w:eastAsia="Times New Roman" w:cs="Times New Roman"/>
              </w:rPr>
              <w:t>0.485139</w:t>
            </w:r>
          </w:p>
        </w:tc>
        <w:tc>
          <w:tcPr>
            <w:tcW w:w="1700" w:type="dxa"/>
            <w:tcBorders>
              <w:top w:val="nil"/>
              <w:left w:val="nil"/>
              <w:bottom w:val="nil"/>
              <w:right w:val="nil"/>
            </w:tcBorders>
            <w:shd w:val="clear" w:color="auto" w:fill="auto"/>
            <w:noWrap/>
            <w:vAlign w:val="bottom"/>
            <w:hideMark/>
          </w:tcPr>
          <w:p w14:paraId="73824936" w14:textId="77777777" w:rsidR="001F5DA7" w:rsidRPr="001F5DA7" w:rsidRDefault="001F5DA7" w:rsidP="001F5DA7">
            <w:pPr>
              <w:jc w:val="right"/>
              <w:rPr>
                <w:rFonts w:eastAsia="Times New Roman" w:cs="Times New Roman"/>
              </w:rPr>
            </w:pPr>
            <w:r w:rsidRPr="001F5DA7">
              <w:rPr>
                <w:rFonts w:eastAsia="Times New Roman" w:cs="Times New Roman"/>
              </w:rPr>
              <w:t>0.161713</w:t>
            </w:r>
          </w:p>
        </w:tc>
        <w:tc>
          <w:tcPr>
            <w:tcW w:w="1460" w:type="dxa"/>
            <w:tcBorders>
              <w:top w:val="nil"/>
              <w:left w:val="nil"/>
              <w:bottom w:val="nil"/>
              <w:right w:val="nil"/>
            </w:tcBorders>
            <w:shd w:val="clear" w:color="auto" w:fill="auto"/>
            <w:noWrap/>
            <w:vAlign w:val="bottom"/>
            <w:hideMark/>
          </w:tcPr>
          <w:p w14:paraId="683F928D" w14:textId="77777777" w:rsidR="001F5DA7" w:rsidRPr="001F5DA7" w:rsidRDefault="001F5DA7" w:rsidP="001F5DA7">
            <w:pPr>
              <w:jc w:val="right"/>
              <w:rPr>
                <w:rFonts w:eastAsia="Times New Roman" w:cs="Times New Roman"/>
              </w:rPr>
            </w:pPr>
            <w:r w:rsidRPr="001F5DA7">
              <w:rPr>
                <w:rFonts w:eastAsia="Times New Roman" w:cs="Times New Roman"/>
              </w:rPr>
              <w:t>1.099538</w:t>
            </w:r>
          </w:p>
        </w:tc>
        <w:tc>
          <w:tcPr>
            <w:tcW w:w="1281" w:type="dxa"/>
            <w:tcBorders>
              <w:top w:val="nil"/>
              <w:left w:val="nil"/>
              <w:bottom w:val="nil"/>
              <w:right w:val="nil"/>
            </w:tcBorders>
            <w:shd w:val="clear" w:color="auto" w:fill="auto"/>
            <w:noWrap/>
            <w:vAlign w:val="bottom"/>
            <w:hideMark/>
          </w:tcPr>
          <w:p w14:paraId="69E627D3" w14:textId="77777777" w:rsidR="001F5DA7" w:rsidRPr="001F5DA7" w:rsidRDefault="001F5DA7" w:rsidP="001F5DA7">
            <w:pPr>
              <w:jc w:val="right"/>
              <w:rPr>
                <w:rFonts w:eastAsia="Times New Roman" w:cs="Times New Roman"/>
              </w:rPr>
            </w:pPr>
            <w:r w:rsidRPr="001F5DA7">
              <w:rPr>
                <w:rFonts w:eastAsia="Times New Roman" w:cs="Times New Roman"/>
              </w:rPr>
              <w:t>0.033249</w:t>
            </w:r>
          </w:p>
        </w:tc>
        <w:tc>
          <w:tcPr>
            <w:tcW w:w="1540" w:type="dxa"/>
            <w:tcBorders>
              <w:top w:val="nil"/>
              <w:left w:val="nil"/>
              <w:bottom w:val="nil"/>
              <w:right w:val="nil"/>
            </w:tcBorders>
            <w:shd w:val="clear" w:color="auto" w:fill="auto"/>
            <w:noWrap/>
            <w:vAlign w:val="bottom"/>
            <w:hideMark/>
          </w:tcPr>
          <w:p w14:paraId="3D92CC7A" w14:textId="77777777" w:rsidR="001F5DA7" w:rsidRPr="001F5DA7" w:rsidRDefault="001F5DA7" w:rsidP="001F5DA7">
            <w:pPr>
              <w:jc w:val="right"/>
              <w:rPr>
                <w:rFonts w:eastAsia="Times New Roman" w:cs="Times New Roman"/>
              </w:rPr>
            </w:pPr>
            <w:r w:rsidRPr="001F5DA7">
              <w:rPr>
                <w:rFonts w:eastAsia="Times New Roman" w:cs="Times New Roman"/>
              </w:rPr>
              <w:t>0.307</w:t>
            </w:r>
          </w:p>
        </w:tc>
      </w:tr>
      <w:tr w:rsidR="001F5DA7" w:rsidRPr="001F5DA7" w14:paraId="143D2789" w14:textId="77777777" w:rsidTr="001F5DA7">
        <w:trPr>
          <w:trHeight w:val="380"/>
        </w:trPr>
        <w:tc>
          <w:tcPr>
            <w:tcW w:w="2760" w:type="dxa"/>
            <w:tcBorders>
              <w:top w:val="nil"/>
              <w:left w:val="nil"/>
              <w:bottom w:val="nil"/>
              <w:right w:val="nil"/>
            </w:tcBorders>
            <w:shd w:val="clear" w:color="auto" w:fill="auto"/>
            <w:noWrap/>
            <w:vAlign w:val="bottom"/>
            <w:hideMark/>
          </w:tcPr>
          <w:p w14:paraId="02213300" w14:textId="77777777" w:rsidR="001F5DA7" w:rsidRPr="001F5DA7" w:rsidRDefault="001F5DA7" w:rsidP="001F5DA7">
            <w:pPr>
              <w:rPr>
                <w:rFonts w:eastAsia="Times New Roman" w:cs="Times New Roman"/>
                <w:b/>
                <w:bCs/>
              </w:rPr>
            </w:pPr>
            <w:r w:rsidRPr="001F5DA7">
              <w:rPr>
                <w:rFonts w:eastAsia="Times New Roman" w:cs="Times New Roman"/>
                <w:b/>
                <w:bCs/>
              </w:rPr>
              <w:t>Residuals</w:t>
            </w:r>
          </w:p>
        </w:tc>
        <w:tc>
          <w:tcPr>
            <w:tcW w:w="920" w:type="dxa"/>
            <w:tcBorders>
              <w:top w:val="nil"/>
              <w:left w:val="nil"/>
              <w:bottom w:val="nil"/>
              <w:right w:val="nil"/>
            </w:tcBorders>
            <w:shd w:val="clear" w:color="auto" w:fill="auto"/>
            <w:noWrap/>
            <w:vAlign w:val="bottom"/>
            <w:hideMark/>
          </w:tcPr>
          <w:p w14:paraId="4EAE3BF9" w14:textId="77777777" w:rsidR="001F5DA7" w:rsidRPr="001F5DA7" w:rsidRDefault="001F5DA7" w:rsidP="001F5DA7">
            <w:pPr>
              <w:jc w:val="right"/>
              <w:rPr>
                <w:rFonts w:eastAsia="Times New Roman" w:cs="Times New Roman"/>
              </w:rPr>
            </w:pPr>
            <w:r w:rsidRPr="001F5DA7">
              <w:rPr>
                <w:rFonts w:eastAsia="Times New Roman" w:cs="Times New Roman"/>
              </w:rPr>
              <w:t>52</w:t>
            </w:r>
          </w:p>
        </w:tc>
        <w:tc>
          <w:tcPr>
            <w:tcW w:w="1540" w:type="dxa"/>
            <w:tcBorders>
              <w:top w:val="nil"/>
              <w:left w:val="nil"/>
              <w:bottom w:val="nil"/>
              <w:right w:val="nil"/>
            </w:tcBorders>
            <w:shd w:val="clear" w:color="auto" w:fill="auto"/>
            <w:noWrap/>
            <w:vAlign w:val="bottom"/>
            <w:hideMark/>
          </w:tcPr>
          <w:p w14:paraId="0D3FA969" w14:textId="77777777" w:rsidR="001F5DA7" w:rsidRPr="001F5DA7" w:rsidRDefault="001F5DA7" w:rsidP="001F5DA7">
            <w:pPr>
              <w:jc w:val="right"/>
              <w:rPr>
                <w:rFonts w:eastAsia="Times New Roman" w:cs="Times New Roman"/>
              </w:rPr>
            </w:pPr>
            <w:r w:rsidRPr="001F5DA7">
              <w:rPr>
                <w:rFonts w:eastAsia="Times New Roman" w:cs="Times New Roman"/>
              </w:rPr>
              <w:t>7.647818</w:t>
            </w:r>
          </w:p>
        </w:tc>
        <w:tc>
          <w:tcPr>
            <w:tcW w:w="1700" w:type="dxa"/>
            <w:tcBorders>
              <w:top w:val="nil"/>
              <w:left w:val="nil"/>
              <w:bottom w:val="nil"/>
              <w:right w:val="nil"/>
            </w:tcBorders>
            <w:shd w:val="clear" w:color="auto" w:fill="auto"/>
            <w:noWrap/>
            <w:vAlign w:val="bottom"/>
            <w:hideMark/>
          </w:tcPr>
          <w:p w14:paraId="5E52E57A" w14:textId="77777777" w:rsidR="001F5DA7" w:rsidRPr="001F5DA7" w:rsidRDefault="001F5DA7" w:rsidP="001F5DA7">
            <w:pPr>
              <w:jc w:val="right"/>
              <w:rPr>
                <w:rFonts w:eastAsia="Times New Roman" w:cs="Times New Roman"/>
              </w:rPr>
            </w:pPr>
            <w:r w:rsidRPr="001F5DA7">
              <w:rPr>
                <w:rFonts w:eastAsia="Times New Roman" w:cs="Times New Roman"/>
              </w:rPr>
              <w:t>0.147073</w:t>
            </w:r>
          </w:p>
        </w:tc>
        <w:tc>
          <w:tcPr>
            <w:tcW w:w="1460" w:type="dxa"/>
            <w:tcBorders>
              <w:top w:val="nil"/>
              <w:left w:val="nil"/>
              <w:bottom w:val="nil"/>
              <w:right w:val="nil"/>
            </w:tcBorders>
            <w:shd w:val="clear" w:color="auto" w:fill="auto"/>
            <w:noWrap/>
            <w:vAlign w:val="bottom"/>
            <w:hideMark/>
          </w:tcPr>
          <w:p w14:paraId="2D3A6C56" w14:textId="77777777" w:rsidR="001F5DA7" w:rsidRPr="001F5DA7" w:rsidRDefault="001F5DA7" w:rsidP="001F5DA7">
            <w:pPr>
              <w:jc w:val="right"/>
              <w:rPr>
                <w:rFonts w:eastAsia="Times New Roman" w:cs="Times New Roman"/>
              </w:rPr>
            </w:pPr>
            <w:r w:rsidRPr="001F5DA7">
              <w:rPr>
                <w:rFonts w:eastAsia="Times New Roman" w:cs="Times New Roman"/>
              </w:rPr>
              <w:t>NaN</w:t>
            </w:r>
          </w:p>
        </w:tc>
        <w:tc>
          <w:tcPr>
            <w:tcW w:w="1281" w:type="dxa"/>
            <w:tcBorders>
              <w:top w:val="nil"/>
              <w:left w:val="nil"/>
              <w:bottom w:val="nil"/>
              <w:right w:val="nil"/>
            </w:tcBorders>
            <w:shd w:val="clear" w:color="auto" w:fill="auto"/>
            <w:noWrap/>
            <w:vAlign w:val="bottom"/>
            <w:hideMark/>
          </w:tcPr>
          <w:p w14:paraId="355AF21D" w14:textId="77777777" w:rsidR="001F5DA7" w:rsidRPr="001F5DA7" w:rsidRDefault="001F5DA7" w:rsidP="001F5DA7">
            <w:pPr>
              <w:jc w:val="right"/>
              <w:rPr>
                <w:rFonts w:eastAsia="Times New Roman" w:cs="Times New Roman"/>
              </w:rPr>
            </w:pPr>
            <w:r w:rsidRPr="001F5DA7">
              <w:rPr>
                <w:rFonts w:eastAsia="Times New Roman" w:cs="Times New Roman"/>
              </w:rPr>
              <w:t>0.524151</w:t>
            </w:r>
          </w:p>
        </w:tc>
        <w:tc>
          <w:tcPr>
            <w:tcW w:w="1540" w:type="dxa"/>
            <w:tcBorders>
              <w:top w:val="nil"/>
              <w:left w:val="nil"/>
              <w:bottom w:val="nil"/>
              <w:right w:val="nil"/>
            </w:tcBorders>
            <w:shd w:val="clear" w:color="auto" w:fill="auto"/>
            <w:noWrap/>
            <w:vAlign w:val="bottom"/>
            <w:hideMark/>
          </w:tcPr>
          <w:p w14:paraId="7D071853" w14:textId="77777777" w:rsidR="001F5DA7" w:rsidRPr="001F5DA7" w:rsidRDefault="001F5DA7" w:rsidP="001F5DA7">
            <w:pPr>
              <w:jc w:val="right"/>
              <w:rPr>
                <w:rFonts w:eastAsia="Times New Roman" w:cs="Times New Roman"/>
              </w:rPr>
            </w:pPr>
            <w:r w:rsidRPr="001F5DA7">
              <w:rPr>
                <w:rFonts w:eastAsia="Times New Roman" w:cs="Times New Roman"/>
              </w:rPr>
              <w:t>NaN</w:t>
            </w:r>
          </w:p>
        </w:tc>
      </w:tr>
      <w:tr w:rsidR="001F5DA7" w:rsidRPr="001F5DA7" w14:paraId="4338CD9F" w14:textId="77777777" w:rsidTr="001F5DA7">
        <w:trPr>
          <w:trHeight w:val="380"/>
        </w:trPr>
        <w:tc>
          <w:tcPr>
            <w:tcW w:w="2760" w:type="dxa"/>
            <w:tcBorders>
              <w:top w:val="nil"/>
              <w:left w:val="nil"/>
              <w:bottom w:val="nil"/>
              <w:right w:val="nil"/>
            </w:tcBorders>
            <w:shd w:val="clear" w:color="auto" w:fill="auto"/>
            <w:noWrap/>
            <w:vAlign w:val="bottom"/>
            <w:hideMark/>
          </w:tcPr>
          <w:p w14:paraId="09225E28" w14:textId="77777777" w:rsidR="001F5DA7" w:rsidRPr="001F5DA7" w:rsidRDefault="001F5DA7" w:rsidP="001F5DA7">
            <w:pPr>
              <w:rPr>
                <w:rFonts w:eastAsia="Times New Roman" w:cs="Times New Roman"/>
                <w:b/>
                <w:bCs/>
              </w:rPr>
            </w:pPr>
            <w:r w:rsidRPr="001F5DA7">
              <w:rPr>
                <w:rFonts w:eastAsia="Times New Roman" w:cs="Times New Roman"/>
                <w:b/>
                <w:bCs/>
              </w:rPr>
              <w:t>Total</w:t>
            </w:r>
          </w:p>
        </w:tc>
        <w:tc>
          <w:tcPr>
            <w:tcW w:w="920" w:type="dxa"/>
            <w:tcBorders>
              <w:top w:val="nil"/>
              <w:left w:val="nil"/>
              <w:bottom w:val="nil"/>
              <w:right w:val="nil"/>
            </w:tcBorders>
            <w:shd w:val="clear" w:color="auto" w:fill="auto"/>
            <w:noWrap/>
            <w:vAlign w:val="bottom"/>
            <w:hideMark/>
          </w:tcPr>
          <w:p w14:paraId="0682DE88" w14:textId="77777777" w:rsidR="001F5DA7" w:rsidRPr="001F5DA7" w:rsidRDefault="001F5DA7" w:rsidP="001F5DA7">
            <w:pPr>
              <w:jc w:val="right"/>
              <w:rPr>
                <w:rFonts w:eastAsia="Times New Roman" w:cs="Times New Roman"/>
              </w:rPr>
            </w:pPr>
            <w:r w:rsidRPr="001F5DA7">
              <w:rPr>
                <w:rFonts w:eastAsia="Times New Roman" w:cs="Times New Roman"/>
              </w:rPr>
              <w:t>79</w:t>
            </w:r>
          </w:p>
        </w:tc>
        <w:tc>
          <w:tcPr>
            <w:tcW w:w="1540" w:type="dxa"/>
            <w:tcBorders>
              <w:top w:val="nil"/>
              <w:left w:val="nil"/>
              <w:bottom w:val="nil"/>
              <w:right w:val="nil"/>
            </w:tcBorders>
            <w:shd w:val="clear" w:color="auto" w:fill="auto"/>
            <w:noWrap/>
            <w:vAlign w:val="bottom"/>
            <w:hideMark/>
          </w:tcPr>
          <w:p w14:paraId="659FAB25" w14:textId="77777777" w:rsidR="001F5DA7" w:rsidRPr="001F5DA7" w:rsidRDefault="001F5DA7" w:rsidP="001F5DA7">
            <w:pPr>
              <w:jc w:val="right"/>
              <w:rPr>
                <w:rFonts w:eastAsia="Times New Roman" w:cs="Times New Roman"/>
              </w:rPr>
            </w:pPr>
            <w:r w:rsidRPr="001F5DA7">
              <w:rPr>
                <w:rFonts w:eastAsia="Times New Roman" w:cs="Times New Roman"/>
              </w:rPr>
              <w:t>14.590859</w:t>
            </w:r>
          </w:p>
        </w:tc>
        <w:tc>
          <w:tcPr>
            <w:tcW w:w="1700" w:type="dxa"/>
            <w:tcBorders>
              <w:top w:val="nil"/>
              <w:left w:val="nil"/>
              <w:bottom w:val="nil"/>
              <w:right w:val="nil"/>
            </w:tcBorders>
            <w:shd w:val="clear" w:color="auto" w:fill="auto"/>
            <w:noWrap/>
            <w:vAlign w:val="bottom"/>
            <w:hideMark/>
          </w:tcPr>
          <w:p w14:paraId="39759CEF" w14:textId="77777777" w:rsidR="001F5DA7" w:rsidRPr="001F5DA7" w:rsidRDefault="001F5DA7" w:rsidP="001F5DA7">
            <w:pPr>
              <w:jc w:val="right"/>
              <w:rPr>
                <w:rFonts w:eastAsia="Times New Roman" w:cs="Times New Roman"/>
              </w:rPr>
            </w:pPr>
            <w:r w:rsidRPr="001F5DA7">
              <w:rPr>
                <w:rFonts w:eastAsia="Times New Roman" w:cs="Times New Roman"/>
              </w:rPr>
              <w:t>NaN</w:t>
            </w:r>
          </w:p>
        </w:tc>
        <w:tc>
          <w:tcPr>
            <w:tcW w:w="1460" w:type="dxa"/>
            <w:tcBorders>
              <w:top w:val="nil"/>
              <w:left w:val="nil"/>
              <w:bottom w:val="nil"/>
              <w:right w:val="nil"/>
            </w:tcBorders>
            <w:shd w:val="clear" w:color="auto" w:fill="auto"/>
            <w:noWrap/>
            <w:vAlign w:val="bottom"/>
            <w:hideMark/>
          </w:tcPr>
          <w:p w14:paraId="70124547" w14:textId="77777777" w:rsidR="001F5DA7" w:rsidRPr="001F5DA7" w:rsidRDefault="001F5DA7" w:rsidP="001F5DA7">
            <w:pPr>
              <w:jc w:val="right"/>
              <w:rPr>
                <w:rFonts w:eastAsia="Times New Roman" w:cs="Times New Roman"/>
              </w:rPr>
            </w:pPr>
            <w:r w:rsidRPr="001F5DA7">
              <w:rPr>
                <w:rFonts w:eastAsia="Times New Roman" w:cs="Times New Roman"/>
              </w:rPr>
              <w:t>NaN</w:t>
            </w:r>
          </w:p>
        </w:tc>
        <w:tc>
          <w:tcPr>
            <w:tcW w:w="1281" w:type="dxa"/>
            <w:tcBorders>
              <w:top w:val="nil"/>
              <w:left w:val="nil"/>
              <w:bottom w:val="nil"/>
              <w:right w:val="nil"/>
            </w:tcBorders>
            <w:shd w:val="clear" w:color="auto" w:fill="auto"/>
            <w:noWrap/>
            <w:vAlign w:val="bottom"/>
            <w:hideMark/>
          </w:tcPr>
          <w:p w14:paraId="07F8A770" w14:textId="77777777" w:rsidR="001F5DA7" w:rsidRPr="001F5DA7" w:rsidRDefault="001F5DA7" w:rsidP="001F5DA7">
            <w:pPr>
              <w:jc w:val="right"/>
              <w:rPr>
                <w:rFonts w:eastAsia="Times New Roman" w:cs="Times New Roman"/>
              </w:rPr>
            </w:pPr>
            <w:r w:rsidRPr="001F5DA7">
              <w:rPr>
                <w:rFonts w:eastAsia="Times New Roman" w:cs="Times New Roman"/>
              </w:rPr>
              <w:t>1</w:t>
            </w:r>
          </w:p>
        </w:tc>
        <w:tc>
          <w:tcPr>
            <w:tcW w:w="1540" w:type="dxa"/>
            <w:tcBorders>
              <w:top w:val="nil"/>
              <w:left w:val="nil"/>
              <w:bottom w:val="nil"/>
              <w:right w:val="nil"/>
            </w:tcBorders>
            <w:shd w:val="clear" w:color="auto" w:fill="auto"/>
            <w:noWrap/>
            <w:vAlign w:val="bottom"/>
            <w:hideMark/>
          </w:tcPr>
          <w:p w14:paraId="693C23DD" w14:textId="77777777" w:rsidR="001F5DA7" w:rsidRPr="001F5DA7" w:rsidRDefault="001F5DA7" w:rsidP="001F5DA7">
            <w:pPr>
              <w:jc w:val="right"/>
              <w:rPr>
                <w:rFonts w:eastAsia="Times New Roman" w:cs="Times New Roman"/>
              </w:rPr>
            </w:pPr>
            <w:r w:rsidRPr="001F5DA7">
              <w:rPr>
                <w:rFonts w:eastAsia="Times New Roman" w:cs="Times New Roman"/>
              </w:rPr>
              <w:t>NaN</w:t>
            </w:r>
          </w:p>
        </w:tc>
      </w:tr>
      <w:tr w:rsidR="001F5DA7" w:rsidRPr="001F5DA7" w14:paraId="06453F58" w14:textId="77777777" w:rsidTr="001F5DA7">
        <w:trPr>
          <w:trHeight w:val="380"/>
        </w:trPr>
        <w:tc>
          <w:tcPr>
            <w:tcW w:w="2760" w:type="dxa"/>
            <w:tcBorders>
              <w:top w:val="nil"/>
              <w:left w:val="nil"/>
              <w:bottom w:val="nil"/>
              <w:right w:val="nil"/>
            </w:tcBorders>
            <w:shd w:val="clear" w:color="auto" w:fill="auto"/>
            <w:noWrap/>
            <w:vAlign w:val="bottom"/>
            <w:hideMark/>
          </w:tcPr>
          <w:p w14:paraId="75351BA9" w14:textId="77777777" w:rsidR="001F5DA7" w:rsidRPr="001F5DA7" w:rsidRDefault="001F5DA7" w:rsidP="001F5DA7">
            <w:pPr>
              <w:jc w:val="right"/>
              <w:rPr>
                <w:rFonts w:eastAsia="Times New Roman" w:cs="Times New Roman"/>
              </w:rPr>
            </w:pPr>
          </w:p>
        </w:tc>
        <w:tc>
          <w:tcPr>
            <w:tcW w:w="920" w:type="dxa"/>
            <w:tcBorders>
              <w:top w:val="nil"/>
              <w:left w:val="nil"/>
              <w:bottom w:val="nil"/>
              <w:right w:val="nil"/>
            </w:tcBorders>
            <w:shd w:val="clear" w:color="auto" w:fill="auto"/>
            <w:noWrap/>
            <w:vAlign w:val="bottom"/>
            <w:hideMark/>
          </w:tcPr>
          <w:p w14:paraId="11730680" w14:textId="77777777" w:rsidR="001F5DA7" w:rsidRPr="001F5DA7" w:rsidRDefault="001F5DA7" w:rsidP="001F5DA7">
            <w:pPr>
              <w:rPr>
                <w:rFonts w:eastAsia="Times New Roman" w:cs="Times New Roman"/>
              </w:rPr>
            </w:pPr>
          </w:p>
        </w:tc>
        <w:tc>
          <w:tcPr>
            <w:tcW w:w="1540" w:type="dxa"/>
            <w:tcBorders>
              <w:top w:val="nil"/>
              <w:left w:val="nil"/>
              <w:bottom w:val="nil"/>
              <w:right w:val="nil"/>
            </w:tcBorders>
            <w:shd w:val="clear" w:color="auto" w:fill="auto"/>
            <w:noWrap/>
            <w:vAlign w:val="bottom"/>
            <w:hideMark/>
          </w:tcPr>
          <w:p w14:paraId="04CD29C1" w14:textId="77777777" w:rsidR="001F5DA7" w:rsidRPr="001F5DA7" w:rsidRDefault="001F5DA7" w:rsidP="001F5DA7">
            <w:pPr>
              <w:rPr>
                <w:rFonts w:eastAsia="Times New Roman" w:cs="Times New Roman"/>
              </w:rPr>
            </w:pPr>
          </w:p>
        </w:tc>
        <w:tc>
          <w:tcPr>
            <w:tcW w:w="1700" w:type="dxa"/>
            <w:tcBorders>
              <w:top w:val="nil"/>
              <w:left w:val="nil"/>
              <w:bottom w:val="nil"/>
              <w:right w:val="nil"/>
            </w:tcBorders>
            <w:shd w:val="clear" w:color="auto" w:fill="auto"/>
            <w:noWrap/>
            <w:vAlign w:val="bottom"/>
            <w:hideMark/>
          </w:tcPr>
          <w:p w14:paraId="4DC78F01" w14:textId="77777777" w:rsidR="001F5DA7" w:rsidRPr="001F5DA7" w:rsidRDefault="001F5DA7" w:rsidP="001F5DA7">
            <w:pPr>
              <w:rPr>
                <w:rFonts w:eastAsia="Times New Roman" w:cs="Times New Roman"/>
              </w:rPr>
            </w:pPr>
          </w:p>
        </w:tc>
        <w:tc>
          <w:tcPr>
            <w:tcW w:w="1460" w:type="dxa"/>
            <w:tcBorders>
              <w:top w:val="nil"/>
              <w:left w:val="nil"/>
              <w:bottom w:val="nil"/>
              <w:right w:val="nil"/>
            </w:tcBorders>
            <w:shd w:val="clear" w:color="auto" w:fill="auto"/>
            <w:noWrap/>
            <w:vAlign w:val="bottom"/>
            <w:hideMark/>
          </w:tcPr>
          <w:p w14:paraId="7BC5F48C" w14:textId="77777777" w:rsidR="001F5DA7" w:rsidRPr="001F5DA7" w:rsidRDefault="001F5DA7" w:rsidP="001F5DA7">
            <w:pPr>
              <w:rPr>
                <w:rFonts w:eastAsia="Times New Roman" w:cs="Times New Roman"/>
              </w:rPr>
            </w:pPr>
          </w:p>
        </w:tc>
        <w:tc>
          <w:tcPr>
            <w:tcW w:w="1281" w:type="dxa"/>
            <w:tcBorders>
              <w:top w:val="nil"/>
              <w:left w:val="nil"/>
              <w:bottom w:val="nil"/>
              <w:right w:val="nil"/>
            </w:tcBorders>
            <w:shd w:val="clear" w:color="auto" w:fill="auto"/>
            <w:noWrap/>
            <w:vAlign w:val="bottom"/>
            <w:hideMark/>
          </w:tcPr>
          <w:p w14:paraId="7443A13B" w14:textId="77777777" w:rsidR="001F5DA7" w:rsidRPr="001F5DA7" w:rsidRDefault="001F5DA7" w:rsidP="001F5DA7">
            <w:pPr>
              <w:rPr>
                <w:rFonts w:eastAsia="Times New Roman" w:cs="Times New Roman"/>
              </w:rPr>
            </w:pPr>
          </w:p>
        </w:tc>
        <w:tc>
          <w:tcPr>
            <w:tcW w:w="1540" w:type="dxa"/>
            <w:tcBorders>
              <w:top w:val="nil"/>
              <w:left w:val="nil"/>
              <w:bottom w:val="nil"/>
              <w:right w:val="nil"/>
            </w:tcBorders>
            <w:shd w:val="clear" w:color="auto" w:fill="auto"/>
            <w:noWrap/>
            <w:vAlign w:val="bottom"/>
            <w:hideMark/>
          </w:tcPr>
          <w:p w14:paraId="618D56BB" w14:textId="77777777" w:rsidR="001F5DA7" w:rsidRPr="001F5DA7" w:rsidRDefault="001F5DA7" w:rsidP="001F5DA7">
            <w:pPr>
              <w:rPr>
                <w:rFonts w:eastAsia="Times New Roman" w:cs="Times New Roman"/>
              </w:rPr>
            </w:pPr>
          </w:p>
        </w:tc>
      </w:tr>
      <w:tr w:rsidR="001F5DA7" w:rsidRPr="001F5DA7" w14:paraId="2709B360" w14:textId="77777777" w:rsidTr="001F5DA7">
        <w:trPr>
          <w:trHeight w:val="380"/>
        </w:trPr>
        <w:tc>
          <w:tcPr>
            <w:tcW w:w="2760" w:type="dxa"/>
            <w:tcBorders>
              <w:top w:val="nil"/>
              <w:left w:val="nil"/>
              <w:bottom w:val="nil"/>
              <w:right w:val="nil"/>
            </w:tcBorders>
            <w:shd w:val="clear" w:color="auto" w:fill="auto"/>
            <w:noWrap/>
            <w:vAlign w:val="bottom"/>
            <w:hideMark/>
          </w:tcPr>
          <w:p w14:paraId="299BCCAA" w14:textId="567ED659" w:rsidR="001F5DA7" w:rsidRPr="001F5DA7" w:rsidRDefault="001F5DA7" w:rsidP="001F5DA7">
            <w:pPr>
              <w:rPr>
                <w:rFonts w:eastAsia="Times New Roman" w:cs="Times New Roman"/>
              </w:rPr>
            </w:pPr>
            <w:r w:rsidRPr="001F5DA7">
              <w:rPr>
                <w:rFonts w:eastAsia="Times New Roman" w:cs="Times New Roman"/>
                <w:b/>
                <w:bCs/>
              </w:rPr>
              <w:t>Weighted UniFrac</w:t>
            </w:r>
          </w:p>
        </w:tc>
        <w:tc>
          <w:tcPr>
            <w:tcW w:w="920" w:type="dxa"/>
            <w:tcBorders>
              <w:top w:val="nil"/>
              <w:left w:val="nil"/>
              <w:bottom w:val="nil"/>
              <w:right w:val="nil"/>
            </w:tcBorders>
            <w:shd w:val="clear" w:color="auto" w:fill="auto"/>
            <w:noWrap/>
            <w:vAlign w:val="bottom"/>
            <w:hideMark/>
          </w:tcPr>
          <w:p w14:paraId="59076A5A" w14:textId="77777777" w:rsidR="001F5DA7" w:rsidRPr="001F5DA7" w:rsidRDefault="001F5DA7" w:rsidP="001F5DA7">
            <w:pPr>
              <w:rPr>
                <w:rFonts w:eastAsia="Times New Roman" w:cs="Times New Roman"/>
              </w:rPr>
            </w:pPr>
          </w:p>
        </w:tc>
        <w:tc>
          <w:tcPr>
            <w:tcW w:w="1540" w:type="dxa"/>
            <w:tcBorders>
              <w:top w:val="nil"/>
              <w:left w:val="nil"/>
              <w:bottom w:val="nil"/>
              <w:right w:val="nil"/>
            </w:tcBorders>
            <w:shd w:val="clear" w:color="auto" w:fill="auto"/>
            <w:noWrap/>
            <w:vAlign w:val="bottom"/>
            <w:hideMark/>
          </w:tcPr>
          <w:p w14:paraId="0C87DB4F" w14:textId="77777777" w:rsidR="001F5DA7" w:rsidRPr="001F5DA7" w:rsidRDefault="001F5DA7" w:rsidP="001F5DA7">
            <w:pPr>
              <w:rPr>
                <w:rFonts w:eastAsia="Times New Roman" w:cs="Times New Roman"/>
              </w:rPr>
            </w:pPr>
          </w:p>
        </w:tc>
        <w:tc>
          <w:tcPr>
            <w:tcW w:w="1700" w:type="dxa"/>
            <w:tcBorders>
              <w:top w:val="nil"/>
              <w:left w:val="nil"/>
              <w:bottom w:val="nil"/>
              <w:right w:val="nil"/>
            </w:tcBorders>
            <w:shd w:val="clear" w:color="auto" w:fill="auto"/>
            <w:noWrap/>
            <w:vAlign w:val="bottom"/>
            <w:hideMark/>
          </w:tcPr>
          <w:p w14:paraId="52F52CA8" w14:textId="77777777" w:rsidR="001F5DA7" w:rsidRPr="001F5DA7" w:rsidRDefault="001F5DA7" w:rsidP="001F5DA7">
            <w:pPr>
              <w:rPr>
                <w:rFonts w:eastAsia="Times New Roman" w:cs="Times New Roman"/>
              </w:rPr>
            </w:pPr>
          </w:p>
        </w:tc>
        <w:tc>
          <w:tcPr>
            <w:tcW w:w="1460" w:type="dxa"/>
            <w:tcBorders>
              <w:top w:val="nil"/>
              <w:left w:val="nil"/>
              <w:bottom w:val="nil"/>
              <w:right w:val="nil"/>
            </w:tcBorders>
            <w:shd w:val="clear" w:color="auto" w:fill="auto"/>
            <w:noWrap/>
            <w:vAlign w:val="bottom"/>
            <w:hideMark/>
          </w:tcPr>
          <w:p w14:paraId="22BF0366" w14:textId="77777777" w:rsidR="001F5DA7" w:rsidRPr="001F5DA7" w:rsidRDefault="001F5DA7" w:rsidP="001F5DA7">
            <w:pPr>
              <w:rPr>
                <w:rFonts w:eastAsia="Times New Roman" w:cs="Times New Roman"/>
              </w:rPr>
            </w:pPr>
          </w:p>
        </w:tc>
        <w:tc>
          <w:tcPr>
            <w:tcW w:w="1281" w:type="dxa"/>
            <w:tcBorders>
              <w:top w:val="nil"/>
              <w:left w:val="nil"/>
              <w:bottom w:val="nil"/>
              <w:right w:val="nil"/>
            </w:tcBorders>
            <w:shd w:val="clear" w:color="auto" w:fill="auto"/>
            <w:noWrap/>
            <w:vAlign w:val="bottom"/>
            <w:hideMark/>
          </w:tcPr>
          <w:p w14:paraId="14F215C8" w14:textId="77777777" w:rsidR="001F5DA7" w:rsidRPr="001F5DA7" w:rsidRDefault="001F5DA7" w:rsidP="001F5DA7">
            <w:pPr>
              <w:rPr>
                <w:rFonts w:eastAsia="Times New Roman" w:cs="Times New Roman"/>
              </w:rPr>
            </w:pPr>
          </w:p>
        </w:tc>
        <w:tc>
          <w:tcPr>
            <w:tcW w:w="1540" w:type="dxa"/>
            <w:tcBorders>
              <w:top w:val="nil"/>
              <w:left w:val="nil"/>
              <w:bottom w:val="nil"/>
              <w:right w:val="nil"/>
            </w:tcBorders>
            <w:shd w:val="clear" w:color="auto" w:fill="auto"/>
            <w:noWrap/>
            <w:vAlign w:val="bottom"/>
            <w:hideMark/>
          </w:tcPr>
          <w:p w14:paraId="263A5633" w14:textId="77777777" w:rsidR="001F5DA7" w:rsidRPr="001F5DA7" w:rsidRDefault="001F5DA7" w:rsidP="001F5DA7">
            <w:pPr>
              <w:rPr>
                <w:rFonts w:eastAsia="Times New Roman" w:cs="Times New Roman"/>
              </w:rPr>
            </w:pPr>
          </w:p>
        </w:tc>
      </w:tr>
      <w:tr w:rsidR="001F5DA7" w:rsidRPr="001F5DA7" w14:paraId="253BD3CE" w14:textId="77777777" w:rsidTr="00B9020A">
        <w:trPr>
          <w:trHeight w:val="380"/>
        </w:trPr>
        <w:tc>
          <w:tcPr>
            <w:tcW w:w="2760" w:type="dxa"/>
            <w:tcBorders>
              <w:top w:val="nil"/>
              <w:left w:val="nil"/>
              <w:bottom w:val="single" w:sz="4" w:space="0" w:color="auto"/>
              <w:right w:val="nil"/>
            </w:tcBorders>
            <w:shd w:val="clear" w:color="auto" w:fill="auto"/>
            <w:noWrap/>
            <w:vAlign w:val="bottom"/>
            <w:hideMark/>
          </w:tcPr>
          <w:p w14:paraId="3A334357" w14:textId="123069C9" w:rsidR="001F5DA7" w:rsidRPr="001F5DA7" w:rsidRDefault="001F5DA7" w:rsidP="001F5DA7">
            <w:pPr>
              <w:rPr>
                <w:rFonts w:eastAsia="Times New Roman" w:cs="Times New Roman"/>
              </w:rPr>
            </w:pPr>
            <w:r w:rsidRPr="001F5DA7">
              <w:rPr>
                <w:rFonts w:eastAsia="Times New Roman" w:cs="Times New Roman"/>
              </w:rPr>
              <w:t> </w:t>
            </w:r>
          </w:p>
        </w:tc>
        <w:tc>
          <w:tcPr>
            <w:tcW w:w="920" w:type="dxa"/>
            <w:tcBorders>
              <w:top w:val="nil"/>
              <w:left w:val="nil"/>
              <w:bottom w:val="single" w:sz="4" w:space="0" w:color="auto"/>
              <w:right w:val="nil"/>
            </w:tcBorders>
            <w:shd w:val="clear" w:color="auto" w:fill="auto"/>
            <w:noWrap/>
            <w:vAlign w:val="bottom"/>
            <w:hideMark/>
          </w:tcPr>
          <w:p w14:paraId="5BAB35CC" w14:textId="665709C7" w:rsidR="001F5DA7" w:rsidRPr="001F5DA7" w:rsidRDefault="001F5DA7" w:rsidP="001F5DA7">
            <w:pPr>
              <w:rPr>
                <w:rFonts w:eastAsia="Times New Roman" w:cs="Times New Roman"/>
              </w:rPr>
            </w:pPr>
            <w:r w:rsidRPr="001F5DA7">
              <w:rPr>
                <w:rFonts w:eastAsia="Times New Roman" w:cs="Times New Roman"/>
                <w:b/>
                <w:bCs/>
              </w:rPr>
              <w:t>Df</w:t>
            </w:r>
          </w:p>
        </w:tc>
        <w:tc>
          <w:tcPr>
            <w:tcW w:w="1540" w:type="dxa"/>
            <w:tcBorders>
              <w:top w:val="nil"/>
              <w:left w:val="nil"/>
              <w:bottom w:val="single" w:sz="4" w:space="0" w:color="auto"/>
              <w:right w:val="nil"/>
            </w:tcBorders>
            <w:shd w:val="clear" w:color="auto" w:fill="auto"/>
            <w:noWrap/>
            <w:vAlign w:val="bottom"/>
            <w:hideMark/>
          </w:tcPr>
          <w:p w14:paraId="523BC11A" w14:textId="341EF541" w:rsidR="001F5DA7" w:rsidRPr="001F5DA7" w:rsidRDefault="001F5DA7" w:rsidP="001F5DA7">
            <w:pPr>
              <w:rPr>
                <w:rFonts w:eastAsia="Times New Roman" w:cs="Times New Roman"/>
              </w:rPr>
            </w:pPr>
            <w:r w:rsidRPr="001F5DA7">
              <w:rPr>
                <w:rFonts w:eastAsia="Times New Roman" w:cs="Times New Roman"/>
                <w:b/>
                <w:bCs/>
              </w:rPr>
              <w:t>SumsOfSqs</w:t>
            </w:r>
          </w:p>
        </w:tc>
        <w:tc>
          <w:tcPr>
            <w:tcW w:w="1700" w:type="dxa"/>
            <w:tcBorders>
              <w:top w:val="nil"/>
              <w:left w:val="nil"/>
              <w:bottom w:val="single" w:sz="4" w:space="0" w:color="auto"/>
              <w:right w:val="nil"/>
            </w:tcBorders>
            <w:shd w:val="clear" w:color="auto" w:fill="auto"/>
            <w:noWrap/>
            <w:vAlign w:val="bottom"/>
            <w:hideMark/>
          </w:tcPr>
          <w:p w14:paraId="596BF529" w14:textId="22B38FEA" w:rsidR="001F5DA7" w:rsidRPr="001F5DA7" w:rsidRDefault="001F5DA7" w:rsidP="001F5DA7">
            <w:pPr>
              <w:rPr>
                <w:rFonts w:eastAsia="Times New Roman" w:cs="Times New Roman"/>
              </w:rPr>
            </w:pPr>
            <w:r w:rsidRPr="001F5DA7">
              <w:rPr>
                <w:rFonts w:eastAsia="Times New Roman" w:cs="Times New Roman"/>
                <w:b/>
                <w:bCs/>
              </w:rPr>
              <w:t>MeanSqs</w:t>
            </w:r>
          </w:p>
        </w:tc>
        <w:tc>
          <w:tcPr>
            <w:tcW w:w="1460" w:type="dxa"/>
            <w:tcBorders>
              <w:top w:val="nil"/>
              <w:left w:val="nil"/>
              <w:bottom w:val="single" w:sz="4" w:space="0" w:color="auto"/>
              <w:right w:val="nil"/>
            </w:tcBorders>
            <w:shd w:val="clear" w:color="auto" w:fill="auto"/>
            <w:noWrap/>
            <w:vAlign w:val="bottom"/>
            <w:hideMark/>
          </w:tcPr>
          <w:p w14:paraId="1DA90342" w14:textId="5DA4BA8E" w:rsidR="001F5DA7" w:rsidRPr="001F5DA7" w:rsidRDefault="001F5DA7" w:rsidP="001F5DA7">
            <w:pPr>
              <w:rPr>
                <w:rFonts w:eastAsia="Times New Roman" w:cs="Times New Roman"/>
              </w:rPr>
            </w:pPr>
            <w:r w:rsidRPr="001F5DA7">
              <w:rPr>
                <w:rFonts w:eastAsia="Times New Roman" w:cs="Times New Roman"/>
                <w:b/>
                <w:bCs/>
              </w:rPr>
              <w:t>F.Model</w:t>
            </w:r>
          </w:p>
        </w:tc>
        <w:tc>
          <w:tcPr>
            <w:tcW w:w="1281" w:type="dxa"/>
            <w:tcBorders>
              <w:top w:val="nil"/>
              <w:left w:val="nil"/>
              <w:bottom w:val="single" w:sz="4" w:space="0" w:color="auto"/>
              <w:right w:val="nil"/>
            </w:tcBorders>
            <w:shd w:val="clear" w:color="auto" w:fill="auto"/>
            <w:noWrap/>
            <w:vAlign w:val="bottom"/>
            <w:hideMark/>
          </w:tcPr>
          <w:p w14:paraId="77EEBAE3" w14:textId="1395BC6B" w:rsidR="001F5DA7" w:rsidRPr="001F5DA7" w:rsidRDefault="001F5DA7" w:rsidP="001F5DA7">
            <w:pPr>
              <w:rPr>
                <w:rFonts w:eastAsia="Times New Roman" w:cs="Times New Roman"/>
              </w:rPr>
            </w:pPr>
            <w:r w:rsidRPr="001F5DA7">
              <w:rPr>
                <w:rFonts w:eastAsia="Times New Roman" w:cs="Times New Roman"/>
                <w:b/>
                <w:bCs/>
              </w:rPr>
              <w:t>R2</w:t>
            </w:r>
          </w:p>
        </w:tc>
        <w:tc>
          <w:tcPr>
            <w:tcW w:w="1540" w:type="dxa"/>
            <w:tcBorders>
              <w:top w:val="nil"/>
              <w:left w:val="nil"/>
              <w:bottom w:val="single" w:sz="4" w:space="0" w:color="auto"/>
              <w:right w:val="nil"/>
            </w:tcBorders>
            <w:shd w:val="clear" w:color="auto" w:fill="auto"/>
            <w:noWrap/>
            <w:vAlign w:val="bottom"/>
            <w:hideMark/>
          </w:tcPr>
          <w:p w14:paraId="1C849459" w14:textId="726A1EBF" w:rsidR="001F5DA7" w:rsidRPr="001F5DA7" w:rsidRDefault="001F5DA7" w:rsidP="001F5DA7">
            <w:pPr>
              <w:rPr>
                <w:rFonts w:eastAsia="Times New Roman" w:cs="Times New Roman"/>
              </w:rPr>
            </w:pPr>
            <w:r w:rsidRPr="001F5DA7">
              <w:rPr>
                <w:rFonts w:eastAsia="Times New Roman" w:cs="Times New Roman"/>
                <w:b/>
                <w:bCs/>
              </w:rPr>
              <w:t>p-value</w:t>
            </w:r>
          </w:p>
        </w:tc>
      </w:tr>
      <w:tr w:rsidR="001F5DA7" w:rsidRPr="00A53C1D" w14:paraId="7C2EF1CA" w14:textId="77777777" w:rsidTr="00B9020A">
        <w:trPr>
          <w:trHeight w:val="380"/>
        </w:trPr>
        <w:tc>
          <w:tcPr>
            <w:tcW w:w="2760" w:type="dxa"/>
            <w:tcBorders>
              <w:top w:val="nil"/>
              <w:left w:val="nil"/>
              <w:bottom w:val="nil"/>
              <w:right w:val="nil"/>
            </w:tcBorders>
            <w:shd w:val="clear" w:color="auto" w:fill="auto"/>
            <w:noWrap/>
            <w:vAlign w:val="bottom"/>
            <w:hideMark/>
          </w:tcPr>
          <w:p w14:paraId="03394587" w14:textId="36E37D23" w:rsidR="001F5DA7" w:rsidRPr="001F5DA7" w:rsidRDefault="001F5DA7" w:rsidP="001F5DA7">
            <w:pPr>
              <w:rPr>
                <w:rFonts w:eastAsia="Times New Roman" w:cs="Times New Roman"/>
                <w:b/>
                <w:bCs/>
              </w:rPr>
            </w:pPr>
            <w:r w:rsidRPr="001F5DA7">
              <w:rPr>
                <w:rFonts w:eastAsia="Times New Roman" w:cs="Times New Roman"/>
                <w:b/>
                <w:bCs/>
              </w:rPr>
              <w:t>Palm identity</w:t>
            </w:r>
          </w:p>
        </w:tc>
        <w:tc>
          <w:tcPr>
            <w:tcW w:w="920" w:type="dxa"/>
            <w:tcBorders>
              <w:top w:val="nil"/>
              <w:left w:val="nil"/>
              <w:bottom w:val="nil"/>
              <w:right w:val="nil"/>
            </w:tcBorders>
            <w:shd w:val="clear" w:color="auto" w:fill="auto"/>
            <w:noWrap/>
            <w:vAlign w:val="bottom"/>
            <w:hideMark/>
          </w:tcPr>
          <w:p w14:paraId="472D0EA7" w14:textId="6E05C372" w:rsidR="001F5DA7" w:rsidRPr="001F5DA7" w:rsidRDefault="001F5DA7" w:rsidP="001F5DA7">
            <w:pPr>
              <w:rPr>
                <w:rFonts w:eastAsia="Times New Roman" w:cs="Times New Roman"/>
                <w:b/>
                <w:bCs/>
              </w:rPr>
            </w:pPr>
            <w:r w:rsidRPr="001F5DA7">
              <w:rPr>
                <w:rFonts w:eastAsia="Times New Roman" w:cs="Times New Roman"/>
              </w:rPr>
              <w:t>16</w:t>
            </w:r>
          </w:p>
        </w:tc>
        <w:tc>
          <w:tcPr>
            <w:tcW w:w="1540" w:type="dxa"/>
            <w:tcBorders>
              <w:top w:val="nil"/>
              <w:left w:val="nil"/>
              <w:bottom w:val="nil"/>
              <w:right w:val="nil"/>
            </w:tcBorders>
            <w:shd w:val="clear" w:color="auto" w:fill="auto"/>
            <w:noWrap/>
            <w:vAlign w:val="bottom"/>
            <w:hideMark/>
          </w:tcPr>
          <w:p w14:paraId="269808DE" w14:textId="0C5CBEC5" w:rsidR="001F5DA7" w:rsidRPr="001F5DA7" w:rsidRDefault="001F5DA7" w:rsidP="001F5DA7">
            <w:pPr>
              <w:rPr>
                <w:rFonts w:eastAsia="Times New Roman" w:cs="Times New Roman"/>
              </w:rPr>
            </w:pPr>
            <w:r w:rsidRPr="001F5DA7">
              <w:rPr>
                <w:rFonts w:eastAsia="Times New Roman" w:cs="Times New Roman"/>
              </w:rPr>
              <w:t>0.347019</w:t>
            </w:r>
          </w:p>
        </w:tc>
        <w:tc>
          <w:tcPr>
            <w:tcW w:w="1700" w:type="dxa"/>
            <w:tcBorders>
              <w:top w:val="nil"/>
              <w:left w:val="nil"/>
              <w:bottom w:val="nil"/>
              <w:right w:val="nil"/>
            </w:tcBorders>
            <w:shd w:val="clear" w:color="auto" w:fill="auto"/>
            <w:noWrap/>
            <w:vAlign w:val="bottom"/>
            <w:hideMark/>
          </w:tcPr>
          <w:p w14:paraId="31990238" w14:textId="2DFACEC5" w:rsidR="001F5DA7" w:rsidRPr="001F5DA7" w:rsidRDefault="001F5DA7" w:rsidP="001F5DA7">
            <w:pPr>
              <w:rPr>
                <w:rFonts w:eastAsia="Times New Roman" w:cs="Times New Roman"/>
              </w:rPr>
            </w:pPr>
            <w:r w:rsidRPr="001F5DA7">
              <w:rPr>
                <w:rFonts w:eastAsia="Times New Roman" w:cs="Times New Roman"/>
              </w:rPr>
              <w:t>0.021689</w:t>
            </w:r>
          </w:p>
        </w:tc>
        <w:tc>
          <w:tcPr>
            <w:tcW w:w="1460" w:type="dxa"/>
            <w:tcBorders>
              <w:top w:val="nil"/>
              <w:left w:val="nil"/>
              <w:bottom w:val="nil"/>
              <w:right w:val="nil"/>
            </w:tcBorders>
            <w:shd w:val="clear" w:color="auto" w:fill="auto"/>
            <w:noWrap/>
            <w:vAlign w:val="bottom"/>
            <w:hideMark/>
          </w:tcPr>
          <w:p w14:paraId="55F6E274" w14:textId="3A37E178" w:rsidR="001F5DA7" w:rsidRPr="001F5DA7" w:rsidRDefault="001F5DA7" w:rsidP="001F5DA7">
            <w:pPr>
              <w:rPr>
                <w:rFonts w:eastAsia="Times New Roman" w:cs="Times New Roman"/>
              </w:rPr>
            </w:pPr>
            <w:r w:rsidRPr="001F5DA7">
              <w:rPr>
                <w:rFonts w:eastAsia="Times New Roman" w:cs="Times New Roman"/>
              </w:rPr>
              <w:t>3.306797</w:t>
            </w:r>
          </w:p>
        </w:tc>
        <w:tc>
          <w:tcPr>
            <w:tcW w:w="1281" w:type="dxa"/>
            <w:tcBorders>
              <w:top w:val="nil"/>
              <w:left w:val="nil"/>
              <w:bottom w:val="nil"/>
              <w:right w:val="nil"/>
            </w:tcBorders>
            <w:shd w:val="clear" w:color="auto" w:fill="auto"/>
            <w:noWrap/>
            <w:vAlign w:val="bottom"/>
            <w:hideMark/>
          </w:tcPr>
          <w:p w14:paraId="7B5A5A3F" w14:textId="5FFF7194" w:rsidR="001F5DA7" w:rsidRPr="001F5DA7" w:rsidRDefault="001F5DA7" w:rsidP="001F5DA7">
            <w:pPr>
              <w:rPr>
                <w:rFonts w:eastAsia="Times New Roman" w:cs="Times New Roman"/>
              </w:rPr>
            </w:pPr>
            <w:r w:rsidRPr="001F5DA7">
              <w:rPr>
                <w:rFonts w:eastAsia="Times New Roman" w:cs="Times New Roman"/>
              </w:rPr>
              <w:t>0.40529</w:t>
            </w:r>
          </w:p>
        </w:tc>
        <w:tc>
          <w:tcPr>
            <w:tcW w:w="1540" w:type="dxa"/>
            <w:tcBorders>
              <w:top w:val="nil"/>
              <w:left w:val="nil"/>
              <w:bottom w:val="nil"/>
              <w:right w:val="nil"/>
            </w:tcBorders>
            <w:shd w:val="clear" w:color="auto" w:fill="auto"/>
            <w:noWrap/>
            <w:vAlign w:val="bottom"/>
            <w:hideMark/>
          </w:tcPr>
          <w:p w14:paraId="5445287C" w14:textId="72C6E33B" w:rsidR="001F5DA7" w:rsidRPr="001F5DA7" w:rsidRDefault="001F5DA7" w:rsidP="001F5DA7">
            <w:pPr>
              <w:rPr>
                <w:rFonts w:eastAsia="Times New Roman" w:cs="Times New Roman"/>
              </w:rPr>
            </w:pPr>
            <w:r w:rsidRPr="001F5DA7">
              <w:rPr>
                <w:rFonts w:eastAsia="Times New Roman" w:cs="Times New Roman"/>
                <w:b/>
                <w:bCs/>
              </w:rPr>
              <w:t>0.001</w:t>
            </w:r>
          </w:p>
        </w:tc>
      </w:tr>
      <w:tr w:rsidR="001F5DA7" w:rsidRPr="001F5DA7" w14:paraId="774B0764" w14:textId="77777777" w:rsidTr="001F5DA7">
        <w:trPr>
          <w:trHeight w:val="380"/>
        </w:trPr>
        <w:tc>
          <w:tcPr>
            <w:tcW w:w="2760" w:type="dxa"/>
            <w:tcBorders>
              <w:top w:val="nil"/>
              <w:left w:val="nil"/>
              <w:bottom w:val="nil"/>
              <w:right w:val="nil"/>
            </w:tcBorders>
            <w:shd w:val="clear" w:color="auto" w:fill="auto"/>
            <w:noWrap/>
            <w:vAlign w:val="bottom"/>
            <w:hideMark/>
          </w:tcPr>
          <w:p w14:paraId="2FFEBCEF" w14:textId="7FB520DB" w:rsidR="001F5DA7" w:rsidRPr="001F5DA7" w:rsidRDefault="001F5DA7" w:rsidP="001F5DA7">
            <w:pPr>
              <w:rPr>
                <w:rFonts w:eastAsia="Times New Roman" w:cs="Times New Roman"/>
              </w:rPr>
            </w:pPr>
            <w:r w:rsidRPr="001F5DA7">
              <w:rPr>
                <w:rFonts w:eastAsia="Times New Roman" w:cs="Times New Roman"/>
                <w:b/>
                <w:bCs/>
              </w:rPr>
              <w:t>Age group</w:t>
            </w:r>
          </w:p>
        </w:tc>
        <w:tc>
          <w:tcPr>
            <w:tcW w:w="920" w:type="dxa"/>
            <w:tcBorders>
              <w:top w:val="nil"/>
              <w:left w:val="nil"/>
              <w:bottom w:val="nil"/>
              <w:right w:val="nil"/>
            </w:tcBorders>
            <w:shd w:val="clear" w:color="auto" w:fill="auto"/>
            <w:noWrap/>
            <w:vAlign w:val="bottom"/>
            <w:hideMark/>
          </w:tcPr>
          <w:p w14:paraId="5AA2DBB0" w14:textId="25F8B42C" w:rsidR="001F5DA7" w:rsidRPr="001F5DA7" w:rsidRDefault="001F5DA7" w:rsidP="001F5DA7">
            <w:pPr>
              <w:rPr>
                <w:rFonts w:eastAsia="Times New Roman" w:cs="Times New Roman"/>
                <w:b/>
                <w:bCs/>
              </w:rPr>
            </w:pPr>
            <w:r w:rsidRPr="001F5DA7">
              <w:rPr>
                <w:rFonts w:eastAsia="Times New Roman" w:cs="Times New Roman"/>
              </w:rPr>
              <w:t>1</w:t>
            </w:r>
          </w:p>
        </w:tc>
        <w:tc>
          <w:tcPr>
            <w:tcW w:w="1540" w:type="dxa"/>
            <w:tcBorders>
              <w:top w:val="nil"/>
              <w:left w:val="nil"/>
              <w:bottom w:val="nil"/>
              <w:right w:val="nil"/>
            </w:tcBorders>
            <w:shd w:val="clear" w:color="auto" w:fill="auto"/>
            <w:noWrap/>
            <w:vAlign w:val="bottom"/>
            <w:hideMark/>
          </w:tcPr>
          <w:p w14:paraId="34D2D7FD" w14:textId="0A0415AB" w:rsidR="001F5DA7" w:rsidRPr="001F5DA7" w:rsidRDefault="001F5DA7" w:rsidP="001F5DA7">
            <w:pPr>
              <w:rPr>
                <w:rFonts w:eastAsia="Times New Roman" w:cs="Times New Roman"/>
                <w:b/>
                <w:bCs/>
              </w:rPr>
            </w:pPr>
            <w:r w:rsidRPr="001F5DA7">
              <w:rPr>
                <w:rFonts w:eastAsia="Times New Roman" w:cs="Times New Roman"/>
              </w:rPr>
              <w:t>0.082872</w:t>
            </w:r>
          </w:p>
        </w:tc>
        <w:tc>
          <w:tcPr>
            <w:tcW w:w="1700" w:type="dxa"/>
            <w:tcBorders>
              <w:top w:val="nil"/>
              <w:left w:val="nil"/>
              <w:bottom w:val="nil"/>
              <w:right w:val="nil"/>
            </w:tcBorders>
            <w:shd w:val="clear" w:color="auto" w:fill="auto"/>
            <w:noWrap/>
            <w:vAlign w:val="bottom"/>
            <w:hideMark/>
          </w:tcPr>
          <w:p w14:paraId="17B4D1B7" w14:textId="351737BF" w:rsidR="001F5DA7" w:rsidRPr="001F5DA7" w:rsidRDefault="001F5DA7" w:rsidP="001F5DA7">
            <w:pPr>
              <w:rPr>
                <w:rFonts w:eastAsia="Times New Roman" w:cs="Times New Roman"/>
                <w:b/>
                <w:bCs/>
              </w:rPr>
            </w:pPr>
            <w:r w:rsidRPr="001F5DA7">
              <w:rPr>
                <w:rFonts w:eastAsia="Times New Roman" w:cs="Times New Roman"/>
              </w:rPr>
              <w:t>0.082872</w:t>
            </w:r>
          </w:p>
        </w:tc>
        <w:tc>
          <w:tcPr>
            <w:tcW w:w="1460" w:type="dxa"/>
            <w:tcBorders>
              <w:top w:val="nil"/>
              <w:left w:val="nil"/>
              <w:bottom w:val="nil"/>
              <w:right w:val="nil"/>
            </w:tcBorders>
            <w:shd w:val="clear" w:color="auto" w:fill="auto"/>
            <w:noWrap/>
            <w:vAlign w:val="bottom"/>
            <w:hideMark/>
          </w:tcPr>
          <w:p w14:paraId="0EDE13EE" w14:textId="79A76CA2" w:rsidR="001F5DA7" w:rsidRPr="001F5DA7" w:rsidRDefault="001F5DA7" w:rsidP="001F5DA7">
            <w:pPr>
              <w:rPr>
                <w:rFonts w:eastAsia="Times New Roman" w:cs="Times New Roman"/>
                <w:b/>
                <w:bCs/>
              </w:rPr>
            </w:pPr>
            <w:r w:rsidRPr="001F5DA7">
              <w:rPr>
                <w:rFonts w:eastAsia="Times New Roman" w:cs="Times New Roman"/>
              </w:rPr>
              <w:t>12.635205</w:t>
            </w:r>
          </w:p>
        </w:tc>
        <w:tc>
          <w:tcPr>
            <w:tcW w:w="1281" w:type="dxa"/>
            <w:tcBorders>
              <w:top w:val="nil"/>
              <w:left w:val="nil"/>
              <w:bottom w:val="nil"/>
              <w:right w:val="nil"/>
            </w:tcBorders>
            <w:shd w:val="clear" w:color="auto" w:fill="auto"/>
            <w:noWrap/>
            <w:vAlign w:val="bottom"/>
            <w:hideMark/>
          </w:tcPr>
          <w:p w14:paraId="78AF38A5" w14:textId="303D0553" w:rsidR="001F5DA7" w:rsidRPr="001F5DA7" w:rsidRDefault="001F5DA7" w:rsidP="001F5DA7">
            <w:pPr>
              <w:rPr>
                <w:rFonts w:eastAsia="Times New Roman" w:cs="Times New Roman"/>
                <w:b/>
                <w:bCs/>
              </w:rPr>
            </w:pPr>
            <w:r w:rsidRPr="001F5DA7">
              <w:rPr>
                <w:rFonts w:eastAsia="Times New Roman" w:cs="Times New Roman"/>
              </w:rPr>
              <w:t>0.096788</w:t>
            </w:r>
          </w:p>
        </w:tc>
        <w:tc>
          <w:tcPr>
            <w:tcW w:w="1540" w:type="dxa"/>
            <w:tcBorders>
              <w:top w:val="nil"/>
              <w:left w:val="nil"/>
              <w:bottom w:val="nil"/>
              <w:right w:val="nil"/>
            </w:tcBorders>
            <w:shd w:val="clear" w:color="auto" w:fill="auto"/>
            <w:noWrap/>
            <w:vAlign w:val="bottom"/>
            <w:hideMark/>
          </w:tcPr>
          <w:p w14:paraId="751D1211" w14:textId="591D931D" w:rsidR="001F5DA7" w:rsidRPr="001F5DA7" w:rsidRDefault="001F5DA7" w:rsidP="001F5DA7">
            <w:pPr>
              <w:rPr>
                <w:rFonts w:eastAsia="Times New Roman" w:cs="Times New Roman"/>
                <w:b/>
                <w:bCs/>
              </w:rPr>
            </w:pPr>
            <w:r w:rsidRPr="001F5DA7">
              <w:rPr>
                <w:rFonts w:eastAsia="Times New Roman" w:cs="Times New Roman"/>
                <w:b/>
                <w:bCs/>
              </w:rPr>
              <w:t>0.001</w:t>
            </w:r>
          </w:p>
        </w:tc>
      </w:tr>
      <w:tr w:rsidR="001F5DA7" w:rsidRPr="001F5DA7" w14:paraId="136F94F1" w14:textId="77777777" w:rsidTr="001F5DA7">
        <w:trPr>
          <w:trHeight w:val="380"/>
        </w:trPr>
        <w:tc>
          <w:tcPr>
            <w:tcW w:w="2760" w:type="dxa"/>
            <w:tcBorders>
              <w:top w:val="nil"/>
              <w:left w:val="nil"/>
              <w:bottom w:val="nil"/>
              <w:right w:val="nil"/>
            </w:tcBorders>
            <w:shd w:val="clear" w:color="auto" w:fill="auto"/>
            <w:noWrap/>
            <w:vAlign w:val="bottom"/>
            <w:hideMark/>
          </w:tcPr>
          <w:p w14:paraId="146772DA" w14:textId="77D0B1B1" w:rsidR="001F5DA7" w:rsidRPr="001F5DA7" w:rsidRDefault="001F5DA7" w:rsidP="001F5DA7">
            <w:pPr>
              <w:rPr>
                <w:rFonts w:eastAsia="Times New Roman" w:cs="Times New Roman"/>
                <w:b/>
                <w:bCs/>
              </w:rPr>
            </w:pPr>
            <w:r w:rsidRPr="001F5DA7">
              <w:rPr>
                <w:rFonts w:eastAsia="Times New Roman" w:cs="Times New Roman"/>
                <w:b/>
                <w:bCs/>
              </w:rPr>
              <w:t>Habitat type</w:t>
            </w:r>
          </w:p>
        </w:tc>
        <w:tc>
          <w:tcPr>
            <w:tcW w:w="920" w:type="dxa"/>
            <w:tcBorders>
              <w:top w:val="nil"/>
              <w:left w:val="nil"/>
              <w:bottom w:val="nil"/>
              <w:right w:val="nil"/>
            </w:tcBorders>
            <w:shd w:val="clear" w:color="auto" w:fill="auto"/>
            <w:noWrap/>
            <w:vAlign w:val="bottom"/>
            <w:hideMark/>
          </w:tcPr>
          <w:p w14:paraId="5FADE1D8" w14:textId="09807DDB" w:rsidR="001F5DA7" w:rsidRPr="001F5DA7" w:rsidRDefault="001F5DA7" w:rsidP="001F5DA7">
            <w:pPr>
              <w:jc w:val="right"/>
              <w:rPr>
                <w:rFonts w:eastAsia="Times New Roman" w:cs="Times New Roman"/>
              </w:rPr>
            </w:pPr>
            <w:r w:rsidRPr="001F5DA7">
              <w:rPr>
                <w:rFonts w:eastAsia="Times New Roman" w:cs="Times New Roman"/>
              </w:rPr>
              <w:t>1</w:t>
            </w:r>
          </w:p>
        </w:tc>
        <w:tc>
          <w:tcPr>
            <w:tcW w:w="1540" w:type="dxa"/>
            <w:tcBorders>
              <w:top w:val="nil"/>
              <w:left w:val="nil"/>
              <w:bottom w:val="nil"/>
              <w:right w:val="nil"/>
            </w:tcBorders>
            <w:shd w:val="clear" w:color="auto" w:fill="auto"/>
            <w:noWrap/>
            <w:vAlign w:val="bottom"/>
            <w:hideMark/>
          </w:tcPr>
          <w:p w14:paraId="2CBE14B4" w14:textId="503BCF8E" w:rsidR="001F5DA7" w:rsidRPr="001F5DA7" w:rsidRDefault="001F5DA7" w:rsidP="001F5DA7">
            <w:pPr>
              <w:jc w:val="right"/>
              <w:rPr>
                <w:rFonts w:eastAsia="Times New Roman" w:cs="Times New Roman"/>
              </w:rPr>
            </w:pPr>
            <w:r w:rsidRPr="001F5DA7">
              <w:rPr>
                <w:rFonts w:eastAsia="Times New Roman" w:cs="Times New Roman"/>
              </w:rPr>
              <w:t>0</w:t>
            </w:r>
          </w:p>
        </w:tc>
        <w:tc>
          <w:tcPr>
            <w:tcW w:w="1700" w:type="dxa"/>
            <w:tcBorders>
              <w:top w:val="nil"/>
              <w:left w:val="nil"/>
              <w:bottom w:val="nil"/>
              <w:right w:val="nil"/>
            </w:tcBorders>
            <w:shd w:val="clear" w:color="auto" w:fill="auto"/>
            <w:noWrap/>
            <w:vAlign w:val="bottom"/>
            <w:hideMark/>
          </w:tcPr>
          <w:p w14:paraId="132D1330" w14:textId="1FEC82DE" w:rsidR="001F5DA7" w:rsidRPr="001F5DA7" w:rsidRDefault="001F5DA7" w:rsidP="001F5DA7">
            <w:pPr>
              <w:jc w:val="right"/>
              <w:rPr>
                <w:rFonts w:eastAsia="Times New Roman" w:cs="Times New Roman"/>
              </w:rPr>
            </w:pPr>
            <w:r w:rsidRPr="001F5DA7">
              <w:rPr>
                <w:rFonts w:eastAsia="Times New Roman" w:cs="Times New Roman"/>
              </w:rPr>
              <w:t>0</w:t>
            </w:r>
          </w:p>
        </w:tc>
        <w:tc>
          <w:tcPr>
            <w:tcW w:w="1460" w:type="dxa"/>
            <w:tcBorders>
              <w:top w:val="nil"/>
              <w:left w:val="nil"/>
              <w:bottom w:val="nil"/>
              <w:right w:val="nil"/>
            </w:tcBorders>
            <w:shd w:val="clear" w:color="auto" w:fill="auto"/>
            <w:noWrap/>
            <w:vAlign w:val="bottom"/>
            <w:hideMark/>
          </w:tcPr>
          <w:p w14:paraId="4345CB17" w14:textId="784966E8" w:rsidR="001F5DA7" w:rsidRPr="001F5DA7" w:rsidRDefault="001F5DA7" w:rsidP="001F5DA7">
            <w:pPr>
              <w:jc w:val="right"/>
              <w:rPr>
                <w:rFonts w:eastAsia="Times New Roman" w:cs="Times New Roman"/>
              </w:rPr>
            </w:pPr>
            <w:r w:rsidRPr="001F5DA7">
              <w:rPr>
                <w:rFonts w:eastAsia="Times New Roman" w:cs="Times New Roman"/>
              </w:rPr>
              <w:t>0</w:t>
            </w:r>
          </w:p>
        </w:tc>
        <w:tc>
          <w:tcPr>
            <w:tcW w:w="1281" w:type="dxa"/>
            <w:tcBorders>
              <w:top w:val="nil"/>
              <w:left w:val="nil"/>
              <w:bottom w:val="nil"/>
              <w:right w:val="nil"/>
            </w:tcBorders>
            <w:shd w:val="clear" w:color="auto" w:fill="auto"/>
            <w:noWrap/>
            <w:vAlign w:val="bottom"/>
            <w:hideMark/>
          </w:tcPr>
          <w:p w14:paraId="678D031A" w14:textId="4C9526D5" w:rsidR="001F5DA7" w:rsidRPr="001F5DA7" w:rsidRDefault="001F5DA7" w:rsidP="001F5DA7">
            <w:pPr>
              <w:jc w:val="right"/>
              <w:rPr>
                <w:rFonts w:eastAsia="Times New Roman" w:cs="Times New Roman"/>
              </w:rPr>
            </w:pPr>
            <w:r w:rsidRPr="001F5DA7">
              <w:rPr>
                <w:rFonts w:eastAsia="Times New Roman" w:cs="Times New Roman"/>
              </w:rPr>
              <w:t>0</w:t>
            </w:r>
          </w:p>
        </w:tc>
        <w:tc>
          <w:tcPr>
            <w:tcW w:w="1540" w:type="dxa"/>
            <w:tcBorders>
              <w:top w:val="nil"/>
              <w:left w:val="nil"/>
              <w:bottom w:val="nil"/>
              <w:right w:val="nil"/>
            </w:tcBorders>
            <w:shd w:val="clear" w:color="auto" w:fill="auto"/>
            <w:noWrap/>
            <w:vAlign w:val="bottom"/>
            <w:hideMark/>
          </w:tcPr>
          <w:p w14:paraId="27BCDCCE" w14:textId="39CDA55A" w:rsidR="001F5DA7" w:rsidRPr="001F5DA7" w:rsidRDefault="001F5DA7" w:rsidP="001F5DA7">
            <w:pPr>
              <w:jc w:val="right"/>
              <w:rPr>
                <w:rFonts w:eastAsia="Times New Roman" w:cs="Times New Roman"/>
                <w:b/>
                <w:bCs/>
              </w:rPr>
            </w:pPr>
            <w:r w:rsidRPr="001F5DA7">
              <w:rPr>
                <w:rFonts w:eastAsia="Times New Roman" w:cs="Times New Roman"/>
              </w:rPr>
              <w:t>NaN</w:t>
            </w:r>
          </w:p>
        </w:tc>
      </w:tr>
      <w:tr w:rsidR="001F5DA7" w:rsidRPr="001F5DA7" w14:paraId="1123CBAF" w14:textId="77777777" w:rsidTr="001F5DA7">
        <w:trPr>
          <w:trHeight w:val="380"/>
        </w:trPr>
        <w:tc>
          <w:tcPr>
            <w:tcW w:w="2760" w:type="dxa"/>
            <w:tcBorders>
              <w:top w:val="nil"/>
              <w:left w:val="nil"/>
              <w:bottom w:val="nil"/>
              <w:right w:val="nil"/>
            </w:tcBorders>
            <w:shd w:val="clear" w:color="auto" w:fill="auto"/>
            <w:noWrap/>
            <w:vAlign w:val="bottom"/>
            <w:hideMark/>
          </w:tcPr>
          <w:p w14:paraId="3AB1ADAE" w14:textId="28E430CD" w:rsidR="001F5DA7" w:rsidRPr="001F5DA7" w:rsidRDefault="001F5DA7" w:rsidP="001F5DA7">
            <w:pPr>
              <w:rPr>
                <w:rFonts w:eastAsia="Times New Roman" w:cs="Times New Roman"/>
                <w:b/>
                <w:bCs/>
              </w:rPr>
            </w:pPr>
            <w:r w:rsidRPr="001F5DA7">
              <w:rPr>
                <w:rFonts w:eastAsia="Times New Roman" w:cs="Times New Roman"/>
                <w:b/>
                <w:bCs/>
              </w:rPr>
              <w:t>Dominant blood meal</w:t>
            </w:r>
          </w:p>
        </w:tc>
        <w:tc>
          <w:tcPr>
            <w:tcW w:w="920" w:type="dxa"/>
            <w:tcBorders>
              <w:top w:val="nil"/>
              <w:left w:val="nil"/>
              <w:bottom w:val="nil"/>
              <w:right w:val="nil"/>
            </w:tcBorders>
            <w:shd w:val="clear" w:color="auto" w:fill="auto"/>
            <w:noWrap/>
            <w:vAlign w:val="bottom"/>
            <w:hideMark/>
          </w:tcPr>
          <w:p w14:paraId="4D60B4AB" w14:textId="533E33BA" w:rsidR="001F5DA7" w:rsidRPr="001F5DA7" w:rsidRDefault="001F5DA7" w:rsidP="001F5DA7">
            <w:pPr>
              <w:jc w:val="right"/>
              <w:rPr>
                <w:rFonts w:eastAsia="Times New Roman" w:cs="Times New Roman"/>
              </w:rPr>
            </w:pPr>
            <w:r w:rsidRPr="001F5DA7">
              <w:rPr>
                <w:rFonts w:eastAsia="Times New Roman" w:cs="Times New Roman"/>
              </w:rPr>
              <w:t>7</w:t>
            </w:r>
          </w:p>
        </w:tc>
        <w:tc>
          <w:tcPr>
            <w:tcW w:w="1540" w:type="dxa"/>
            <w:tcBorders>
              <w:top w:val="nil"/>
              <w:left w:val="nil"/>
              <w:bottom w:val="nil"/>
              <w:right w:val="nil"/>
            </w:tcBorders>
            <w:shd w:val="clear" w:color="auto" w:fill="auto"/>
            <w:noWrap/>
            <w:vAlign w:val="bottom"/>
            <w:hideMark/>
          </w:tcPr>
          <w:p w14:paraId="11FFD067" w14:textId="598A25ED" w:rsidR="001F5DA7" w:rsidRPr="001F5DA7" w:rsidRDefault="001F5DA7" w:rsidP="001F5DA7">
            <w:pPr>
              <w:jc w:val="right"/>
              <w:rPr>
                <w:rFonts w:eastAsia="Times New Roman" w:cs="Times New Roman"/>
              </w:rPr>
            </w:pPr>
            <w:r w:rsidRPr="001F5DA7">
              <w:rPr>
                <w:rFonts w:eastAsia="Times New Roman" w:cs="Times New Roman"/>
              </w:rPr>
              <w:t>0.047752</w:t>
            </w:r>
          </w:p>
        </w:tc>
        <w:tc>
          <w:tcPr>
            <w:tcW w:w="1700" w:type="dxa"/>
            <w:tcBorders>
              <w:top w:val="nil"/>
              <w:left w:val="nil"/>
              <w:bottom w:val="nil"/>
              <w:right w:val="nil"/>
            </w:tcBorders>
            <w:shd w:val="clear" w:color="auto" w:fill="auto"/>
            <w:noWrap/>
            <w:vAlign w:val="bottom"/>
            <w:hideMark/>
          </w:tcPr>
          <w:p w14:paraId="1DEAAF73" w14:textId="11D9A206" w:rsidR="001F5DA7" w:rsidRPr="001F5DA7" w:rsidRDefault="001F5DA7" w:rsidP="001F5DA7">
            <w:pPr>
              <w:jc w:val="right"/>
              <w:rPr>
                <w:rFonts w:eastAsia="Times New Roman" w:cs="Times New Roman"/>
              </w:rPr>
            </w:pPr>
            <w:r w:rsidRPr="001F5DA7">
              <w:rPr>
                <w:rFonts w:eastAsia="Times New Roman" w:cs="Times New Roman"/>
              </w:rPr>
              <w:t>0.006822</w:t>
            </w:r>
          </w:p>
        </w:tc>
        <w:tc>
          <w:tcPr>
            <w:tcW w:w="1460" w:type="dxa"/>
            <w:tcBorders>
              <w:top w:val="nil"/>
              <w:left w:val="nil"/>
              <w:bottom w:val="nil"/>
              <w:right w:val="nil"/>
            </w:tcBorders>
            <w:shd w:val="clear" w:color="auto" w:fill="auto"/>
            <w:noWrap/>
            <w:vAlign w:val="bottom"/>
            <w:hideMark/>
          </w:tcPr>
          <w:p w14:paraId="4F5992D0" w14:textId="0277A382" w:rsidR="001F5DA7" w:rsidRPr="001F5DA7" w:rsidRDefault="001F5DA7" w:rsidP="001F5DA7">
            <w:pPr>
              <w:jc w:val="right"/>
              <w:rPr>
                <w:rFonts w:eastAsia="Times New Roman" w:cs="Times New Roman"/>
              </w:rPr>
            </w:pPr>
            <w:r w:rsidRPr="001F5DA7">
              <w:rPr>
                <w:rFonts w:eastAsia="Times New Roman" w:cs="Times New Roman"/>
              </w:rPr>
              <w:t>1.040075</w:t>
            </w:r>
          </w:p>
        </w:tc>
        <w:tc>
          <w:tcPr>
            <w:tcW w:w="1281" w:type="dxa"/>
            <w:tcBorders>
              <w:top w:val="nil"/>
              <w:left w:val="nil"/>
              <w:bottom w:val="nil"/>
              <w:right w:val="nil"/>
            </w:tcBorders>
            <w:shd w:val="clear" w:color="auto" w:fill="auto"/>
            <w:noWrap/>
            <w:vAlign w:val="bottom"/>
            <w:hideMark/>
          </w:tcPr>
          <w:p w14:paraId="3A620CB4" w14:textId="1DE11155" w:rsidR="001F5DA7" w:rsidRPr="001F5DA7" w:rsidRDefault="001F5DA7" w:rsidP="001F5DA7">
            <w:pPr>
              <w:jc w:val="right"/>
              <w:rPr>
                <w:rFonts w:eastAsia="Times New Roman" w:cs="Times New Roman"/>
              </w:rPr>
            </w:pPr>
            <w:r w:rsidRPr="001F5DA7">
              <w:rPr>
                <w:rFonts w:eastAsia="Times New Roman" w:cs="Times New Roman"/>
              </w:rPr>
              <w:t>0.05577</w:t>
            </w:r>
          </w:p>
        </w:tc>
        <w:tc>
          <w:tcPr>
            <w:tcW w:w="1540" w:type="dxa"/>
            <w:tcBorders>
              <w:top w:val="nil"/>
              <w:left w:val="nil"/>
              <w:bottom w:val="nil"/>
              <w:right w:val="nil"/>
            </w:tcBorders>
            <w:shd w:val="clear" w:color="auto" w:fill="auto"/>
            <w:noWrap/>
            <w:vAlign w:val="bottom"/>
            <w:hideMark/>
          </w:tcPr>
          <w:p w14:paraId="5E8E38BE" w14:textId="0C18513F" w:rsidR="001F5DA7" w:rsidRPr="001F5DA7" w:rsidRDefault="001F5DA7" w:rsidP="001F5DA7">
            <w:pPr>
              <w:jc w:val="right"/>
              <w:rPr>
                <w:rFonts w:eastAsia="Times New Roman" w:cs="Times New Roman"/>
                <w:b/>
                <w:bCs/>
              </w:rPr>
            </w:pPr>
            <w:r w:rsidRPr="001F5DA7">
              <w:rPr>
                <w:rFonts w:eastAsia="Times New Roman" w:cs="Times New Roman"/>
              </w:rPr>
              <w:t>0.366</w:t>
            </w:r>
          </w:p>
        </w:tc>
      </w:tr>
      <w:tr w:rsidR="001F5DA7" w:rsidRPr="001F5DA7" w14:paraId="2669DCDD" w14:textId="77777777" w:rsidTr="001F5DA7">
        <w:trPr>
          <w:trHeight w:val="380"/>
        </w:trPr>
        <w:tc>
          <w:tcPr>
            <w:tcW w:w="2760" w:type="dxa"/>
            <w:tcBorders>
              <w:top w:val="nil"/>
              <w:left w:val="nil"/>
              <w:bottom w:val="nil"/>
              <w:right w:val="nil"/>
            </w:tcBorders>
            <w:shd w:val="clear" w:color="auto" w:fill="auto"/>
            <w:noWrap/>
            <w:vAlign w:val="bottom"/>
            <w:hideMark/>
          </w:tcPr>
          <w:p w14:paraId="2549B950" w14:textId="1D962C22" w:rsidR="001F5DA7" w:rsidRPr="001F5DA7" w:rsidRDefault="001F5DA7" w:rsidP="001F5DA7">
            <w:pPr>
              <w:rPr>
                <w:rFonts w:eastAsia="Times New Roman" w:cs="Times New Roman"/>
                <w:b/>
                <w:bCs/>
              </w:rPr>
            </w:pPr>
            <w:r w:rsidRPr="001F5DA7">
              <w:rPr>
                <w:rFonts w:eastAsia="Times New Roman" w:cs="Times New Roman"/>
                <w:b/>
                <w:bCs/>
              </w:rPr>
              <w:t>Blood meal richness</w:t>
            </w:r>
          </w:p>
        </w:tc>
        <w:tc>
          <w:tcPr>
            <w:tcW w:w="920" w:type="dxa"/>
            <w:tcBorders>
              <w:top w:val="nil"/>
              <w:left w:val="nil"/>
              <w:bottom w:val="nil"/>
              <w:right w:val="nil"/>
            </w:tcBorders>
            <w:shd w:val="clear" w:color="auto" w:fill="auto"/>
            <w:noWrap/>
            <w:vAlign w:val="bottom"/>
            <w:hideMark/>
          </w:tcPr>
          <w:p w14:paraId="18570982" w14:textId="027A5E12" w:rsidR="001F5DA7" w:rsidRPr="001F5DA7" w:rsidRDefault="001F5DA7" w:rsidP="001F5DA7">
            <w:pPr>
              <w:jc w:val="right"/>
              <w:rPr>
                <w:rFonts w:eastAsia="Times New Roman" w:cs="Times New Roman"/>
              </w:rPr>
            </w:pPr>
            <w:r w:rsidRPr="001F5DA7">
              <w:rPr>
                <w:rFonts w:eastAsia="Times New Roman" w:cs="Times New Roman"/>
              </w:rPr>
              <w:t>3</w:t>
            </w:r>
          </w:p>
        </w:tc>
        <w:tc>
          <w:tcPr>
            <w:tcW w:w="1540" w:type="dxa"/>
            <w:tcBorders>
              <w:top w:val="nil"/>
              <w:left w:val="nil"/>
              <w:bottom w:val="nil"/>
              <w:right w:val="nil"/>
            </w:tcBorders>
            <w:shd w:val="clear" w:color="auto" w:fill="auto"/>
            <w:noWrap/>
            <w:vAlign w:val="bottom"/>
            <w:hideMark/>
          </w:tcPr>
          <w:p w14:paraId="5E1472BA" w14:textId="2426886C" w:rsidR="001F5DA7" w:rsidRPr="001F5DA7" w:rsidRDefault="001F5DA7" w:rsidP="001F5DA7">
            <w:pPr>
              <w:jc w:val="right"/>
              <w:rPr>
                <w:rFonts w:eastAsia="Times New Roman" w:cs="Times New Roman"/>
              </w:rPr>
            </w:pPr>
            <w:r w:rsidRPr="001F5DA7">
              <w:rPr>
                <w:rFonts w:eastAsia="Times New Roman" w:cs="Times New Roman"/>
              </w:rPr>
              <w:t>0.037523</w:t>
            </w:r>
          </w:p>
        </w:tc>
        <w:tc>
          <w:tcPr>
            <w:tcW w:w="1700" w:type="dxa"/>
            <w:tcBorders>
              <w:top w:val="nil"/>
              <w:left w:val="nil"/>
              <w:bottom w:val="nil"/>
              <w:right w:val="nil"/>
            </w:tcBorders>
            <w:shd w:val="clear" w:color="auto" w:fill="auto"/>
            <w:noWrap/>
            <w:vAlign w:val="bottom"/>
            <w:hideMark/>
          </w:tcPr>
          <w:p w14:paraId="518233BE" w14:textId="0EA96DF3" w:rsidR="001F5DA7" w:rsidRPr="001F5DA7" w:rsidRDefault="001F5DA7" w:rsidP="001F5DA7">
            <w:pPr>
              <w:jc w:val="right"/>
              <w:rPr>
                <w:rFonts w:eastAsia="Times New Roman" w:cs="Times New Roman"/>
              </w:rPr>
            </w:pPr>
            <w:r w:rsidRPr="001F5DA7">
              <w:rPr>
                <w:rFonts w:eastAsia="Times New Roman" w:cs="Times New Roman"/>
              </w:rPr>
              <w:t>0.012508</w:t>
            </w:r>
          </w:p>
        </w:tc>
        <w:tc>
          <w:tcPr>
            <w:tcW w:w="1460" w:type="dxa"/>
            <w:tcBorders>
              <w:top w:val="nil"/>
              <w:left w:val="nil"/>
              <w:bottom w:val="nil"/>
              <w:right w:val="nil"/>
            </w:tcBorders>
            <w:shd w:val="clear" w:color="auto" w:fill="auto"/>
            <w:noWrap/>
            <w:vAlign w:val="bottom"/>
            <w:hideMark/>
          </w:tcPr>
          <w:p w14:paraId="0B07E8A0" w14:textId="351BF5C4" w:rsidR="001F5DA7" w:rsidRPr="001F5DA7" w:rsidRDefault="001F5DA7" w:rsidP="001F5DA7">
            <w:pPr>
              <w:jc w:val="right"/>
              <w:rPr>
                <w:rFonts w:eastAsia="Times New Roman" w:cs="Times New Roman"/>
              </w:rPr>
            </w:pPr>
            <w:r w:rsidRPr="001F5DA7">
              <w:rPr>
                <w:rFonts w:eastAsia="Times New Roman" w:cs="Times New Roman"/>
              </w:rPr>
              <w:t>1.906994</w:t>
            </w:r>
          </w:p>
        </w:tc>
        <w:tc>
          <w:tcPr>
            <w:tcW w:w="1281" w:type="dxa"/>
            <w:tcBorders>
              <w:top w:val="nil"/>
              <w:left w:val="nil"/>
              <w:bottom w:val="nil"/>
              <w:right w:val="nil"/>
            </w:tcBorders>
            <w:shd w:val="clear" w:color="auto" w:fill="auto"/>
            <w:noWrap/>
            <w:vAlign w:val="bottom"/>
            <w:hideMark/>
          </w:tcPr>
          <w:p w14:paraId="49740B7B" w14:textId="5C45B0FB" w:rsidR="001F5DA7" w:rsidRPr="001F5DA7" w:rsidRDefault="001F5DA7" w:rsidP="001F5DA7">
            <w:pPr>
              <w:jc w:val="right"/>
              <w:rPr>
                <w:rFonts w:eastAsia="Times New Roman" w:cs="Times New Roman"/>
              </w:rPr>
            </w:pPr>
            <w:r w:rsidRPr="001F5DA7">
              <w:rPr>
                <w:rFonts w:eastAsia="Times New Roman" w:cs="Times New Roman"/>
              </w:rPr>
              <w:t>0.043824</w:t>
            </w:r>
          </w:p>
        </w:tc>
        <w:tc>
          <w:tcPr>
            <w:tcW w:w="1540" w:type="dxa"/>
            <w:tcBorders>
              <w:top w:val="nil"/>
              <w:left w:val="nil"/>
              <w:bottom w:val="nil"/>
              <w:right w:val="nil"/>
            </w:tcBorders>
            <w:shd w:val="clear" w:color="auto" w:fill="auto"/>
            <w:noWrap/>
            <w:vAlign w:val="bottom"/>
            <w:hideMark/>
          </w:tcPr>
          <w:p w14:paraId="03E940DC" w14:textId="3368B82D" w:rsidR="001F5DA7" w:rsidRPr="001F5DA7" w:rsidRDefault="001F5DA7" w:rsidP="001F5DA7">
            <w:pPr>
              <w:jc w:val="right"/>
              <w:rPr>
                <w:rFonts w:eastAsia="Times New Roman" w:cs="Times New Roman"/>
              </w:rPr>
            </w:pPr>
            <w:r w:rsidRPr="001F5DA7">
              <w:rPr>
                <w:rFonts w:eastAsia="Times New Roman" w:cs="Times New Roman"/>
              </w:rPr>
              <w:t>0.051</w:t>
            </w:r>
          </w:p>
        </w:tc>
      </w:tr>
      <w:tr w:rsidR="001F5DA7" w:rsidRPr="001F5DA7" w14:paraId="2F55BACC" w14:textId="77777777" w:rsidTr="001F5DA7">
        <w:trPr>
          <w:trHeight w:val="380"/>
        </w:trPr>
        <w:tc>
          <w:tcPr>
            <w:tcW w:w="2760" w:type="dxa"/>
            <w:tcBorders>
              <w:top w:val="nil"/>
              <w:left w:val="nil"/>
              <w:bottom w:val="nil"/>
              <w:right w:val="nil"/>
            </w:tcBorders>
            <w:shd w:val="clear" w:color="auto" w:fill="auto"/>
            <w:noWrap/>
            <w:vAlign w:val="bottom"/>
            <w:hideMark/>
          </w:tcPr>
          <w:p w14:paraId="464AD2D1" w14:textId="4C2C51A1" w:rsidR="001F5DA7" w:rsidRPr="001F5DA7" w:rsidRDefault="001F5DA7" w:rsidP="001F5DA7">
            <w:pPr>
              <w:rPr>
                <w:rFonts w:eastAsia="Times New Roman" w:cs="Times New Roman"/>
                <w:b/>
                <w:bCs/>
              </w:rPr>
            </w:pPr>
            <w:r w:rsidRPr="001F5DA7">
              <w:rPr>
                <w:rFonts w:eastAsia="Times New Roman" w:cs="Times New Roman"/>
                <w:b/>
                <w:bCs/>
              </w:rPr>
              <w:t>Residuals</w:t>
            </w:r>
          </w:p>
        </w:tc>
        <w:tc>
          <w:tcPr>
            <w:tcW w:w="920" w:type="dxa"/>
            <w:tcBorders>
              <w:top w:val="nil"/>
              <w:left w:val="nil"/>
              <w:bottom w:val="nil"/>
              <w:right w:val="nil"/>
            </w:tcBorders>
            <w:shd w:val="clear" w:color="auto" w:fill="auto"/>
            <w:noWrap/>
            <w:vAlign w:val="bottom"/>
            <w:hideMark/>
          </w:tcPr>
          <w:p w14:paraId="3F866F2C" w14:textId="6C30FCAF" w:rsidR="001F5DA7" w:rsidRPr="001F5DA7" w:rsidRDefault="001F5DA7" w:rsidP="001F5DA7">
            <w:pPr>
              <w:jc w:val="right"/>
              <w:rPr>
                <w:rFonts w:eastAsia="Times New Roman" w:cs="Times New Roman"/>
              </w:rPr>
            </w:pPr>
            <w:r w:rsidRPr="001F5DA7">
              <w:rPr>
                <w:rFonts w:eastAsia="Times New Roman" w:cs="Times New Roman"/>
              </w:rPr>
              <w:t>52</w:t>
            </w:r>
          </w:p>
        </w:tc>
        <w:tc>
          <w:tcPr>
            <w:tcW w:w="1540" w:type="dxa"/>
            <w:tcBorders>
              <w:top w:val="nil"/>
              <w:left w:val="nil"/>
              <w:bottom w:val="nil"/>
              <w:right w:val="nil"/>
            </w:tcBorders>
            <w:shd w:val="clear" w:color="auto" w:fill="auto"/>
            <w:noWrap/>
            <w:vAlign w:val="bottom"/>
            <w:hideMark/>
          </w:tcPr>
          <w:p w14:paraId="2363BD42" w14:textId="67576398" w:rsidR="001F5DA7" w:rsidRPr="001F5DA7" w:rsidRDefault="001F5DA7" w:rsidP="001F5DA7">
            <w:pPr>
              <w:jc w:val="right"/>
              <w:rPr>
                <w:rFonts w:eastAsia="Times New Roman" w:cs="Times New Roman"/>
              </w:rPr>
            </w:pPr>
            <w:r w:rsidRPr="001F5DA7">
              <w:rPr>
                <w:rFonts w:eastAsia="Times New Roman" w:cs="Times New Roman"/>
              </w:rPr>
              <w:t>0.341058</w:t>
            </w:r>
          </w:p>
        </w:tc>
        <w:tc>
          <w:tcPr>
            <w:tcW w:w="1700" w:type="dxa"/>
            <w:tcBorders>
              <w:top w:val="nil"/>
              <w:left w:val="nil"/>
              <w:bottom w:val="nil"/>
              <w:right w:val="nil"/>
            </w:tcBorders>
            <w:shd w:val="clear" w:color="auto" w:fill="auto"/>
            <w:noWrap/>
            <w:vAlign w:val="bottom"/>
            <w:hideMark/>
          </w:tcPr>
          <w:p w14:paraId="44605163" w14:textId="4A713162" w:rsidR="001F5DA7" w:rsidRPr="001F5DA7" w:rsidRDefault="001F5DA7" w:rsidP="001F5DA7">
            <w:pPr>
              <w:jc w:val="right"/>
              <w:rPr>
                <w:rFonts w:eastAsia="Times New Roman" w:cs="Times New Roman"/>
              </w:rPr>
            </w:pPr>
            <w:r w:rsidRPr="001F5DA7">
              <w:rPr>
                <w:rFonts w:eastAsia="Times New Roman" w:cs="Times New Roman"/>
              </w:rPr>
              <w:t>0.006559</w:t>
            </w:r>
          </w:p>
        </w:tc>
        <w:tc>
          <w:tcPr>
            <w:tcW w:w="1460" w:type="dxa"/>
            <w:tcBorders>
              <w:top w:val="nil"/>
              <w:left w:val="nil"/>
              <w:bottom w:val="nil"/>
              <w:right w:val="nil"/>
            </w:tcBorders>
            <w:shd w:val="clear" w:color="auto" w:fill="auto"/>
            <w:noWrap/>
            <w:vAlign w:val="bottom"/>
            <w:hideMark/>
          </w:tcPr>
          <w:p w14:paraId="3E1F1696" w14:textId="1BB7F34A" w:rsidR="001F5DA7" w:rsidRPr="001F5DA7" w:rsidRDefault="001F5DA7" w:rsidP="001F5DA7">
            <w:pPr>
              <w:jc w:val="right"/>
              <w:rPr>
                <w:rFonts w:eastAsia="Times New Roman" w:cs="Times New Roman"/>
              </w:rPr>
            </w:pPr>
            <w:r w:rsidRPr="001F5DA7">
              <w:rPr>
                <w:rFonts w:eastAsia="Times New Roman" w:cs="Times New Roman"/>
              </w:rPr>
              <w:t>NaN</w:t>
            </w:r>
          </w:p>
        </w:tc>
        <w:tc>
          <w:tcPr>
            <w:tcW w:w="1281" w:type="dxa"/>
            <w:tcBorders>
              <w:top w:val="nil"/>
              <w:left w:val="nil"/>
              <w:bottom w:val="nil"/>
              <w:right w:val="nil"/>
            </w:tcBorders>
            <w:shd w:val="clear" w:color="auto" w:fill="auto"/>
            <w:noWrap/>
            <w:vAlign w:val="bottom"/>
            <w:hideMark/>
          </w:tcPr>
          <w:p w14:paraId="49B2473E" w14:textId="59F74370" w:rsidR="001F5DA7" w:rsidRPr="001F5DA7" w:rsidRDefault="001F5DA7" w:rsidP="001F5DA7">
            <w:pPr>
              <w:jc w:val="right"/>
              <w:rPr>
                <w:rFonts w:eastAsia="Times New Roman" w:cs="Times New Roman"/>
              </w:rPr>
            </w:pPr>
            <w:r w:rsidRPr="001F5DA7">
              <w:rPr>
                <w:rFonts w:eastAsia="Times New Roman" w:cs="Times New Roman"/>
              </w:rPr>
              <w:t>0.398329</w:t>
            </w:r>
          </w:p>
        </w:tc>
        <w:tc>
          <w:tcPr>
            <w:tcW w:w="1540" w:type="dxa"/>
            <w:tcBorders>
              <w:top w:val="nil"/>
              <w:left w:val="nil"/>
              <w:bottom w:val="nil"/>
              <w:right w:val="nil"/>
            </w:tcBorders>
            <w:shd w:val="clear" w:color="auto" w:fill="auto"/>
            <w:noWrap/>
            <w:vAlign w:val="bottom"/>
            <w:hideMark/>
          </w:tcPr>
          <w:p w14:paraId="5763EBB1" w14:textId="08437971" w:rsidR="001F5DA7" w:rsidRPr="001F5DA7" w:rsidRDefault="001F5DA7" w:rsidP="001F5DA7">
            <w:pPr>
              <w:jc w:val="right"/>
              <w:rPr>
                <w:rFonts w:eastAsia="Times New Roman" w:cs="Times New Roman"/>
              </w:rPr>
            </w:pPr>
            <w:r w:rsidRPr="001F5DA7">
              <w:rPr>
                <w:rFonts w:eastAsia="Times New Roman" w:cs="Times New Roman"/>
              </w:rPr>
              <w:t>NaN</w:t>
            </w:r>
          </w:p>
        </w:tc>
      </w:tr>
      <w:tr w:rsidR="001F5DA7" w:rsidRPr="001F5DA7" w14:paraId="56B649CA" w14:textId="77777777" w:rsidTr="001F5DA7">
        <w:trPr>
          <w:trHeight w:val="380"/>
        </w:trPr>
        <w:tc>
          <w:tcPr>
            <w:tcW w:w="2760" w:type="dxa"/>
            <w:tcBorders>
              <w:top w:val="nil"/>
              <w:left w:val="nil"/>
              <w:bottom w:val="nil"/>
              <w:right w:val="nil"/>
            </w:tcBorders>
            <w:shd w:val="clear" w:color="auto" w:fill="auto"/>
            <w:noWrap/>
            <w:vAlign w:val="bottom"/>
            <w:hideMark/>
          </w:tcPr>
          <w:p w14:paraId="06EBE141" w14:textId="6FEC5FF4" w:rsidR="001F5DA7" w:rsidRPr="001F5DA7" w:rsidRDefault="001F5DA7" w:rsidP="001F5DA7">
            <w:pPr>
              <w:rPr>
                <w:rFonts w:eastAsia="Times New Roman" w:cs="Times New Roman"/>
                <w:b/>
                <w:bCs/>
              </w:rPr>
            </w:pPr>
            <w:r w:rsidRPr="001F5DA7">
              <w:rPr>
                <w:rFonts w:eastAsia="Times New Roman" w:cs="Times New Roman"/>
                <w:b/>
                <w:bCs/>
              </w:rPr>
              <w:t>Total</w:t>
            </w:r>
          </w:p>
        </w:tc>
        <w:tc>
          <w:tcPr>
            <w:tcW w:w="920" w:type="dxa"/>
            <w:tcBorders>
              <w:top w:val="nil"/>
              <w:left w:val="nil"/>
              <w:bottom w:val="nil"/>
              <w:right w:val="nil"/>
            </w:tcBorders>
            <w:shd w:val="clear" w:color="auto" w:fill="auto"/>
            <w:noWrap/>
            <w:vAlign w:val="bottom"/>
            <w:hideMark/>
          </w:tcPr>
          <w:p w14:paraId="222D367C" w14:textId="18A7757B" w:rsidR="001F5DA7" w:rsidRPr="001F5DA7" w:rsidRDefault="001F5DA7" w:rsidP="001F5DA7">
            <w:pPr>
              <w:jc w:val="right"/>
              <w:rPr>
                <w:rFonts w:eastAsia="Times New Roman" w:cs="Times New Roman"/>
              </w:rPr>
            </w:pPr>
            <w:r w:rsidRPr="001F5DA7">
              <w:rPr>
                <w:rFonts w:eastAsia="Times New Roman" w:cs="Times New Roman"/>
              </w:rPr>
              <w:t>79</w:t>
            </w:r>
          </w:p>
        </w:tc>
        <w:tc>
          <w:tcPr>
            <w:tcW w:w="1540" w:type="dxa"/>
            <w:tcBorders>
              <w:top w:val="nil"/>
              <w:left w:val="nil"/>
              <w:bottom w:val="nil"/>
              <w:right w:val="nil"/>
            </w:tcBorders>
            <w:shd w:val="clear" w:color="auto" w:fill="auto"/>
            <w:noWrap/>
            <w:vAlign w:val="bottom"/>
            <w:hideMark/>
          </w:tcPr>
          <w:p w14:paraId="3B8FEB8B" w14:textId="5E0D7943" w:rsidR="001F5DA7" w:rsidRPr="001F5DA7" w:rsidRDefault="001F5DA7" w:rsidP="001F5DA7">
            <w:pPr>
              <w:jc w:val="right"/>
              <w:rPr>
                <w:rFonts w:eastAsia="Times New Roman" w:cs="Times New Roman"/>
              </w:rPr>
            </w:pPr>
            <w:r w:rsidRPr="001F5DA7">
              <w:rPr>
                <w:rFonts w:eastAsia="Times New Roman" w:cs="Times New Roman"/>
              </w:rPr>
              <w:t>0.856223</w:t>
            </w:r>
          </w:p>
        </w:tc>
        <w:tc>
          <w:tcPr>
            <w:tcW w:w="1700" w:type="dxa"/>
            <w:tcBorders>
              <w:top w:val="nil"/>
              <w:left w:val="nil"/>
              <w:bottom w:val="nil"/>
              <w:right w:val="nil"/>
            </w:tcBorders>
            <w:shd w:val="clear" w:color="auto" w:fill="auto"/>
            <w:noWrap/>
            <w:vAlign w:val="bottom"/>
            <w:hideMark/>
          </w:tcPr>
          <w:p w14:paraId="1B4C0BB0" w14:textId="6ADD831B" w:rsidR="001F5DA7" w:rsidRPr="001F5DA7" w:rsidRDefault="001F5DA7" w:rsidP="001F5DA7">
            <w:pPr>
              <w:jc w:val="right"/>
              <w:rPr>
                <w:rFonts w:eastAsia="Times New Roman" w:cs="Times New Roman"/>
              </w:rPr>
            </w:pPr>
            <w:r w:rsidRPr="001F5DA7">
              <w:rPr>
                <w:rFonts w:eastAsia="Times New Roman" w:cs="Times New Roman"/>
              </w:rPr>
              <w:t>NaN</w:t>
            </w:r>
          </w:p>
        </w:tc>
        <w:tc>
          <w:tcPr>
            <w:tcW w:w="1460" w:type="dxa"/>
            <w:tcBorders>
              <w:top w:val="nil"/>
              <w:left w:val="nil"/>
              <w:bottom w:val="nil"/>
              <w:right w:val="nil"/>
            </w:tcBorders>
            <w:shd w:val="clear" w:color="auto" w:fill="auto"/>
            <w:noWrap/>
            <w:vAlign w:val="bottom"/>
            <w:hideMark/>
          </w:tcPr>
          <w:p w14:paraId="4F6930C2" w14:textId="2190768E" w:rsidR="001F5DA7" w:rsidRPr="001F5DA7" w:rsidRDefault="001F5DA7" w:rsidP="001F5DA7">
            <w:pPr>
              <w:jc w:val="right"/>
              <w:rPr>
                <w:rFonts w:eastAsia="Times New Roman" w:cs="Times New Roman"/>
              </w:rPr>
            </w:pPr>
            <w:r w:rsidRPr="001F5DA7">
              <w:rPr>
                <w:rFonts w:eastAsia="Times New Roman" w:cs="Times New Roman"/>
              </w:rPr>
              <w:t>NaN</w:t>
            </w:r>
          </w:p>
        </w:tc>
        <w:tc>
          <w:tcPr>
            <w:tcW w:w="1281" w:type="dxa"/>
            <w:tcBorders>
              <w:top w:val="nil"/>
              <w:left w:val="nil"/>
              <w:bottom w:val="nil"/>
              <w:right w:val="nil"/>
            </w:tcBorders>
            <w:shd w:val="clear" w:color="auto" w:fill="auto"/>
            <w:noWrap/>
            <w:vAlign w:val="bottom"/>
            <w:hideMark/>
          </w:tcPr>
          <w:p w14:paraId="118069CE" w14:textId="0CDAF07F" w:rsidR="001F5DA7" w:rsidRPr="001F5DA7" w:rsidRDefault="001F5DA7" w:rsidP="001F5DA7">
            <w:pPr>
              <w:jc w:val="right"/>
              <w:rPr>
                <w:rFonts w:eastAsia="Times New Roman" w:cs="Times New Roman"/>
              </w:rPr>
            </w:pPr>
            <w:r w:rsidRPr="001F5DA7">
              <w:rPr>
                <w:rFonts w:eastAsia="Times New Roman" w:cs="Times New Roman"/>
              </w:rPr>
              <w:t>1</w:t>
            </w:r>
          </w:p>
        </w:tc>
        <w:tc>
          <w:tcPr>
            <w:tcW w:w="1540" w:type="dxa"/>
            <w:tcBorders>
              <w:top w:val="nil"/>
              <w:left w:val="nil"/>
              <w:bottom w:val="nil"/>
              <w:right w:val="nil"/>
            </w:tcBorders>
            <w:shd w:val="clear" w:color="auto" w:fill="auto"/>
            <w:noWrap/>
            <w:vAlign w:val="bottom"/>
            <w:hideMark/>
          </w:tcPr>
          <w:p w14:paraId="0667C9D3" w14:textId="785842A0" w:rsidR="001F5DA7" w:rsidRPr="001F5DA7" w:rsidRDefault="001F5DA7" w:rsidP="001F5DA7">
            <w:pPr>
              <w:jc w:val="right"/>
              <w:rPr>
                <w:rFonts w:eastAsia="Times New Roman" w:cs="Times New Roman"/>
              </w:rPr>
            </w:pPr>
            <w:r w:rsidRPr="001F5DA7">
              <w:rPr>
                <w:rFonts w:eastAsia="Times New Roman" w:cs="Times New Roman"/>
              </w:rPr>
              <w:t>NaN</w:t>
            </w:r>
          </w:p>
        </w:tc>
      </w:tr>
      <w:tr w:rsidR="001F5DA7" w:rsidRPr="001F5DA7" w14:paraId="23DCDCAF" w14:textId="77777777" w:rsidTr="001F5DA7">
        <w:trPr>
          <w:trHeight w:val="380"/>
        </w:trPr>
        <w:tc>
          <w:tcPr>
            <w:tcW w:w="2760" w:type="dxa"/>
            <w:tcBorders>
              <w:top w:val="nil"/>
              <w:left w:val="nil"/>
              <w:bottom w:val="nil"/>
              <w:right w:val="nil"/>
            </w:tcBorders>
            <w:shd w:val="clear" w:color="auto" w:fill="auto"/>
            <w:noWrap/>
            <w:vAlign w:val="bottom"/>
            <w:hideMark/>
          </w:tcPr>
          <w:p w14:paraId="2A39B5AF" w14:textId="6D00E052" w:rsidR="001F5DA7" w:rsidRPr="001F5DA7" w:rsidRDefault="001F5DA7" w:rsidP="001F5DA7">
            <w:pPr>
              <w:rPr>
                <w:rFonts w:eastAsia="Times New Roman" w:cs="Times New Roman"/>
                <w:b/>
                <w:bCs/>
              </w:rPr>
            </w:pPr>
          </w:p>
        </w:tc>
        <w:tc>
          <w:tcPr>
            <w:tcW w:w="920" w:type="dxa"/>
            <w:tcBorders>
              <w:top w:val="nil"/>
              <w:left w:val="nil"/>
              <w:bottom w:val="nil"/>
              <w:right w:val="nil"/>
            </w:tcBorders>
            <w:shd w:val="clear" w:color="auto" w:fill="auto"/>
            <w:noWrap/>
            <w:vAlign w:val="bottom"/>
            <w:hideMark/>
          </w:tcPr>
          <w:p w14:paraId="02FBB240" w14:textId="55AA8EB7" w:rsidR="001F5DA7" w:rsidRPr="001F5DA7" w:rsidRDefault="001F5DA7" w:rsidP="001F5DA7">
            <w:pPr>
              <w:jc w:val="right"/>
              <w:rPr>
                <w:rFonts w:eastAsia="Times New Roman" w:cs="Times New Roman"/>
              </w:rPr>
            </w:pPr>
          </w:p>
        </w:tc>
        <w:tc>
          <w:tcPr>
            <w:tcW w:w="1540" w:type="dxa"/>
            <w:tcBorders>
              <w:top w:val="nil"/>
              <w:left w:val="nil"/>
              <w:bottom w:val="nil"/>
              <w:right w:val="nil"/>
            </w:tcBorders>
            <w:shd w:val="clear" w:color="auto" w:fill="auto"/>
            <w:noWrap/>
            <w:vAlign w:val="bottom"/>
            <w:hideMark/>
          </w:tcPr>
          <w:p w14:paraId="0CF1F328" w14:textId="0B31F619" w:rsidR="001F5DA7" w:rsidRPr="001F5DA7" w:rsidRDefault="001F5DA7" w:rsidP="001F5DA7">
            <w:pPr>
              <w:jc w:val="right"/>
              <w:rPr>
                <w:rFonts w:eastAsia="Times New Roman" w:cs="Times New Roman"/>
              </w:rPr>
            </w:pPr>
          </w:p>
        </w:tc>
        <w:tc>
          <w:tcPr>
            <w:tcW w:w="1700" w:type="dxa"/>
            <w:tcBorders>
              <w:top w:val="nil"/>
              <w:left w:val="nil"/>
              <w:bottom w:val="nil"/>
              <w:right w:val="nil"/>
            </w:tcBorders>
            <w:shd w:val="clear" w:color="auto" w:fill="auto"/>
            <w:noWrap/>
            <w:vAlign w:val="bottom"/>
            <w:hideMark/>
          </w:tcPr>
          <w:p w14:paraId="3909F7F6" w14:textId="16BADAFA" w:rsidR="001F5DA7" w:rsidRPr="001F5DA7" w:rsidRDefault="001F5DA7" w:rsidP="001F5DA7">
            <w:pPr>
              <w:jc w:val="right"/>
              <w:rPr>
                <w:rFonts w:eastAsia="Times New Roman" w:cs="Times New Roman"/>
              </w:rPr>
            </w:pPr>
          </w:p>
        </w:tc>
        <w:tc>
          <w:tcPr>
            <w:tcW w:w="1460" w:type="dxa"/>
            <w:tcBorders>
              <w:top w:val="nil"/>
              <w:left w:val="nil"/>
              <w:bottom w:val="nil"/>
              <w:right w:val="nil"/>
            </w:tcBorders>
            <w:shd w:val="clear" w:color="auto" w:fill="auto"/>
            <w:noWrap/>
            <w:vAlign w:val="bottom"/>
            <w:hideMark/>
          </w:tcPr>
          <w:p w14:paraId="4E7A6C34" w14:textId="196F5DA6" w:rsidR="001F5DA7" w:rsidRPr="001F5DA7" w:rsidRDefault="001F5DA7" w:rsidP="001F5DA7">
            <w:pPr>
              <w:jc w:val="right"/>
              <w:rPr>
                <w:rFonts w:eastAsia="Times New Roman" w:cs="Times New Roman"/>
              </w:rPr>
            </w:pPr>
          </w:p>
        </w:tc>
        <w:tc>
          <w:tcPr>
            <w:tcW w:w="1281" w:type="dxa"/>
            <w:tcBorders>
              <w:top w:val="nil"/>
              <w:left w:val="nil"/>
              <w:bottom w:val="nil"/>
              <w:right w:val="nil"/>
            </w:tcBorders>
            <w:shd w:val="clear" w:color="auto" w:fill="auto"/>
            <w:noWrap/>
            <w:vAlign w:val="bottom"/>
            <w:hideMark/>
          </w:tcPr>
          <w:p w14:paraId="4995DB42" w14:textId="60685EF4" w:rsidR="001F5DA7" w:rsidRPr="001F5DA7" w:rsidRDefault="001F5DA7" w:rsidP="001F5DA7">
            <w:pPr>
              <w:jc w:val="right"/>
              <w:rPr>
                <w:rFonts w:eastAsia="Times New Roman" w:cs="Times New Roman"/>
              </w:rPr>
            </w:pPr>
          </w:p>
        </w:tc>
        <w:tc>
          <w:tcPr>
            <w:tcW w:w="1540" w:type="dxa"/>
            <w:tcBorders>
              <w:top w:val="nil"/>
              <w:left w:val="nil"/>
              <w:bottom w:val="nil"/>
              <w:right w:val="nil"/>
            </w:tcBorders>
            <w:shd w:val="clear" w:color="auto" w:fill="auto"/>
            <w:noWrap/>
            <w:vAlign w:val="bottom"/>
            <w:hideMark/>
          </w:tcPr>
          <w:p w14:paraId="1509610D" w14:textId="1F0F9294" w:rsidR="001F5DA7" w:rsidRPr="001F5DA7" w:rsidRDefault="001F5DA7" w:rsidP="001F5DA7">
            <w:pPr>
              <w:jc w:val="right"/>
              <w:rPr>
                <w:rFonts w:eastAsia="Times New Roman" w:cs="Times New Roman"/>
              </w:rPr>
            </w:pPr>
          </w:p>
        </w:tc>
      </w:tr>
    </w:tbl>
    <w:p w14:paraId="16BD5ED1" w14:textId="5D8E1BA4" w:rsidR="001F5DA7" w:rsidRPr="00A53C1D" w:rsidRDefault="00283EB3" w:rsidP="001F5DA7">
      <w:pPr>
        <w:rPr>
          <w:rFonts w:cs="Times New Roman"/>
          <w:b/>
          <w:bCs/>
        </w:rPr>
      </w:pPr>
      <w:r w:rsidRPr="00A53C1D">
        <w:rPr>
          <w:rFonts w:cs="Times New Roman"/>
          <w:b/>
          <w:bCs/>
        </w:rPr>
        <w:lastRenderedPageBreak/>
        <w:t>T</w:t>
      </w:r>
      <w:r w:rsidR="001F5DA7" w:rsidRPr="00A53C1D">
        <w:rPr>
          <w:rFonts w:cs="Times New Roman"/>
          <w:b/>
          <w:bCs/>
        </w:rPr>
        <w:t xml:space="preserve">able </w:t>
      </w:r>
      <w:r w:rsidR="00FD07E9">
        <w:rPr>
          <w:rFonts w:cs="Times New Roman"/>
          <w:b/>
          <w:bCs/>
        </w:rPr>
        <w:t>3.</w:t>
      </w:r>
      <w:r w:rsidR="001F5DA7" w:rsidRPr="00A53C1D">
        <w:rPr>
          <w:rFonts w:cs="Times New Roman"/>
          <w:b/>
          <w:bCs/>
        </w:rPr>
        <w:t>20 PERMANOVAs testing the effects of habitat type, blood meal type, and blood meal richness on community composition (unweighted) and structure (weighted) across Veraguas palms after accounting for palm identity and developmental stage</w:t>
      </w:r>
    </w:p>
    <w:p w14:paraId="5130B172" w14:textId="79EB3A29" w:rsidR="00DF7BE4" w:rsidRPr="00A53C1D" w:rsidRDefault="001F5DA7" w:rsidP="001F5DA7">
      <w:pPr>
        <w:rPr>
          <w:rFonts w:cs="Times New Roman"/>
        </w:rPr>
      </w:pPr>
      <w:r w:rsidRPr="00A53C1D">
        <w:rPr>
          <w:rFonts w:cs="Times New Roman"/>
        </w:rPr>
        <w:t>Results highlighted in boldface indicate p-values of less than 0.05.</w:t>
      </w:r>
    </w:p>
    <w:p w14:paraId="45C6757F" w14:textId="77777777" w:rsidR="005B7244" w:rsidRPr="00A53C1D" w:rsidRDefault="005B7244" w:rsidP="001F5DA7">
      <w:pPr>
        <w:rPr>
          <w:rFonts w:cs="Times New Roman"/>
        </w:rPr>
      </w:pPr>
    </w:p>
    <w:tbl>
      <w:tblPr>
        <w:tblW w:w="11840" w:type="dxa"/>
        <w:tblLook w:val="04A0" w:firstRow="1" w:lastRow="0" w:firstColumn="1" w:lastColumn="0" w:noHBand="0" w:noVBand="1"/>
      </w:tblPr>
      <w:tblGrid>
        <w:gridCol w:w="2920"/>
        <w:gridCol w:w="1080"/>
        <w:gridCol w:w="1680"/>
        <w:gridCol w:w="1480"/>
        <w:gridCol w:w="1840"/>
        <w:gridCol w:w="1340"/>
        <w:gridCol w:w="1500"/>
      </w:tblGrid>
      <w:tr w:rsidR="00283EB3" w:rsidRPr="00283EB3" w14:paraId="244B9A7B" w14:textId="77777777" w:rsidTr="00283EB3">
        <w:trPr>
          <w:trHeight w:val="380"/>
        </w:trPr>
        <w:tc>
          <w:tcPr>
            <w:tcW w:w="2920" w:type="dxa"/>
            <w:tcBorders>
              <w:top w:val="nil"/>
              <w:left w:val="nil"/>
              <w:bottom w:val="nil"/>
              <w:right w:val="nil"/>
            </w:tcBorders>
            <w:shd w:val="clear" w:color="auto" w:fill="auto"/>
            <w:noWrap/>
            <w:vAlign w:val="bottom"/>
            <w:hideMark/>
          </w:tcPr>
          <w:p w14:paraId="6CF98BAB" w14:textId="77777777" w:rsidR="00283EB3" w:rsidRPr="00283EB3" w:rsidRDefault="00283EB3" w:rsidP="00283EB3">
            <w:pPr>
              <w:rPr>
                <w:rFonts w:eastAsia="Times New Roman" w:cs="Times New Roman"/>
                <w:b/>
                <w:bCs/>
              </w:rPr>
            </w:pPr>
            <w:r w:rsidRPr="00283EB3">
              <w:rPr>
                <w:rFonts w:eastAsia="Times New Roman" w:cs="Times New Roman"/>
                <w:b/>
                <w:bCs/>
              </w:rPr>
              <w:t>Unweighted UniFrac</w:t>
            </w:r>
          </w:p>
        </w:tc>
        <w:tc>
          <w:tcPr>
            <w:tcW w:w="1080" w:type="dxa"/>
            <w:tcBorders>
              <w:top w:val="nil"/>
              <w:left w:val="nil"/>
              <w:bottom w:val="nil"/>
              <w:right w:val="nil"/>
            </w:tcBorders>
            <w:shd w:val="clear" w:color="auto" w:fill="auto"/>
            <w:noWrap/>
            <w:vAlign w:val="bottom"/>
            <w:hideMark/>
          </w:tcPr>
          <w:p w14:paraId="3C70210C" w14:textId="77777777" w:rsidR="00283EB3" w:rsidRPr="00283EB3" w:rsidRDefault="00283EB3" w:rsidP="00283EB3">
            <w:pPr>
              <w:rPr>
                <w:rFonts w:eastAsia="Times New Roman" w:cs="Times New Roman"/>
                <w:b/>
                <w:bCs/>
              </w:rPr>
            </w:pPr>
          </w:p>
        </w:tc>
        <w:tc>
          <w:tcPr>
            <w:tcW w:w="1680" w:type="dxa"/>
            <w:tcBorders>
              <w:top w:val="nil"/>
              <w:left w:val="nil"/>
              <w:bottom w:val="nil"/>
              <w:right w:val="nil"/>
            </w:tcBorders>
            <w:shd w:val="clear" w:color="auto" w:fill="auto"/>
            <w:noWrap/>
            <w:vAlign w:val="bottom"/>
            <w:hideMark/>
          </w:tcPr>
          <w:p w14:paraId="34B0A200" w14:textId="77777777" w:rsidR="00283EB3" w:rsidRPr="00283EB3" w:rsidRDefault="00283EB3" w:rsidP="00283EB3">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7743AF44" w14:textId="77777777" w:rsidR="00283EB3" w:rsidRPr="00283EB3" w:rsidRDefault="00283EB3" w:rsidP="00283EB3">
            <w:pPr>
              <w:rPr>
                <w:rFonts w:eastAsia="Times New Roman" w:cs="Times New Roman"/>
              </w:rPr>
            </w:pPr>
          </w:p>
        </w:tc>
        <w:tc>
          <w:tcPr>
            <w:tcW w:w="1840" w:type="dxa"/>
            <w:tcBorders>
              <w:top w:val="nil"/>
              <w:left w:val="nil"/>
              <w:bottom w:val="nil"/>
              <w:right w:val="nil"/>
            </w:tcBorders>
            <w:shd w:val="clear" w:color="auto" w:fill="auto"/>
            <w:noWrap/>
            <w:vAlign w:val="bottom"/>
            <w:hideMark/>
          </w:tcPr>
          <w:p w14:paraId="7AA7B8AA" w14:textId="77777777" w:rsidR="00283EB3" w:rsidRPr="00283EB3" w:rsidRDefault="00283EB3" w:rsidP="00283EB3">
            <w:pPr>
              <w:rPr>
                <w:rFonts w:eastAsia="Times New Roman" w:cs="Times New Roman"/>
              </w:rPr>
            </w:pPr>
          </w:p>
        </w:tc>
        <w:tc>
          <w:tcPr>
            <w:tcW w:w="1340" w:type="dxa"/>
            <w:tcBorders>
              <w:top w:val="nil"/>
              <w:left w:val="nil"/>
              <w:bottom w:val="nil"/>
              <w:right w:val="nil"/>
            </w:tcBorders>
            <w:shd w:val="clear" w:color="auto" w:fill="auto"/>
            <w:noWrap/>
            <w:vAlign w:val="bottom"/>
            <w:hideMark/>
          </w:tcPr>
          <w:p w14:paraId="0F64406E" w14:textId="77777777" w:rsidR="00283EB3" w:rsidRPr="00283EB3" w:rsidRDefault="00283EB3" w:rsidP="00283EB3">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14087A61" w14:textId="77777777" w:rsidR="00283EB3" w:rsidRPr="00283EB3" w:rsidRDefault="00283EB3" w:rsidP="00283EB3">
            <w:pPr>
              <w:rPr>
                <w:rFonts w:eastAsia="Times New Roman" w:cs="Times New Roman"/>
              </w:rPr>
            </w:pPr>
          </w:p>
        </w:tc>
      </w:tr>
      <w:tr w:rsidR="00283EB3" w:rsidRPr="00283EB3" w14:paraId="3991DBC6" w14:textId="77777777" w:rsidTr="00283EB3">
        <w:trPr>
          <w:trHeight w:val="380"/>
        </w:trPr>
        <w:tc>
          <w:tcPr>
            <w:tcW w:w="2920" w:type="dxa"/>
            <w:tcBorders>
              <w:top w:val="nil"/>
              <w:left w:val="nil"/>
              <w:bottom w:val="single" w:sz="4" w:space="0" w:color="auto"/>
              <w:right w:val="nil"/>
            </w:tcBorders>
            <w:shd w:val="clear" w:color="auto" w:fill="auto"/>
            <w:noWrap/>
            <w:vAlign w:val="bottom"/>
            <w:hideMark/>
          </w:tcPr>
          <w:p w14:paraId="03721FDA" w14:textId="77777777" w:rsidR="00283EB3" w:rsidRPr="00283EB3" w:rsidRDefault="00283EB3" w:rsidP="00283EB3">
            <w:pPr>
              <w:rPr>
                <w:rFonts w:eastAsia="Times New Roman" w:cs="Times New Roman"/>
              </w:rPr>
            </w:pPr>
            <w:r w:rsidRPr="00283EB3">
              <w:rPr>
                <w:rFonts w:eastAsia="Times New Roman" w:cs="Times New Roman"/>
              </w:rPr>
              <w:t> </w:t>
            </w:r>
          </w:p>
        </w:tc>
        <w:tc>
          <w:tcPr>
            <w:tcW w:w="1080" w:type="dxa"/>
            <w:tcBorders>
              <w:top w:val="nil"/>
              <w:left w:val="nil"/>
              <w:bottom w:val="single" w:sz="4" w:space="0" w:color="auto"/>
              <w:right w:val="nil"/>
            </w:tcBorders>
            <w:shd w:val="clear" w:color="auto" w:fill="auto"/>
            <w:noWrap/>
            <w:vAlign w:val="bottom"/>
            <w:hideMark/>
          </w:tcPr>
          <w:p w14:paraId="4C3CA664" w14:textId="77777777" w:rsidR="00283EB3" w:rsidRPr="00283EB3" w:rsidRDefault="00283EB3" w:rsidP="00283EB3">
            <w:pPr>
              <w:rPr>
                <w:rFonts w:eastAsia="Times New Roman" w:cs="Times New Roman"/>
                <w:b/>
                <w:bCs/>
              </w:rPr>
            </w:pPr>
            <w:r w:rsidRPr="00283EB3">
              <w:rPr>
                <w:rFonts w:eastAsia="Times New Roman" w:cs="Times New Roman"/>
                <w:b/>
                <w:bCs/>
              </w:rPr>
              <w:t>Df</w:t>
            </w:r>
          </w:p>
        </w:tc>
        <w:tc>
          <w:tcPr>
            <w:tcW w:w="1680" w:type="dxa"/>
            <w:tcBorders>
              <w:top w:val="nil"/>
              <w:left w:val="nil"/>
              <w:bottom w:val="single" w:sz="4" w:space="0" w:color="auto"/>
              <w:right w:val="nil"/>
            </w:tcBorders>
            <w:shd w:val="clear" w:color="auto" w:fill="auto"/>
            <w:noWrap/>
            <w:vAlign w:val="bottom"/>
            <w:hideMark/>
          </w:tcPr>
          <w:p w14:paraId="4DC82D02" w14:textId="77777777" w:rsidR="00283EB3" w:rsidRPr="00283EB3" w:rsidRDefault="00283EB3" w:rsidP="00283EB3">
            <w:pPr>
              <w:rPr>
                <w:rFonts w:eastAsia="Times New Roman" w:cs="Times New Roman"/>
                <w:b/>
                <w:bCs/>
              </w:rPr>
            </w:pPr>
            <w:r w:rsidRPr="00283EB3">
              <w:rPr>
                <w:rFonts w:eastAsia="Times New Roman" w:cs="Times New Roman"/>
                <w:b/>
                <w:bCs/>
              </w:rPr>
              <w:t>SumsOfSqs</w:t>
            </w:r>
          </w:p>
        </w:tc>
        <w:tc>
          <w:tcPr>
            <w:tcW w:w="1480" w:type="dxa"/>
            <w:tcBorders>
              <w:top w:val="nil"/>
              <w:left w:val="nil"/>
              <w:bottom w:val="single" w:sz="4" w:space="0" w:color="auto"/>
              <w:right w:val="nil"/>
            </w:tcBorders>
            <w:shd w:val="clear" w:color="auto" w:fill="auto"/>
            <w:noWrap/>
            <w:vAlign w:val="bottom"/>
            <w:hideMark/>
          </w:tcPr>
          <w:p w14:paraId="13738809" w14:textId="77777777" w:rsidR="00283EB3" w:rsidRPr="00283EB3" w:rsidRDefault="00283EB3" w:rsidP="00283EB3">
            <w:pPr>
              <w:rPr>
                <w:rFonts w:eastAsia="Times New Roman" w:cs="Times New Roman"/>
                <w:b/>
                <w:bCs/>
              </w:rPr>
            </w:pPr>
            <w:r w:rsidRPr="00283EB3">
              <w:rPr>
                <w:rFonts w:eastAsia="Times New Roman" w:cs="Times New Roman"/>
                <w:b/>
                <w:bCs/>
              </w:rPr>
              <w:t>MeanSqs</w:t>
            </w:r>
          </w:p>
        </w:tc>
        <w:tc>
          <w:tcPr>
            <w:tcW w:w="1840" w:type="dxa"/>
            <w:tcBorders>
              <w:top w:val="nil"/>
              <w:left w:val="nil"/>
              <w:bottom w:val="single" w:sz="4" w:space="0" w:color="auto"/>
              <w:right w:val="nil"/>
            </w:tcBorders>
            <w:shd w:val="clear" w:color="auto" w:fill="auto"/>
            <w:noWrap/>
            <w:vAlign w:val="bottom"/>
            <w:hideMark/>
          </w:tcPr>
          <w:p w14:paraId="523680BC" w14:textId="77777777" w:rsidR="00283EB3" w:rsidRPr="00283EB3" w:rsidRDefault="00283EB3" w:rsidP="00283EB3">
            <w:pPr>
              <w:rPr>
                <w:rFonts w:eastAsia="Times New Roman" w:cs="Times New Roman"/>
                <w:b/>
                <w:bCs/>
              </w:rPr>
            </w:pPr>
            <w:r w:rsidRPr="00283EB3">
              <w:rPr>
                <w:rFonts w:eastAsia="Times New Roman" w:cs="Times New Roman"/>
                <w:b/>
                <w:bCs/>
              </w:rPr>
              <w:t>F.Model</w:t>
            </w:r>
          </w:p>
        </w:tc>
        <w:tc>
          <w:tcPr>
            <w:tcW w:w="1340" w:type="dxa"/>
            <w:tcBorders>
              <w:top w:val="nil"/>
              <w:left w:val="nil"/>
              <w:bottom w:val="single" w:sz="4" w:space="0" w:color="auto"/>
              <w:right w:val="nil"/>
            </w:tcBorders>
            <w:shd w:val="clear" w:color="auto" w:fill="auto"/>
            <w:noWrap/>
            <w:vAlign w:val="bottom"/>
            <w:hideMark/>
          </w:tcPr>
          <w:p w14:paraId="0FF5805F" w14:textId="77777777" w:rsidR="00283EB3" w:rsidRPr="00283EB3" w:rsidRDefault="00283EB3" w:rsidP="00283EB3">
            <w:pPr>
              <w:rPr>
                <w:rFonts w:eastAsia="Times New Roman" w:cs="Times New Roman"/>
                <w:b/>
                <w:bCs/>
              </w:rPr>
            </w:pPr>
            <w:r w:rsidRPr="00283EB3">
              <w:rPr>
                <w:rFonts w:eastAsia="Times New Roman" w:cs="Times New Roman"/>
                <w:b/>
                <w:bCs/>
              </w:rPr>
              <w:t>R2</w:t>
            </w:r>
          </w:p>
        </w:tc>
        <w:tc>
          <w:tcPr>
            <w:tcW w:w="1500" w:type="dxa"/>
            <w:tcBorders>
              <w:top w:val="nil"/>
              <w:left w:val="nil"/>
              <w:bottom w:val="single" w:sz="4" w:space="0" w:color="auto"/>
              <w:right w:val="nil"/>
            </w:tcBorders>
            <w:shd w:val="clear" w:color="auto" w:fill="auto"/>
            <w:noWrap/>
            <w:vAlign w:val="bottom"/>
            <w:hideMark/>
          </w:tcPr>
          <w:p w14:paraId="584A6858" w14:textId="77777777" w:rsidR="00283EB3" w:rsidRPr="00283EB3" w:rsidRDefault="00283EB3" w:rsidP="00283EB3">
            <w:pPr>
              <w:rPr>
                <w:rFonts w:eastAsia="Times New Roman" w:cs="Times New Roman"/>
                <w:b/>
                <w:bCs/>
              </w:rPr>
            </w:pPr>
            <w:r w:rsidRPr="00283EB3">
              <w:rPr>
                <w:rFonts w:eastAsia="Times New Roman" w:cs="Times New Roman"/>
                <w:b/>
                <w:bCs/>
              </w:rPr>
              <w:t>p-value</w:t>
            </w:r>
          </w:p>
        </w:tc>
      </w:tr>
      <w:tr w:rsidR="00283EB3" w:rsidRPr="00283EB3" w14:paraId="5600C2B8" w14:textId="77777777" w:rsidTr="00283EB3">
        <w:trPr>
          <w:trHeight w:val="380"/>
        </w:trPr>
        <w:tc>
          <w:tcPr>
            <w:tcW w:w="2920" w:type="dxa"/>
            <w:tcBorders>
              <w:top w:val="nil"/>
              <w:left w:val="nil"/>
              <w:bottom w:val="nil"/>
              <w:right w:val="nil"/>
            </w:tcBorders>
            <w:shd w:val="clear" w:color="auto" w:fill="auto"/>
            <w:noWrap/>
            <w:vAlign w:val="bottom"/>
            <w:hideMark/>
          </w:tcPr>
          <w:p w14:paraId="2BA912AC" w14:textId="77777777" w:rsidR="00283EB3" w:rsidRPr="00283EB3" w:rsidRDefault="00283EB3" w:rsidP="00283EB3">
            <w:pPr>
              <w:rPr>
                <w:rFonts w:eastAsia="Times New Roman" w:cs="Times New Roman"/>
                <w:b/>
                <w:bCs/>
              </w:rPr>
            </w:pPr>
            <w:r w:rsidRPr="00283EB3">
              <w:rPr>
                <w:rFonts w:eastAsia="Times New Roman" w:cs="Times New Roman"/>
                <w:b/>
                <w:bCs/>
              </w:rPr>
              <w:t>Palm identity</w:t>
            </w:r>
          </w:p>
        </w:tc>
        <w:tc>
          <w:tcPr>
            <w:tcW w:w="1080" w:type="dxa"/>
            <w:tcBorders>
              <w:top w:val="nil"/>
              <w:left w:val="nil"/>
              <w:bottom w:val="nil"/>
              <w:right w:val="nil"/>
            </w:tcBorders>
            <w:shd w:val="clear" w:color="auto" w:fill="auto"/>
            <w:noWrap/>
            <w:vAlign w:val="bottom"/>
            <w:hideMark/>
          </w:tcPr>
          <w:p w14:paraId="103E1EDD" w14:textId="77777777" w:rsidR="00283EB3" w:rsidRPr="00283EB3" w:rsidRDefault="00283EB3" w:rsidP="00283EB3">
            <w:pPr>
              <w:jc w:val="right"/>
              <w:rPr>
                <w:rFonts w:eastAsia="Times New Roman" w:cs="Times New Roman"/>
              </w:rPr>
            </w:pPr>
            <w:r w:rsidRPr="00283EB3">
              <w:rPr>
                <w:rFonts w:eastAsia="Times New Roman" w:cs="Times New Roman"/>
              </w:rPr>
              <w:t>12</w:t>
            </w:r>
          </w:p>
        </w:tc>
        <w:tc>
          <w:tcPr>
            <w:tcW w:w="1680" w:type="dxa"/>
            <w:tcBorders>
              <w:top w:val="nil"/>
              <w:left w:val="nil"/>
              <w:bottom w:val="nil"/>
              <w:right w:val="nil"/>
            </w:tcBorders>
            <w:shd w:val="clear" w:color="auto" w:fill="auto"/>
            <w:noWrap/>
            <w:vAlign w:val="bottom"/>
            <w:hideMark/>
          </w:tcPr>
          <w:p w14:paraId="3A32B79D" w14:textId="77777777" w:rsidR="00283EB3" w:rsidRPr="00283EB3" w:rsidRDefault="00283EB3" w:rsidP="00283EB3">
            <w:pPr>
              <w:jc w:val="right"/>
              <w:rPr>
                <w:rFonts w:eastAsia="Times New Roman" w:cs="Times New Roman"/>
              </w:rPr>
            </w:pPr>
            <w:r w:rsidRPr="00283EB3">
              <w:rPr>
                <w:rFonts w:eastAsia="Times New Roman" w:cs="Times New Roman"/>
              </w:rPr>
              <w:t>6.042874</w:t>
            </w:r>
          </w:p>
        </w:tc>
        <w:tc>
          <w:tcPr>
            <w:tcW w:w="1480" w:type="dxa"/>
            <w:tcBorders>
              <w:top w:val="nil"/>
              <w:left w:val="nil"/>
              <w:bottom w:val="nil"/>
              <w:right w:val="nil"/>
            </w:tcBorders>
            <w:shd w:val="clear" w:color="auto" w:fill="auto"/>
            <w:noWrap/>
            <w:vAlign w:val="bottom"/>
            <w:hideMark/>
          </w:tcPr>
          <w:p w14:paraId="46BAC5C5" w14:textId="77777777" w:rsidR="00283EB3" w:rsidRPr="00283EB3" w:rsidRDefault="00283EB3" w:rsidP="00283EB3">
            <w:pPr>
              <w:jc w:val="right"/>
              <w:rPr>
                <w:rFonts w:eastAsia="Times New Roman" w:cs="Times New Roman"/>
              </w:rPr>
            </w:pPr>
            <w:r w:rsidRPr="00283EB3">
              <w:rPr>
                <w:rFonts w:eastAsia="Times New Roman" w:cs="Times New Roman"/>
              </w:rPr>
              <w:t>0.503573</w:t>
            </w:r>
          </w:p>
        </w:tc>
        <w:tc>
          <w:tcPr>
            <w:tcW w:w="1840" w:type="dxa"/>
            <w:tcBorders>
              <w:top w:val="nil"/>
              <w:left w:val="nil"/>
              <w:bottom w:val="nil"/>
              <w:right w:val="nil"/>
            </w:tcBorders>
            <w:shd w:val="clear" w:color="auto" w:fill="auto"/>
            <w:noWrap/>
            <w:vAlign w:val="bottom"/>
            <w:hideMark/>
          </w:tcPr>
          <w:p w14:paraId="0641F834" w14:textId="77777777" w:rsidR="00283EB3" w:rsidRPr="00283EB3" w:rsidRDefault="00283EB3" w:rsidP="00283EB3">
            <w:pPr>
              <w:jc w:val="right"/>
              <w:rPr>
                <w:rFonts w:eastAsia="Times New Roman" w:cs="Times New Roman"/>
              </w:rPr>
            </w:pPr>
            <w:r w:rsidRPr="00283EB3">
              <w:rPr>
                <w:rFonts w:eastAsia="Times New Roman" w:cs="Times New Roman"/>
              </w:rPr>
              <w:t>3.329097</w:t>
            </w:r>
          </w:p>
        </w:tc>
        <w:tc>
          <w:tcPr>
            <w:tcW w:w="1340" w:type="dxa"/>
            <w:tcBorders>
              <w:top w:val="nil"/>
              <w:left w:val="nil"/>
              <w:bottom w:val="nil"/>
              <w:right w:val="nil"/>
            </w:tcBorders>
            <w:shd w:val="clear" w:color="auto" w:fill="auto"/>
            <w:noWrap/>
            <w:vAlign w:val="bottom"/>
            <w:hideMark/>
          </w:tcPr>
          <w:p w14:paraId="2BDB8A01" w14:textId="77777777" w:rsidR="00283EB3" w:rsidRPr="00283EB3" w:rsidRDefault="00283EB3" w:rsidP="00283EB3">
            <w:pPr>
              <w:jc w:val="right"/>
              <w:rPr>
                <w:rFonts w:eastAsia="Times New Roman" w:cs="Times New Roman"/>
              </w:rPr>
            </w:pPr>
            <w:r w:rsidRPr="00283EB3">
              <w:rPr>
                <w:rFonts w:eastAsia="Times New Roman" w:cs="Times New Roman"/>
              </w:rPr>
              <w:t>0.307012</w:t>
            </w:r>
          </w:p>
        </w:tc>
        <w:tc>
          <w:tcPr>
            <w:tcW w:w="1500" w:type="dxa"/>
            <w:tcBorders>
              <w:top w:val="nil"/>
              <w:left w:val="nil"/>
              <w:bottom w:val="nil"/>
              <w:right w:val="nil"/>
            </w:tcBorders>
            <w:shd w:val="clear" w:color="auto" w:fill="auto"/>
            <w:noWrap/>
            <w:vAlign w:val="bottom"/>
            <w:hideMark/>
          </w:tcPr>
          <w:p w14:paraId="204A1B29" w14:textId="77777777" w:rsidR="00283EB3" w:rsidRPr="00283EB3" w:rsidRDefault="00283EB3" w:rsidP="00283EB3">
            <w:pPr>
              <w:jc w:val="right"/>
              <w:rPr>
                <w:rFonts w:eastAsia="Times New Roman" w:cs="Times New Roman"/>
                <w:b/>
                <w:bCs/>
              </w:rPr>
            </w:pPr>
            <w:r w:rsidRPr="00283EB3">
              <w:rPr>
                <w:rFonts w:eastAsia="Times New Roman" w:cs="Times New Roman"/>
                <w:b/>
                <w:bCs/>
              </w:rPr>
              <w:t>0.001</w:t>
            </w:r>
          </w:p>
        </w:tc>
      </w:tr>
      <w:tr w:rsidR="00283EB3" w:rsidRPr="00283EB3" w14:paraId="0FF35932" w14:textId="77777777" w:rsidTr="00283EB3">
        <w:trPr>
          <w:trHeight w:val="380"/>
        </w:trPr>
        <w:tc>
          <w:tcPr>
            <w:tcW w:w="2920" w:type="dxa"/>
            <w:tcBorders>
              <w:top w:val="nil"/>
              <w:left w:val="nil"/>
              <w:bottom w:val="nil"/>
              <w:right w:val="nil"/>
            </w:tcBorders>
            <w:shd w:val="clear" w:color="auto" w:fill="auto"/>
            <w:noWrap/>
            <w:vAlign w:val="bottom"/>
            <w:hideMark/>
          </w:tcPr>
          <w:p w14:paraId="763AE9FA" w14:textId="77777777" w:rsidR="00283EB3" w:rsidRPr="00283EB3" w:rsidRDefault="00283EB3" w:rsidP="00283EB3">
            <w:pPr>
              <w:rPr>
                <w:rFonts w:eastAsia="Times New Roman" w:cs="Times New Roman"/>
                <w:b/>
                <w:bCs/>
              </w:rPr>
            </w:pPr>
            <w:r w:rsidRPr="00283EB3">
              <w:rPr>
                <w:rFonts w:eastAsia="Times New Roman" w:cs="Times New Roman"/>
                <w:b/>
                <w:bCs/>
              </w:rPr>
              <w:t>Age group</w:t>
            </w:r>
          </w:p>
        </w:tc>
        <w:tc>
          <w:tcPr>
            <w:tcW w:w="1080" w:type="dxa"/>
            <w:tcBorders>
              <w:top w:val="nil"/>
              <w:left w:val="nil"/>
              <w:bottom w:val="nil"/>
              <w:right w:val="nil"/>
            </w:tcBorders>
            <w:shd w:val="clear" w:color="auto" w:fill="auto"/>
            <w:noWrap/>
            <w:vAlign w:val="bottom"/>
            <w:hideMark/>
          </w:tcPr>
          <w:p w14:paraId="4D2F138E" w14:textId="77777777" w:rsidR="00283EB3" w:rsidRPr="00283EB3" w:rsidRDefault="00283EB3" w:rsidP="00283EB3">
            <w:pPr>
              <w:jc w:val="right"/>
              <w:rPr>
                <w:rFonts w:eastAsia="Times New Roman" w:cs="Times New Roman"/>
              </w:rPr>
            </w:pPr>
            <w:r w:rsidRPr="00283EB3">
              <w:rPr>
                <w:rFonts w:eastAsia="Times New Roman" w:cs="Times New Roman"/>
              </w:rPr>
              <w:t>1</w:t>
            </w:r>
          </w:p>
        </w:tc>
        <w:tc>
          <w:tcPr>
            <w:tcW w:w="1680" w:type="dxa"/>
            <w:tcBorders>
              <w:top w:val="nil"/>
              <w:left w:val="nil"/>
              <w:bottom w:val="nil"/>
              <w:right w:val="nil"/>
            </w:tcBorders>
            <w:shd w:val="clear" w:color="auto" w:fill="auto"/>
            <w:noWrap/>
            <w:vAlign w:val="bottom"/>
            <w:hideMark/>
          </w:tcPr>
          <w:p w14:paraId="220E129E" w14:textId="77777777" w:rsidR="00283EB3" w:rsidRPr="00283EB3" w:rsidRDefault="00283EB3" w:rsidP="00283EB3">
            <w:pPr>
              <w:jc w:val="right"/>
              <w:rPr>
                <w:rFonts w:eastAsia="Times New Roman" w:cs="Times New Roman"/>
              </w:rPr>
            </w:pPr>
            <w:r w:rsidRPr="00283EB3">
              <w:rPr>
                <w:rFonts w:eastAsia="Times New Roman" w:cs="Times New Roman"/>
              </w:rPr>
              <w:t>0.627792</w:t>
            </w:r>
          </w:p>
        </w:tc>
        <w:tc>
          <w:tcPr>
            <w:tcW w:w="1480" w:type="dxa"/>
            <w:tcBorders>
              <w:top w:val="nil"/>
              <w:left w:val="nil"/>
              <w:bottom w:val="nil"/>
              <w:right w:val="nil"/>
            </w:tcBorders>
            <w:shd w:val="clear" w:color="auto" w:fill="auto"/>
            <w:noWrap/>
            <w:vAlign w:val="bottom"/>
            <w:hideMark/>
          </w:tcPr>
          <w:p w14:paraId="10ECFDAF" w14:textId="77777777" w:rsidR="00283EB3" w:rsidRPr="00283EB3" w:rsidRDefault="00283EB3" w:rsidP="00283EB3">
            <w:pPr>
              <w:jc w:val="right"/>
              <w:rPr>
                <w:rFonts w:eastAsia="Times New Roman" w:cs="Times New Roman"/>
              </w:rPr>
            </w:pPr>
            <w:r w:rsidRPr="00283EB3">
              <w:rPr>
                <w:rFonts w:eastAsia="Times New Roman" w:cs="Times New Roman"/>
              </w:rPr>
              <w:t>0.627792</w:t>
            </w:r>
          </w:p>
        </w:tc>
        <w:tc>
          <w:tcPr>
            <w:tcW w:w="1840" w:type="dxa"/>
            <w:tcBorders>
              <w:top w:val="nil"/>
              <w:left w:val="nil"/>
              <w:bottom w:val="nil"/>
              <w:right w:val="nil"/>
            </w:tcBorders>
            <w:shd w:val="clear" w:color="auto" w:fill="auto"/>
            <w:noWrap/>
            <w:vAlign w:val="bottom"/>
            <w:hideMark/>
          </w:tcPr>
          <w:p w14:paraId="6ECCE495" w14:textId="77777777" w:rsidR="00283EB3" w:rsidRPr="00283EB3" w:rsidRDefault="00283EB3" w:rsidP="00283EB3">
            <w:pPr>
              <w:jc w:val="right"/>
              <w:rPr>
                <w:rFonts w:eastAsia="Times New Roman" w:cs="Times New Roman"/>
              </w:rPr>
            </w:pPr>
            <w:r w:rsidRPr="00283EB3">
              <w:rPr>
                <w:rFonts w:eastAsia="Times New Roman" w:cs="Times New Roman"/>
              </w:rPr>
              <w:t>4.150307</w:t>
            </w:r>
          </w:p>
        </w:tc>
        <w:tc>
          <w:tcPr>
            <w:tcW w:w="1340" w:type="dxa"/>
            <w:tcBorders>
              <w:top w:val="nil"/>
              <w:left w:val="nil"/>
              <w:bottom w:val="nil"/>
              <w:right w:val="nil"/>
            </w:tcBorders>
            <w:shd w:val="clear" w:color="auto" w:fill="auto"/>
            <w:noWrap/>
            <w:vAlign w:val="bottom"/>
            <w:hideMark/>
          </w:tcPr>
          <w:p w14:paraId="456A294E" w14:textId="77777777" w:rsidR="00283EB3" w:rsidRPr="00283EB3" w:rsidRDefault="00283EB3" w:rsidP="00283EB3">
            <w:pPr>
              <w:jc w:val="right"/>
              <w:rPr>
                <w:rFonts w:eastAsia="Times New Roman" w:cs="Times New Roman"/>
              </w:rPr>
            </w:pPr>
            <w:r w:rsidRPr="00283EB3">
              <w:rPr>
                <w:rFonts w:eastAsia="Times New Roman" w:cs="Times New Roman"/>
              </w:rPr>
              <w:t>0.031895</w:t>
            </w:r>
          </w:p>
        </w:tc>
        <w:tc>
          <w:tcPr>
            <w:tcW w:w="1500" w:type="dxa"/>
            <w:tcBorders>
              <w:top w:val="nil"/>
              <w:left w:val="nil"/>
              <w:bottom w:val="nil"/>
              <w:right w:val="nil"/>
            </w:tcBorders>
            <w:shd w:val="clear" w:color="auto" w:fill="auto"/>
            <w:noWrap/>
            <w:vAlign w:val="bottom"/>
            <w:hideMark/>
          </w:tcPr>
          <w:p w14:paraId="14BF74DF" w14:textId="77777777" w:rsidR="00283EB3" w:rsidRPr="00283EB3" w:rsidRDefault="00283EB3" w:rsidP="00283EB3">
            <w:pPr>
              <w:jc w:val="right"/>
              <w:rPr>
                <w:rFonts w:eastAsia="Times New Roman" w:cs="Times New Roman"/>
                <w:b/>
                <w:bCs/>
              </w:rPr>
            </w:pPr>
            <w:r w:rsidRPr="00283EB3">
              <w:rPr>
                <w:rFonts w:eastAsia="Times New Roman" w:cs="Times New Roman"/>
                <w:b/>
                <w:bCs/>
              </w:rPr>
              <w:t>0.001</w:t>
            </w:r>
          </w:p>
        </w:tc>
      </w:tr>
      <w:tr w:rsidR="00283EB3" w:rsidRPr="00283EB3" w14:paraId="4C8A09C7" w14:textId="77777777" w:rsidTr="00283EB3">
        <w:trPr>
          <w:trHeight w:val="380"/>
        </w:trPr>
        <w:tc>
          <w:tcPr>
            <w:tcW w:w="2920" w:type="dxa"/>
            <w:tcBorders>
              <w:top w:val="nil"/>
              <w:left w:val="nil"/>
              <w:bottom w:val="nil"/>
              <w:right w:val="nil"/>
            </w:tcBorders>
            <w:shd w:val="clear" w:color="auto" w:fill="auto"/>
            <w:noWrap/>
            <w:vAlign w:val="bottom"/>
            <w:hideMark/>
          </w:tcPr>
          <w:p w14:paraId="05B17FE6" w14:textId="77777777" w:rsidR="00283EB3" w:rsidRPr="00283EB3" w:rsidRDefault="00283EB3" w:rsidP="00283EB3">
            <w:pPr>
              <w:rPr>
                <w:rFonts w:eastAsia="Times New Roman" w:cs="Times New Roman"/>
                <w:b/>
                <w:bCs/>
              </w:rPr>
            </w:pPr>
            <w:r w:rsidRPr="00283EB3">
              <w:rPr>
                <w:rFonts w:eastAsia="Times New Roman" w:cs="Times New Roman"/>
                <w:b/>
                <w:bCs/>
              </w:rPr>
              <w:t>Habitat type</w:t>
            </w:r>
          </w:p>
        </w:tc>
        <w:tc>
          <w:tcPr>
            <w:tcW w:w="1080" w:type="dxa"/>
            <w:tcBorders>
              <w:top w:val="nil"/>
              <w:left w:val="nil"/>
              <w:bottom w:val="nil"/>
              <w:right w:val="nil"/>
            </w:tcBorders>
            <w:shd w:val="clear" w:color="auto" w:fill="auto"/>
            <w:noWrap/>
            <w:vAlign w:val="bottom"/>
            <w:hideMark/>
          </w:tcPr>
          <w:p w14:paraId="05845EE5" w14:textId="77777777" w:rsidR="00283EB3" w:rsidRPr="00283EB3" w:rsidRDefault="00283EB3" w:rsidP="00283EB3">
            <w:pPr>
              <w:jc w:val="right"/>
              <w:rPr>
                <w:rFonts w:eastAsia="Times New Roman" w:cs="Times New Roman"/>
              </w:rPr>
            </w:pPr>
            <w:r w:rsidRPr="00283EB3">
              <w:rPr>
                <w:rFonts w:eastAsia="Times New Roman" w:cs="Times New Roman"/>
              </w:rPr>
              <w:t>2</w:t>
            </w:r>
          </w:p>
        </w:tc>
        <w:tc>
          <w:tcPr>
            <w:tcW w:w="1680" w:type="dxa"/>
            <w:tcBorders>
              <w:top w:val="nil"/>
              <w:left w:val="nil"/>
              <w:bottom w:val="nil"/>
              <w:right w:val="nil"/>
            </w:tcBorders>
            <w:shd w:val="clear" w:color="auto" w:fill="auto"/>
            <w:noWrap/>
            <w:vAlign w:val="bottom"/>
            <w:hideMark/>
          </w:tcPr>
          <w:p w14:paraId="42391D7B" w14:textId="77777777" w:rsidR="00283EB3" w:rsidRPr="00283EB3" w:rsidRDefault="00283EB3" w:rsidP="00283EB3">
            <w:pPr>
              <w:jc w:val="right"/>
              <w:rPr>
                <w:rFonts w:eastAsia="Times New Roman" w:cs="Times New Roman"/>
              </w:rPr>
            </w:pPr>
            <w:r w:rsidRPr="00283EB3">
              <w:rPr>
                <w:rFonts w:eastAsia="Times New Roman" w:cs="Times New Roman"/>
              </w:rPr>
              <w:t>0</w:t>
            </w:r>
          </w:p>
        </w:tc>
        <w:tc>
          <w:tcPr>
            <w:tcW w:w="1480" w:type="dxa"/>
            <w:tcBorders>
              <w:top w:val="nil"/>
              <w:left w:val="nil"/>
              <w:bottom w:val="nil"/>
              <w:right w:val="nil"/>
            </w:tcBorders>
            <w:shd w:val="clear" w:color="auto" w:fill="auto"/>
            <w:noWrap/>
            <w:vAlign w:val="bottom"/>
            <w:hideMark/>
          </w:tcPr>
          <w:p w14:paraId="242CCA8E" w14:textId="77777777" w:rsidR="00283EB3" w:rsidRPr="00283EB3" w:rsidRDefault="00283EB3" w:rsidP="00283EB3">
            <w:pPr>
              <w:jc w:val="right"/>
              <w:rPr>
                <w:rFonts w:eastAsia="Times New Roman" w:cs="Times New Roman"/>
              </w:rPr>
            </w:pPr>
            <w:r w:rsidRPr="00283EB3">
              <w:rPr>
                <w:rFonts w:eastAsia="Times New Roman" w:cs="Times New Roman"/>
              </w:rPr>
              <w:t>0</w:t>
            </w:r>
          </w:p>
        </w:tc>
        <w:tc>
          <w:tcPr>
            <w:tcW w:w="1840" w:type="dxa"/>
            <w:tcBorders>
              <w:top w:val="nil"/>
              <w:left w:val="nil"/>
              <w:bottom w:val="nil"/>
              <w:right w:val="nil"/>
            </w:tcBorders>
            <w:shd w:val="clear" w:color="auto" w:fill="auto"/>
            <w:noWrap/>
            <w:vAlign w:val="bottom"/>
            <w:hideMark/>
          </w:tcPr>
          <w:p w14:paraId="65637F60" w14:textId="77777777" w:rsidR="00283EB3" w:rsidRPr="00283EB3" w:rsidRDefault="00283EB3" w:rsidP="00283EB3">
            <w:pPr>
              <w:jc w:val="right"/>
              <w:rPr>
                <w:rFonts w:eastAsia="Times New Roman" w:cs="Times New Roman"/>
              </w:rPr>
            </w:pPr>
            <w:r w:rsidRPr="00283EB3">
              <w:rPr>
                <w:rFonts w:eastAsia="Times New Roman" w:cs="Times New Roman"/>
              </w:rPr>
              <w:t>0</w:t>
            </w:r>
          </w:p>
        </w:tc>
        <w:tc>
          <w:tcPr>
            <w:tcW w:w="1340" w:type="dxa"/>
            <w:tcBorders>
              <w:top w:val="nil"/>
              <w:left w:val="nil"/>
              <w:bottom w:val="nil"/>
              <w:right w:val="nil"/>
            </w:tcBorders>
            <w:shd w:val="clear" w:color="auto" w:fill="auto"/>
            <w:noWrap/>
            <w:vAlign w:val="bottom"/>
            <w:hideMark/>
          </w:tcPr>
          <w:p w14:paraId="351A8541" w14:textId="77777777" w:rsidR="00283EB3" w:rsidRPr="00283EB3" w:rsidRDefault="00283EB3" w:rsidP="00283EB3">
            <w:pPr>
              <w:jc w:val="right"/>
              <w:rPr>
                <w:rFonts w:eastAsia="Times New Roman" w:cs="Times New Roman"/>
              </w:rPr>
            </w:pPr>
            <w:r w:rsidRPr="00283EB3">
              <w:rPr>
                <w:rFonts w:eastAsia="Times New Roman" w:cs="Times New Roman"/>
              </w:rPr>
              <w:t>0</w:t>
            </w:r>
          </w:p>
        </w:tc>
        <w:tc>
          <w:tcPr>
            <w:tcW w:w="1500" w:type="dxa"/>
            <w:tcBorders>
              <w:top w:val="nil"/>
              <w:left w:val="nil"/>
              <w:bottom w:val="nil"/>
              <w:right w:val="nil"/>
            </w:tcBorders>
            <w:shd w:val="clear" w:color="auto" w:fill="auto"/>
            <w:noWrap/>
            <w:vAlign w:val="bottom"/>
            <w:hideMark/>
          </w:tcPr>
          <w:p w14:paraId="5576E05C" w14:textId="77777777" w:rsidR="00283EB3" w:rsidRPr="00283EB3" w:rsidRDefault="00283EB3" w:rsidP="00283EB3">
            <w:pPr>
              <w:jc w:val="right"/>
              <w:rPr>
                <w:rFonts w:eastAsia="Times New Roman" w:cs="Times New Roman"/>
                <w:b/>
                <w:bCs/>
              </w:rPr>
            </w:pPr>
            <w:r w:rsidRPr="00283EB3">
              <w:rPr>
                <w:rFonts w:eastAsia="Times New Roman" w:cs="Times New Roman"/>
                <w:b/>
                <w:bCs/>
              </w:rPr>
              <w:t>NaN</w:t>
            </w:r>
          </w:p>
        </w:tc>
      </w:tr>
      <w:tr w:rsidR="00283EB3" w:rsidRPr="00283EB3" w14:paraId="0A7471FA" w14:textId="77777777" w:rsidTr="00283EB3">
        <w:trPr>
          <w:trHeight w:val="380"/>
        </w:trPr>
        <w:tc>
          <w:tcPr>
            <w:tcW w:w="2920" w:type="dxa"/>
            <w:tcBorders>
              <w:top w:val="nil"/>
              <w:left w:val="nil"/>
              <w:bottom w:val="nil"/>
              <w:right w:val="nil"/>
            </w:tcBorders>
            <w:shd w:val="clear" w:color="auto" w:fill="auto"/>
            <w:noWrap/>
            <w:vAlign w:val="bottom"/>
            <w:hideMark/>
          </w:tcPr>
          <w:p w14:paraId="66A607C2" w14:textId="77777777" w:rsidR="00283EB3" w:rsidRPr="00283EB3" w:rsidRDefault="00283EB3" w:rsidP="00283EB3">
            <w:pPr>
              <w:rPr>
                <w:rFonts w:eastAsia="Times New Roman" w:cs="Times New Roman"/>
                <w:b/>
                <w:bCs/>
              </w:rPr>
            </w:pPr>
            <w:r w:rsidRPr="00283EB3">
              <w:rPr>
                <w:rFonts w:eastAsia="Times New Roman" w:cs="Times New Roman"/>
                <w:b/>
                <w:bCs/>
              </w:rPr>
              <w:t>Dominant blood meal</w:t>
            </w:r>
          </w:p>
        </w:tc>
        <w:tc>
          <w:tcPr>
            <w:tcW w:w="1080" w:type="dxa"/>
            <w:tcBorders>
              <w:top w:val="nil"/>
              <w:left w:val="nil"/>
              <w:bottom w:val="nil"/>
              <w:right w:val="nil"/>
            </w:tcBorders>
            <w:shd w:val="clear" w:color="auto" w:fill="auto"/>
            <w:noWrap/>
            <w:vAlign w:val="bottom"/>
            <w:hideMark/>
          </w:tcPr>
          <w:p w14:paraId="0A848FF8" w14:textId="77777777" w:rsidR="00283EB3" w:rsidRPr="00283EB3" w:rsidRDefault="00283EB3" w:rsidP="00283EB3">
            <w:pPr>
              <w:jc w:val="right"/>
              <w:rPr>
                <w:rFonts w:eastAsia="Times New Roman" w:cs="Times New Roman"/>
              </w:rPr>
            </w:pPr>
            <w:r w:rsidRPr="00283EB3">
              <w:rPr>
                <w:rFonts w:eastAsia="Times New Roman" w:cs="Times New Roman"/>
              </w:rPr>
              <w:t>2</w:t>
            </w:r>
          </w:p>
        </w:tc>
        <w:tc>
          <w:tcPr>
            <w:tcW w:w="1680" w:type="dxa"/>
            <w:tcBorders>
              <w:top w:val="nil"/>
              <w:left w:val="nil"/>
              <w:bottom w:val="nil"/>
              <w:right w:val="nil"/>
            </w:tcBorders>
            <w:shd w:val="clear" w:color="auto" w:fill="auto"/>
            <w:noWrap/>
            <w:vAlign w:val="bottom"/>
            <w:hideMark/>
          </w:tcPr>
          <w:p w14:paraId="1A93E58D" w14:textId="77777777" w:rsidR="00283EB3" w:rsidRPr="00283EB3" w:rsidRDefault="00283EB3" w:rsidP="00283EB3">
            <w:pPr>
              <w:jc w:val="right"/>
              <w:rPr>
                <w:rFonts w:eastAsia="Times New Roman" w:cs="Times New Roman"/>
              </w:rPr>
            </w:pPr>
            <w:r w:rsidRPr="00283EB3">
              <w:rPr>
                <w:rFonts w:eastAsia="Times New Roman" w:cs="Times New Roman"/>
              </w:rPr>
              <w:t>0.369981</w:t>
            </w:r>
          </w:p>
        </w:tc>
        <w:tc>
          <w:tcPr>
            <w:tcW w:w="1480" w:type="dxa"/>
            <w:tcBorders>
              <w:top w:val="nil"/>
              <w:left w:val="nil"/>
              <w:bottom w:val="nil"/>
              <w:right w:val="nil"/>
            </w:tcBorders>
            <w:shd w:val="clear" w:color="auto" w:fill="auto"/>
            <w:noWrap/>
            <w:vAlign w:val="bottom"/>
            <w:hideMark/>
          </w:tcPr>
          <w:p w14:paraId="36DA1E80" w14:textId="77777777" w:rsidR="00283EB3" w:rsidRPr="00283EB3" w:rsidRDefault="00283EB3" w:rsidP="00283EB3">
            <w:pPr>
              <w:jc w:val="right"/>
              <w:rPr>
                <w:rFonts w:eastAsia="Times New Roman" w:cs="Times New Roman"/>
              </w:rPr>
            </w:pPr>
            <w:r w:rsidRPr="00283EB3">
              <w:rPr>
                <w:rFonts w:eastAsia="Times New Roman" w:cs="Times New Roman"/>
              </w:rPr>
              <w:t>0.18499</w:t>
            </w:r>
          </w:p>
        </w:tc>
        <w:tc>
          <w:tcPr>
            <w:tcW w:w="1840" w:type="dxa"/>
            <w:tcBorders>
              <w:top w:val="nil"/>
              <w:left w:val="nil"/>
              <w:bottom w:val="nil"/>
              <w:right w:val="nil"/>
            </w:tcBorders>
            <w:shd w:val="clear" w:color="auto" w:fill="auto"/>
            <w:noWrap/>
            <w:vAlign w:val="bottom"/>
            <w:hideMark/>
          </w:tcPr>
          <w:p w14:paraId="68D0EAE4" w14:textId="77777777" w:rsidR="00283EB3" w:rsidRPr="00283EB3" w:rsidRDefault="00283EB3" w:rsidP="00283EB3">
            <w:pPr>
              <w:jc w:val="right"/>
              <w:rPr>
                <w:rFonts w:eastAsia="Times New Roman" w:cs="Times New Roman"/>
              </w:rPr>
            </w:pPr>
            <w:r w:rsidRPr="00283EB3">
              <w:rPr>
                <w:rFonts w:eastAsia="Times New Roman" w:cs="Times New Roman"/>
              </w:rPr>
              <w:t>1.222963</w:t>
            </w:r>
          </w:p>
        </w:tc>
        <w:tc>
          <w:tcPr>
            <w:tcW w:w="1340" w:type="dxa"/>
            <w:tcBorders>
              <w:top w:val="nil"/>
              <w:left w:val="nil"/>
              <w:bottom w:val="nil"/>
              <w:right w:val="nil"/>
            </w:tcBorders>
            <w:shd w:val="clear" w:color="auto" w:fill="auto"/>
            <w:noWrap/>
            <w:vAlign w:val="bottom"/>
            <w:hideMark/>
          </w:tcPr>
          <w:p w14:paraId="31D0173A" w14:textId="77777777" w:rsidR="00283EB3" w:rsidRPr="00283EB3" w:rsidRDefault="00283EB3" w:rsidP="00283EB3">
            <w:pPr>
              <w:jc w:val="right"/>
              <w:rPr>
                <w:rFonts w:eastAsia="Times New Roman" w:cs="Times New Roman"/>
              </w:rPr>
            </w:pPr>
            <w:r w:rsidRPr="00283EB3">
              <w:rPr>
                <w:rFonts w:eastAsia="Times New Roman" w:cs="Times New Roman"/>
              </w:rPr>
              <w:t>0.018797</w:t>
            </w:r>
          </w:p>
        </w:tc>
        <w:tc>
          <w:tcPr>
            <w:tcW w:w="1500" w:type="dxa"/>
            <w:tcBorders>
              <w:top w:val="nil"/>
              <w:left w:val="nil"/>
              <w:bottom w:val="nil"/>
              <w:right w:val="nil"/>
            </w:tcBorders>
            <w:shd w:val="clear" w:color="auto" w:fill="auto"/>
            <w:noWrap/>
            <w:vAlign w:val="bottom"/>
            <w:hideMark/>
          </w:tcPr>
          <w:p w14:paraId="1717E337" w14:textId="77777777" w:rsidR="00283EB3" w:rsidRPr="00283EB3" w:rsidRDefault="00283EB3" w:rsidP="00283EB3">
            <w:pPr>
              <w:jc w:val="right"/>
              <w:rPr>
                <w:rFonts w:eastAsia="Times New Roman" w:cs="Times New Roman"/>
              </w:rPr>
            </w:pPr>
            <w:r w:rsidRPr="00283EB3">
              <w:rPr>
                <w:rFonts w:eastAsia="Times New Roman" w:cs="Times New Roman"/>
              </w:rPr>
              <w:t>0.152</w:t>
            </w:r>
          </w:p>
        </w:tc>
      </w:tr>
      <w:tr w:rsidR="00283EB3" w:rsidRPr="00283EB3" w14:paraId="4B262E55" w14:textId="77777777" w:rsidTr="00283EB3">
        <w:trPr>
          <w:trHeight w:val="380"/>
        </w:trPr>
        <w:tc>
          <w:tcPr>
            <w:tcW w:w="2920" w:type="dxa"/>
            <w:tcBorders>
              <w:top w:val="nil"/>
              <w:left w:val="nil"/>
              <w:bottom w:val="nil"/>
              <w:right w:val="nil"/>
            </w:tcBorders>
            <w:shd w:val="clear" w:color="auto" w:fill="auto"/>
            <w:noWrap/>
            <w:vAlign w:val="bottom"/>
            <w:hideMark/>
          </w:tcPr>
          <w:p w14:paraId="304531C1" w14:textId="77777777" w:rsidR="00283EB3" w:rsidRPr="00283EB3" w:rsidRDefault="00283EB3" w:rsidP="00283EB3">
            <w:pPr>
              <w:rPr>
                <w:rFonts w:eastAsia="Times New Roman" w:cs="Times New Roman"/>
                <w:b/>
                <w:bCs/>
              </w:rPr>
            </w:pPr>
            <w:r w:rsidRPr="00283EB3">
              <w:rPr>
                <w:rFonts w:eastAsia="Times New Roman" w:cs="Times New Roman"/>
                <w:b/>
                <w:bCs/>
              </w:rPr>
              <w:t>Blood meal richness</w:t>
            </w:r>
          </w:p>
        </w:tc>
        <w:tc>
          <w:tcPr>
            <w:tcW w:w="1080" w:type="dxa"/>
            <w:tcBorders>
              <w:top w:val="nil"/>
              <w:left w:val="nil"/>
              <w:bottom w:val="nil"/>
              <w:right w:val="nil"/>
            </w:tcBorders>
            <w:shd w:val="clear" w:color="auto" w:fill="auto"/>
            <w:noWrap/>
            <w:vAlign w:val="bottom"/>
            <w:hideMark/>
          </w:tcPr>
          <w:p w14:paraId="699279D9" w14:textId="77777777" w:rsidR="00283EB3" w:rsidRPr="00283EB3" w:rsidRDefault="00283EB3" w:rsidP="00283EB3">
            <w:pPr>
              <w:jc w:val="right"/>
              <w:rPr>
                <w:rFonts w:eastAsia="Times New Roman" w:cs="Times New Roman"/>
              </w:rPr>
            </w:pPr>
            <w:r w:rsidRPr="00283EB3">
              <w:rPr>
                <w:rFonts w:eastAsia="Times New Roman" w:cs="Times New Roman"/>
              </w:rPr>
              <w:t>4</w:t>
            </w:r>
          </w:p>
        </w:tc>
        <w:tc>
          <w:tcPr>
            <w:tcW w:w="1680" w:type="dxa"/>
            <w:tcBorders>
              <w:top w:val="nil"/>
              <w:left w:val="nil"/>
              <w:bottom w:val="nil"/>
              <w:right w:val="nil"/>
            </w:tcBorders>
            <w:shd w:val="clear" w:color="auto" w:fill="auto"/>
            <w:noWrap/>
            <w:vAlign w:val="bottom"/>
            <w:hideMark/>
          </w:tcPr>
          <w:p w14:paraId="335977A3" w14:textId="77777777" w:rsidR="00283EB3" w:rsidRPr="00283EB3" w:rsidRDefault="00283EB3" w:rsidP="00283EB3">
            <w:pPr>
              <w:jc w:val="right"/>
              <w:rPr>
                <w:rFonts w:eastAsia="Times New Roman" w:cs="Times New Roman"/>
              </w:rPr>
            </w:pPr>
            <w:r w:rsidRPr="00283EB3">
              <w:rPr>
                <w:rFonts w:eastAsia="Times New Roman" w:cs="Times New Roman"/>
              </w:rPr>
              <w:t>0.692317</w:t>
            </w:r>
          </w:p>
        </w:tc>
        <w:tc>
          <w:tcPr>
            <w:tcW w:w="1480" w:type="dxa"/>
            <w:tcBorders>
              <w:top w:val="nil"/>
              <w:left w:val="nil"/>
              <w:bottom w:val="nil"/>
              <w:right w:val="nil"/>
            </w:tcBorders>
            <w:shd w:val="clear" w:color="auto" w:fill="auto"/>
            <w:noWrap/>
            <w:vAlign w:val="bottom"/>
            <w:hideMark/>
          </w:tcPr>
          <w:p w14:paraId="0A4F8115" w14:textId="77777777" w:rsidR="00283EB3" w:rsidRPr="00283EB3" w:rsidRDefault="00283EB3" w:rsidP="00283EB3">
            <w:pPr>
              <w:jc w:val="right"/>
              <w:rPr>
                <w:rFonts w:eastAsia="Times New Roman" w:cs="Times New Roman"/>
              </w:rPr>
            </w:pPr>
            <w:r w:rsidRPr="00283EB3">
              <w:rPr>
                <w:rFonts w:eastAsia="Times New Roman" w:cs="Times New Roman"/>
              </w:rPr>
              <w:t>0.173079</w:t>
            </w:r>
          </w:p>
        </w:tc>
        <w:tc>
          <w:tcPr>
            <w:tcW w:w="1840" w:type="dxa"/>
            <w:tcBorders>
              <w:top w:val="nil"/>
              <w:left w:val="nil"/>
              <w:bottom w:val="nil"/>
              <w:right w:val="nil"/>
            </w:tcBorders>
            <w:shd w:val="clear" w:color="auto" w:fill="auto"/>
            <w:noWrap/>
            <w:vAlign w:val="bottom"/>
            <w:hideMark/>
          </w:tcPr>
          <w:p w14:paraId="2717C671" w14:textId="77777777" w:rsidR="00283EB3" w:rsidRPr="00283EB3" w:rsidRDefault="00283EB3" w:rsidP="00283EB3">
            <w:pPr>
              <w:jc w:val="right"/>
              <w:rPr>
                <w:rFonts w:eastAsia="Times New Roman" w:cs="Times New Roman"/>
              </w:rPr>
            </w:pPr>
            <w:r w:rsidRPr="00283EB3">
              <w:rPr>
                <w:rFonts w:eastAsia="Times New Roman" w:cs="Times New Roman"/>
              </w:rPr>
              <w:t>1.144219</w:t>
            </w:r>
          </w:p>
        </w:tc>
        <w:tc>
          <w:tcPr>
            <w:tcW w:w="1340" w:type="dxa"/>
            <w:tcBorders>
              <w:top w:val="nil"/>
              <w:left w:val="nil"/>
              <w:bottom w:val="nil"/>
              <w:right w:val="nil"/>
            </w:tcBorders>
            <w:shd w:val="clear" w:color="auto" w:fill="auto"/>
            <w:noWrap/>
            <w:vAlign w:val="bottom"/>
            <w:hideMark/>
          </w:tcPr>
          <w:p w14:paraId="56249F49" w14:textId="77777777" w:rsidR="00283EB3" w:rsidRPr="00283EB3" w:rsidRDefault="00283EB3" w:rsidP="00283EB3">
            <w:pPr>
              <w:jc w:val="right"/>
              <w:rPr>
                <w:rFonts w:eastAsia="Times New Roman" w:cs="Times New Roman"/>
              </w:rPr>
            </w:pPr>
            <w:r w:rsidRPr="00283EB3">
              <w:rPr>
                <w:rFonts w:eastAsia="Times New Roman" w:cs="Times New Roman"/>
              </w:rPr>
              <w:t>0.035174</w:t>
            </w:r>
          </w:p>
        </w:tc>
        <w:tc>
          <w:tcPr>
            <w:tcW w:w="1500" w:type="dxa"/>
            <w:tcBorders>
              <w:top w:val="nil"/>
              <w:left w:val="nil"/>
              <w:bottom w:val="nil"/>
              <w:right w:val="nil"/>
            </w:tcBorders>
            <w:shd w:val="clear" w:color="auto" w:fill="auto"/>
            <w:noWrap/>
            <w:vAlign w:val="bottom"/>
            <w:hideMark/>
          </w:tcPr>
          <w:p w14:paraId="55FFA33D" w14:textId="77777777" w:rsidR="00283EB3" w:rsidRPr="00283EB3" w:rsidRDefault="00283EB3" w:rsidP="00283EB3">
            <w:pPr>
              <w:jc w:val="right"/>
              <w:rPr>
                <w:rFonts w:eastAsia="Times New Roman" w:cs="Times New Roman"/>
              </w:rPr>
            </w:pPr>
            <w:r w:rsidRPr="00283EB3">
              <w:rPr>
                <w:rFonts w:eastAsia="Times New Roman" w:cs="Times New Roman"/>
              </w:rPr>
              <w:t>0.182</w:t>
            </w:r>
          </w:p>
        </w:tc>
      </w:tr>
      <w:tr w:rsidR="00283EB3" w:rsidRPr="00283EB3" w14:paraId="627E356A" w14:textId="77777777" w:rsidTr="00283EB3">
        <w:trPr>
          <w:trHeight w:val="380"/>
        </w:trPr>
        <w:tc>
          <w:tcPr>
            <w:tcW w:w="2920" w:type="dxa"/>
            <w:tcBorders>
              <w:top w:val="nil"/>
              <w:left w:val="nil"/>
              <w:bottom w:val="nil"/>
              <w:right w:val="nil"/>
            </w:tcBorders>
            <w:shd w:val="clear" w:color="auto" w:fill="auto"/>
            <w:noWrap/>
            <w:vAlign w:val="bottom"/>
            <w:hideMark/>
          </w:tcPr>
          <w:p w14:paraId="12CC3E2F" w14:textId="77777777" w:rsidR="00283EB3" w:rsidRPr="00283EB3" w:rsidRDefault="00283EB3" w:rsidP="00283EB3">
            <w:pPr>
              <w:rPr>
                <w:rFonts w:eastAsia="Times New Roman" w:cs="Times New Roman"/>
                <w:b/>
                <w:bCs/>
              </w:rPr>
            </w:pPr>
            <w:r w:rsidRPr="00283EB3">
              <w:rPr>
                <w:rFonts w:eastAsia="Times New Roman" w:cs="Times New Roman"/>
                <w:b/>
                <w:bCs/>
              </w:rPr>
              <w:t>Residuals</w:t>
            </w:r>
          </w:p>
        </w:tc>
        <w:tc>
          <w:tcPr>
            <w:tcW w:w="1080" w:type="dxa"/>
            <w:tcBorders>
              <w:top w:val="nil"/>
              <w:left w:val="nil"/>
              <w:bottom w:val="nil"/>
              <w:right w:val="nil"/>
            </w:tcBorders>
            <w:shd w:val="clear" w:color="auto" w:fill="auto"/>
            <w:noWrap/>
            <w:vAlign w:val="bottom"/>
            <w:hideMark/>
          </w:tcPr>
          <w:p w14:paraId="407A599B" w14:textId="77777777" w:rsidR="00283EB3" w:rsidRPr="00283EB3" w:rsidRDefault="00283EB3" w:rsidP="00283EB3">
            <w:pPr>
              <w:jc w:val="right"/>
              <w:rPr>
                <w:rFonts w:eastAsia="Times New Roman" w:cs="Times New Roman"/>
              </w:rPr>
            </w:pPr>
            <w:r w:rsidRPr="00283EB3">
              <w:rPr>
                <w:rFonts w:eastAsia="Times New Roman" w:cs="Times New Roman"/>
              </w:rPr>
              <w:t>79</w:t>
            </w:r>
          </w:p>
        </w:tc>
        <w:tc>
          <w:tcPr>
            <w:tcW w:w="1680" w:type="dxa"/>
            <w:tcBorders>
              <w:top w:val="nil"/>
              <w:left w:val="nil"/>
              <w:bottom w:val="nil"/>
              <w:right w:val="nil"/>
            </w:tcBorders>
            <w:shd w:val="clear" w:color="auto" w:fill="auto"/>
            <w:noWrap/>
            <w:vAlign w:val="bottom"/>
            <w:hideMark/>
          </w:tcPr>
          <w:p w14:paraId="30CC628E" w14:textId="77777777" w:rsidR="00283EB3" w:rsidRPr="00283EB3" w:rsidRDefault="00283EB3" w:rsidP="00283EB3">
            <w:pPr>
              <w:jc w:val="right"/>
              <w:rPr>
                <w:rFonts w:eastAsia="Times New Roman" w:cs="Times New Roman"/>
              </w:rPr>
            </w:pPr>
            <w:r w:rsidRPr="00283EB3">
              <w:rPr>
                <w:rFonts w:eastAsia="Times New Roman" w:cs="Times New Roman"/>
              </w:rPr>
              <w:t>11.949863</w:t>
            </w:r>
          </w:p>
        </w:tc>
        <w:tc>
          <w:tcPr>
            <w:tcW w:w="1480" w:type="dxa"/>
            <w:tcBorders>
              <w:top w:val="nil"/>
              <w:left w:val="nil"/>
              <w:bottom w:val="nil"/>
              <w:right w:val="nil"/>
            </w:tcBorders>
            <w:shd w:val="clear" w:color="auto" w:fill="auto"/>
            <w:noWrap/>
            <w:vAlign w:val="bottom"/>
            <w:hideMark/>
          </w:tcPr>
          <w:p w14:paraId="2BEDB3DC" w14:textId="77777777" w:rsidR="00283EB3" w:rsidRPr="00283EB3" w:rsidRDefault="00283EB3" w:rsidP="00283EB3">
            <w:pPr>
              <w:jc w:val="right"/>
              <w:rPr>
                <w:rFonts w:eastAsia="Times New Roman" w:cs="Times New Roman"/>
              </w:rPr>
            </w:pPr>
            <w:r w:rsidRPr="00283EB3">
              <w:rPr>
                <w:rFonts w:eastAsia="Times New Roman" w:cs="Times New Roman"/>
              </w:rPr>
              <w:t>0.151264</w:t>
            </w:r>
          </w:p>
        </w:tc>
        <w:tc>
          <w:tcPr>
            <w:tcW w:w="1840" w:type="dxa"/>
            <w:tcBorders>
              <w:top w:val="nil"/>
              <w:left w:val="nil"/>
              <w:bottom w:val="nil"/>
              <w:right w:val="nil"/>
            </w:tcBorders>
            <w:shd w:val="clear" w:color="auto" w:fill="auto"/>
            <w:noWrap/>
            <w:vAlign w:val="bottom"/>
            <w:hideMark/>
          </w:tcPr>
          <w:p w14:paraId="5919C355" w14:textId="77777777" w:rsidR="00283EB3" w:rsidRPr="00283EB3" w:rsidRDefault="00283EB3" w:rsidP="00283EB3">
            <w:pPr>
              <w:jc w:val="right"/>
              <w:rPr>
                <w:rFonts w:eastAsia="Times New Roman" w:cs="Times New Roman"/>
              </w:rPr>
            </w:pPr>
            <w:r w:rsidRPr="00283EB3">
              <w:rPr>
                <w:rFonts w:eastAsia="Times New Roman" w:cs="Times New Roman"/>
              </w:rPr>
              <w:t>NaN</w:t>
            </w:r>
          </w:p>
        </w:tc>
        <w:tc>
          <w:tcPr>
            <w:tcW w:w="1340" w:type="dxa"/>
            <w:tcBorders>
              <w:top w:val="nil"/>
              <w:left w:val="nil"/>
              <w:bottom w:val="nil"/>
              <w:right w:val="nil"/>
            </w:tcBorders>
            <w:shd w:val="clear" w:color="auto" w:fill="auto"/>
            <w:noWrap/>
            <w:vAlign w:val="bottom"/>
            <w:hideMark/>
          </w:tcPr>
          <w:p w14:paraId="4C676780" w14:textId="77777777" w:rsidR="00283EB3" w:rsidRPr="00283EB3" w:rsidRDefault="00283EB3" w:rsidP="00283EB3">
            <w:pPr>
              <w:jc w:val="right"/>
              <w:rPr>
                <w:rFonts w:eastAsia="Times New Roman" w:cs="Times New Roman"/>
              </w:rPr>
            </w:pPr>
            <w:r w:rsidRPr="00283EB3">
              <w:rPr>
                <w:rFonts w:eastAsia="Times New Roman" w:cs="Times New Roman"/>
              </w:rPr>
              <w:t>0.607121</w:t>
            </w:r>
          </w:p>
        </w:tc>
        <w:tc>
          <w:tcPr>
            <w:tcW w:w="1500" w:type="dxa"/>
            <w:tcBorders>
              <w:top w:val="nil"/>
              <w:left w:val="nil"/>
              <w:bottom w:val="nil"/>
              <w:right w:val="nil"/>
            </w:tcBorders>
            <w:shd w:val="clear" w:color="auto" w:fill="auto"/>
            <w:noWrap/>
            <w:vAlign w:val="bottom"/>
            <w:hideMark/>
          </w:tcPr>
          <w:p w14:paraId="35FA6840" w14:textId="77777777" w:rsidR="00283EB3" w:rsidRPr="00283EB3" w:rsidRDefault="00283EB3" w:rsidP="00283EB3">
            <w:pPr>
              <w:jc w:val="right"/>
              <w:rPr>
                <w:rFonts w:eastAsia="Times New Roman" w:cs="Times New Roman"/>
              </w:rPr>
            </w:pPr>
            <w:r w:rsidRPr="00283EB3">
              <w:rPr>
                <w:rFonts w:eastAsia="Times New Roman" w:cs="Times New Roman"/>
              </w:rPr>
              <w:t>NaN</w:t>
            </w:r>
          </w:p>
        </w:tc>
      </w:tr>
      <w:tr w:rsidR="00283EB3" w:rsidRPr="00283EB3" w14:paraId="57CF17CB" w14:textId="77777777" w:rsidTr="00283EB3">
        <w:trPr>
          <w:trHeight w:val="380"/>
        </w:trPr>
        <w:tc>
          <w:tcPr>
            <w:tcW w:w="2920" w:type="dxa"/>
            <w:tcBorders>
              <w:top w:val="nil"/>
              <w:left w:val="nil"/>
              <w:bottom w:val="nil"/>
              <w:right w:val="nil"/>
            </w:tcBorders>
            <w:shd w:val="clear" w:color="auto" w:fill="auto"/>
            <w:noWrap/>
            <w:vAlign w:val="bottom"/>
            <w:hideMark/>
          </w:tcPr>
          <w:p w14:paraId="1ED41F5E" w14:textId="77777777" w:rsidR="00283EB3" w:rsidRPr="00283EB3" w:rsidRDefault="00283EB3" w:rsidP="00283EB3">
            <w:pPr>
              <w:rPr>
                <w:rFonts w:eastAsia="Times New Roman" w:cs="Times New Roman"/>
                <w:b/>
                <w:bCs/>
              </w:rPr>
            </w:pPr>
            <w:r w:rsidRPr="00283EB3">
              <w:rPr>
                <w:rFonts w:eastAsia="Times New Roman" w:cs="Times New Roman"/>
                <w:b/>
                <w:bCs/>
              </w:rPr>
              <w:t>Total</w:t>
            </w:r>
          </w:p>
        </w:tc>
        <w:tc>
          <w:tcPr>
            <w:tcW w:w="1080" w:type="dxa"/>
            <w:tcBorders>
              <w:top w:val="nil"/>
              <w:left w:val="nil"/>
              <w:bottom w:val="nil"/>
              <w:right w:val="nil"/>
            </w:tcBorders>
            <w:shd w:val="clear" w:color="auto" w:fill="auto"/>
            <w:noWrap/>
            <w:vAlign w:val="bottom"/>
            <w:hideMark/>
          </w:tcPr>
          <w:p w14:paraId="4AC4164A" w14:textId="77777777" w:rsidR="00283EB3" w:rsidRPr="00283EB3" w:rsidRDefault="00283EB3" w:rsidP="00283EB3">
            <w:pPr>
              <w:jc w:val="right"/>
              <w:rPr>
                <w:rFonts w:eastAsia="Times New Roman" w:cs="Times New Roman"/>
              </w:rPr>
            </w:pPr>
            <w:r w:rsidRPr="00283EB3">
              <w:rPr>
                <w:rFonts w:eastAsia="Times New Roman" w:cs="Times New Roman"/>
              </w:rPr>
              <w:t>98</w:t>
            </w:r>
          </w:p>
        </w:tc>
        <w:tc>
          <w:tcPr>
            <w:tcW w:w="1680" w:type="dxa"/>
            <w:tcBorders>
              <w:top w:val="nil"/>
              <w:left w:val="nil"/>
              <w:bottom w:val="nil"/>
              <w:right w:val="nil"/>
            </w:tcBorders>
            <w:shd w:val="clear" w:color="auto" w:fill="auto"/>
            <w:noWrap/>
            <w:vAlign w:val="bottom"/>
            <w:hideMark/>
          </w:tcPr>
          <w:p w14:paraId="5F97F71D" w14:textId="77777777" w:rsidR="00283EB3" w:rsidRPr="00283EB3" w:rsidRDefault="00283EB3" w:rsidP="00283EB3">
            <w:pPr>
              <w:jc w:val="right"/>
              <w:rPr>
                <w:rFonts w:eastAsia="Times New Roman" w:cs="Times New Roman"/>
              </w:rPr>
            </w:pPr>
            <w:r w:rsidRPr="00283EB3">
              <w:rPr>
                <w:rFonts w:eastAsia="Times New Roman" w:cs="Times New Roman"/>
              </w:rPr>
              <w:t>19.682827</w:t>
            </w:r>
          </w:p>
        </w:tc>
        <w:tc>
          <w:tcPr>
            <w:tcW w:w="1480" w:type="dxa"/>
            <w:tcBorders>
              <w:top w:val="nil"/>
              <w:left w:val="nil"/>
              <w:bottom w:val="nil"/>
              <w:right w:val="nil"/>
            </w:tcBorders>
            <w:shd w:val="clear" w:color="auto" w:fill="auto"/>
            <w:noWrap/>
            <w:vAlign w:val="bottom"/>
            <w:hideMark/>
          </w:tcPr>
          <w:p w14:paraId="63EFF264" w14:textId="77777777" w:rsidR="00283EB3" w:rsidRPr="00283EB3" w:rsidRDefault="00283EB3" w:rsidP="00283EB3">
            <w:pPr>
              <w:jc w:val="right"/>
              <w:rPr>
                <w:rFonts w:eastAsia="Times New Roman" w:cs="Times New Roman"/>
              </w:rPr>
            </w:pPr>
            <w:r w:rsidRPr="00283EB3">
              <w:rPr>
                <w:rFonts w:eastAsia="Times New Roman" w:cs="Times New Roman"/>
              </w:rPr>
              <w:t>NaN</w:t>
            </w:r>
          </w:p>
        </w:tc>
        <w:tc>
          <w:tcPr>
            <w:tcW w:w="1840" w:type="dxa"/>
            <w:tcBorders>
              <w:top w:val="nil"/>
              <w:left w:val="nil"/>
              <w:bottom w:val="nil"/>
              <w:right w:val="nil"/>
            </w:tcBorders>
            <w:shd w:val="clear" w:color="auto" w:fill="auto"/>
            <w:noWrap/>
            <w:vAlign w:val="bottom"/>
            <w:hideMark/>
          </w:tcPr>
          <w:p w14:paraId="0732E4E3" w14:textId="77777777" w:rsidR="00283EB3" w:rsidRPr="00283EB3" w:rsidRDefault="00283EB3" w:rsidP="00283EB3">
            <w:pPr>
              <w:jc w:val="right"/>
              <w:rPr>
                <w:rFonts w:eastAsia="Times New Roman" w:cs="Times New Roman"/>
              </w:rPr>
            </w:pPr>
            <w:r w:rsidRPr="00283EB3">
              <w:rPr>
                <w:rFonts w:eastAsia="Times New Roman" w:cs="Times New Roman"/>
              </w:rPr>
              <w:t>NaN</w:t>
            </w:r>
          </w:p>
        </w:tc>
        <w:tc>
          <w:tcPr>
            <w:tcW w:w="1340" w:type="dxa"/>
            <w:tcBorders>
              <w:top w:val="nil"/>
              <w:left w:val="nil"/>
              <w:bottom w:val="nil"/>
              <w:right w:val="nil"/>
            </w:tcBorders>
            <w:shd w:val="clear" w:color="auto" w:fill="auto"/>
            <w:noWrap/>
            <w:vAlign w:val="bottom"/>
            <w:hideMark/>
          </w:tcPr>
          <w:p w14:paraId="468383EC" w14:textId="77777777" w:rsidR="00283EB3" w:rsidRPr="00283EB3" w:rsidRDefault="00283EB3" w:rsidP="00283EB3">
            <w:pPr>
              <w:jc w:val="right"/>
              <w:rPr>
                <w:rFonts w:eastAsia="Times New Roman" w:cs="Times New Roman"/>
              </w:rPr>
            </w:pPr>
            <w:r w:rsidRPr="00283EB3">
              <w:rPr>
                <w:rFonts w:eastAsia="Times New Roman" w:cs="Times New Roman"/>
              </w:rPr>
              <w:t>1</w:t>
            </w:r>
          </w:p>
        </w:tc>
        <w:tc>
          <w:tcPr>
            <w:tcW w:w="1500" w:type="dxa"/>
            <w:tcBorders>
              <w:top w:val="nil"/>
              <w:left w:val="nil"/>
              <w:bottom w:val="nil"/>
              <w:right w:val="nil"/>
            </w:tcBorders>
            <w:shd w:val="clear" w:color="auto" w:fill="auto"/>
            <w:noWrap/>
            <w:vAlign w:val="bottom"/>
            <w:hideMark/>
          </w:tcPr>
          <w:p w14:paraId="3E68DC10" w14:textId="77777777" w:rsidR="00283EB3" w:rsidRPr="00283EB3" w:rsidRDefault="00283EB3" w:rsidP="00283EB3">
            <w:pPr>
              <w:jc w:val="right"/>
              <w:rPr>
                <w:rFonts w:eastAsia="Times New Roman" w:cs="Times New Roman"/>
              </w:rPr>
            </w:pPr>
            <w:r w:rsidRPr="00283EB3">
              <w:rPr>
                <w:rFonts w:eastAsia="Times New Roman" w:cs="Times New Roman"/>
              </w:rPr>
              <w:t>NaN</w:t>
            </w:r>
          </w:p>
        </w:tc>
      </w:tr>
      <w:tr w:rsidR="00283EB3" w:rsidRPr="00283EB3" w14:paraId="220F401B" w14:textId="77777777" w:rsidTr="00283EB3">
        <w:trPr>
          <w:trHeight w:val="380"/>
        </w:trPr>
        <w:tc>
          <w:tcPr>
            <w:tcW w:w="2920" w:type="dxa"/>
            <w:tcBorders>
              <w:top w:val="nil"/>
              <w:left w:val="nil"/>
              <w:bottom w:val="nil"/>
              <w:right w:val="nil"/>
            </w:tcBorders>
            <w:shd w:val="clear" w:color="auto" w:fill="auto"/>
            <w:noWrap/>
            <w:vAlign w:val="bottom"/>
            <w:hideMark/>
          </w:tcPr>
          <w:p w14:paraId="3ED0B99D" w14:textId="77777777" w:rsidR="00283EB3" w:rsidRPr="00283EB3" w:rsidRDefault="00283EB3" w:rsidP="00283EB3">
            <w:pPr>
              <w:jc w:val="right"/>
              <w:rPr>
                <w:rFonts w:eastAsia="Times New Roman" w:cs="Times New Roman"/>
              </w:rPr>
            </w:pPr>
          </w:p>
        </w:tc>
        <w:tc>
          <w:tcPr>
            <w:tcW w:w="1080" w:type="dxa"/>
            <w:tcBorders>
              <w:top w:val="nil"/>
              <w:left w:val="nil"/>
              <w:bottom w:val="nil"/>
              <w:right w:val="nil"/>
            </w:tcBorders>
            <w:shd w:val="clear" w:color="auto" w:fill="auto"/>
            <w:noWrap/>
            <w:vAlign w:val="bottom"/>
            <w:hideMark/>
          </w:tcPr>
          <w:p w14:paraId="686D80F8" w14:textId="77777777" w:rsidR="00283EB3" w:rsidRPr="00283EB3" w:rsidRDefault="00283EB3" w:rsidP="00283EB3">
            <w:pPr>
              <w:rPr>
                <w:rFonts w:eastAsia="Times New Roman" w:cs="Times New Roman"/>
              </w:rPr>
            </w:pPr>
          </w:p>
        </w:tc>
        <w:tc>
          <w:tcPr>
            <w:tcW w:w="1680" w:type="dxa"/>
            <w:tcBorders>
              <w:top w:val="nil"/>
              <w:left w:val="nil"/>
              <w:bottom w:val="nil"/>
              <w:right w:val="nil"/>
            </w:tcBorders>
            <w:shd w:val="clear" w:color="auto" w:fill="auto"/>
            <w:noWrap/>
            <w:vAlign w:val="bottom"/>
            <w:hideMark/>
          </w:tcPr>
          <w:p w14:paraId="4BF98821" w14:textId="77777777" w:rsidR="00283EB3" w:rsidRPr="00283EB3" w:rsidRDefault="00283EB3" w:rsidP="00283EB3">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3EE83241" w14:textId="77777777" w:rsidR="00283EB3" w:rsidRPr="00283EB3" w:rsidRDefault="00283EB3" w:rsidP="00283EB3">
            <w:pPr>
              <w:rPr>
                <w:rFonts w:eastAsia="Times New Roman" w:cs="Times New Roman"/>
              </w:rPr>
            </w:pPr>
          </w:p>
        </w:tc>
        <w:tc>
          <w:tcPr>
            <w:tcW w:w="1840" w:type="dxa"/>
            <w:tcBorders>
              <w:top w:val="nil"/>
              <w:left w:val="nil"/>
              <w:bottom w:val="nil"/>
              <w:right w:val="nil"/>
            </w:tcBorders>
            <w:shd w:val="clear" w:color="auto" w:fill="auto"/>
            <w:noWrap/>
            <w:vAlign w:val="bottom"/>
            <w:hideMark/>
          </w:tcPr>
          <w:p w14:paraId="6CDCC067" w14:textId="77777777" w:rsidR="00283EB3" w:rsidRPr="00283EB3" w:rsidRDefault="00283EB3" w:rsidP="00283EB3">
            <w:pPr>
              <w:rPr>
                <w:rFonts w:eastAsia="Times New Roman" w:cs="Times New Roman"/>
              </w:rPr>
            </w:pPr>
          </w:p>
        </w:tc>
        <w:tc>
          <w:tcPr>
            <w:tcW w:w="1340" w:type="dxa"/>
            <w:tcBorders>
              <w:top w:val="nil"/>
              <w:left w:val="nil"/>
              <w:bottom w:val="nil"/>
              <w:right w:val="nil"/>
            </w:tcBorders>
            <w:shd w:val="clear" w:color="auto" w:fill="auto"/>
            <w:noWrap/>
            <w:vAlign w:val="bottom"/>
            <w:hideMark/>
          </w:tcPr>
          <w:p w14:paraId="6BCE129F" w14:textId="77777777" w:rsidR="00283EB3" w:rsidRPr="00283EB3" w:rsidRDefault="00283EB3" w:rsidP="00283EB3">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5BAD4A7B" w14:textId="77777777" w:rsidR="00283EB3" w:rsidRPr="00283EB3" w:rsidRDefault="00283EB3" w:rsidP="00283EB3">
            <w:pPr>
              <w:rPr>
                <w:rFonts w:eastAsia="Times New Roman" w:cs="Times New Roman"/>
              </w:rPr>
            </w:pPr>
          </w:p>
        </w:tc>
      </w:tr>
      <w:tr w:rsidR="00283EB3" w:rsidRPr="00283EB3" w14:paraId="4C978FE8" w14:textId="77777777" w:rsidTr="00283EB3">
        <w:trPr>
          <w:trHeight w:val="380"/>
        </w:trPr>
        <w:tc>
          <w:tcPr>
            <w:tcW w:w="2920" w:type="dxa"/>
            <w:tcBorders>
              <w:top w:val="nil"/>
              <w:left w:val="nil"/>
              <w:bottom w:val="nil"/>
              <w:right w:val="nil"/>
            </w:tcBorders>
            <w:shd w:val="clear" w:color="auto" w:fill="auto"/>
            <w:noWrap/>
            <w:vAlign w:val="bottom"/>
            <w:hideMark/>
          </w:tcPr>
          <w:p w14:paraId="364DB119" w14:textId="77777777" w:rsidR="00283EB3" w:rsidRPr="00283EB3" w:rsidRDefault="00283EB3" w:rsidP="00283EB3">
            <w:pPr>
              <w:rPr>
                <w:rFonts w:eastAsia="Times New Roman" w:cs="Times New Roman"/>
                <w:b/>
                <w:bCs/>
              </w:rPr>
            </w:pPr>
            <w:r w:rsidRPr="00283EB3">
              <w:rPr>
                <w:rFonts w:eastAsia="Times New Roman" w:cs="Times New Roman"/>
                <w:b/>
                <w:bCs/>
              </w:rPr>
              <w:t>Weighted UniFrac</w:t>
            </w:r>
          </w:p>
        </w:tc>
        <w:tc>
          <w:tcPr>
            <w:tcW w:w="1080" w:type="dxa"/>
            <w:tcBorders>
              <w:top w:val="nil"/>
              <w:left w:val="nil"/>
              <w:bottom w:val="nil"/>
              <w:right w:val="nil"/>
            </w:tcBorders>
            <w:shd w:val="clear" w:color="auto" w:fill="auto"/>
            <w:noWrap/>
            <w:vAlign w:val="bottom"/>
            <w:hideMark/>
          </w:tcPr>
          <w:p w14:paraId="5D8FEF6F" w14:textId="77777777" w:rsidR="00283EB3" w:rsidRPr="00283EB3" w:rsidRDefault="00283EB3" w:rsidP="00283EB3">
            <w:pPr>
              <w:rPr>
                <w:rFonts w:eastAsia="Times New Roman" w:cs="Times New Roman"/>
                <w:b/>
                <w:bCs/>
              </w:rPr>
            </w:pPr>
          </w:p>
        </w:tc>
        <w:tc>
          <w:tcPr>
            <w:tcW w:w="1680" w:type="dxa"/>
            <w:tcBorders>
              <w:top w:val="nil"/>
              <w:left w:val="nil"/>
              <w:bottom w:val="nil"/>
              <w:right w:val="nil"/>
            </w:tcBorders>
            <w:shd w:val="clear" w:color="auto" w:fill="auto"/>
            <w:noWrap/>
            <w:vAlign w:val="bottom"/>
            <w:hideMark/>
          </w:tcPr>
          <w:p w14:paraId="75E16FFB" w14:textId="77777777" w:rsidR="00283EB3" w:rsidRPr="00283EB3" w:rsidRDefault="00283EB3" w:rsidP="00283EB3">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6491D748" w14:textId="77777777" w:rsidR="00283EB3" w:rsidRPr="00283EB3" w:rsidRDefault="00283EB3" w:rsidP="00283EB3">
            <w:pPr>
              <w:rPr>
                <w:rFonts w:eastAsia="Times New Roman" w:cs="Times New Roman"/>
              </w:rPr>
            </w:pPr>
          </w:p>
        </w:tc>
        <w:tc>
          <w:tcPr>
            <w:tcW w:w="1840" w:type="dxa"/>
            <w:tcBorders>
              <w:top w:val="nil"/>
              <w:left w:val="nil"/>
              <w:bottom w:val="nil"/>
              <w:right w:val="nil"/>
            </w:tcBorders>
            <w:shd w:val="clear" w:color="auto" w:fill="auto"/>
            <w:noWrap/>
            <w:vAlign w:val="bottom"/>
            <w:hideMark/>
          </w:tcPr>
          <w:p w14:paraId="49FCE2F6" w14:textId="77777777" w:rsidR="00283EB3" w:rsidRPr="00283EB3" w:rsidRDefault="00283EB3" w:rsidP="00283EB3">
            <w:pPr>
              <w:rPr>
                <w:rFonts w:eastAsia="Times New Roman" w:cs="Times New Roman"/>
              </w:rPr>
            </w:pPr>
          </w:p>
        </w:tc>
        <w:tc>
          <w:tcPr>
            <w:tcW w:w="1340" w:type="dxa"/>
            <w:tcBorders>
              <w:top w:val="nil"/>
              <w:left w:val="nil"/>
              <w:bottom w:val="nil"/>
              <w:right w:val="nil"/>
            </w:tcBorders>
            <w:shd w:val="clear" w:color="auto" w:fill="auto"/>
            <w:noWrap/>
            <w:vAlign w:val="bottom"/>
            <w:hideMark/>
          </w:tcPr>
          <w:p w14:paraId="059BD03C" w14:textId="77777777" w:rsidR="00283EB3" w:rsidRPr="00283EB3" w:rsidRDefault="00283EB3" w:rsidP="00283EB3">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4590519B" w14:textId="77777777" w:rsidR="00283EB3" w:rsidRPr="00283EB3" w:rsidRDefault="00283EB3" w:rsidP="00283EB3">
            <w:pPr>
              <w:rPr>
                <w:rFonts w:eastAsia="Times New Roman" w:cs="Times New Roman"/>
              </w:rPr>
            </w:pPr>
          </w:p>
        </w:tc>
      </w:tr>
      <w:tr w:rsidR="00283EB3" w:rsidRPr="00283EB3" w14:paraId="33A9739B" w14:textId="77777777" w:rsidTr="00283EB3">
        <w:trPr>
          <w:trHeight w:val="380"/>
        </w:trPr>
        <w:tc>
          <w:tcPr>
            <w:tcW w:w="2920" w:type="dxa"/>
            <w:tcBorders>
              <w:top w:val="nil"/>
              <w:left w:val="nil"/>
              <w:bottom w:val="nil"/>
              <w:right w:val="nil"/>
            </w:tcBorders>
            <w:shd w:val="clear" w:color="auto" w:fill="auto"/>
            <w:noWrap/>
            <w:vAlign w:val="bottom"/>
            <w:hideMark/>
          </w:tcPr>
          <w:p w14:paraId="6D78A6FF" w14:textId="77777777" w:rsidR="00283EB3" w:rsidRPr="00283EB3" w:rsidRDefault="00283EB3" w:rsidP="00283EB3">
            <w:pPr>
              <w:rPr>
                <w:rFonts w:eastAsia="Times New Roman" w:cs="Times New Roman"/>
              </w:rPr>
            </w:pPr>
          </w:p>
        </w:tc>
        <w:tc>
          <w:tcPr>
            <w:tcW w:w="1080" w:type="dxa"/>
            <w:tcBorders>
              <w:top w:val="nil"/>
              <w:left w:val="nil"/>
              <w:bottom w:val="nil"/>
              <w:right w:val="nil"/>
            </w:tcBorders>
            <w:shd w:val="clear" w:color="auto" w:fill="auto"/>
            <w:noWrap/>
            <w:vAlign w:val="bottom"/>
            <w:hideMark/>
          </w:tcPr>
          <w:p w14:paraId="48AB7E2C" w14:textId="77777777" w:rsidR="00283EB3" w:rsidRPr="00283EB3" w:rsidRDefault="00283EB3" w:rsidP="00283EB3">
            <w:pPr>
              <w:rPr>
                <w:rFonts w:eastAsia="Times New Roman" w:cs="Times New Roman"/>
              </w:rPr>
            </w:pPr>
          </w:p>
        </w:tc>
        <w:tc>
          <w:tcPr>
            <w:tcW w:w="1680" w:type="dxa"/>
            <w:tcBorders>
              <w:top w:val="nil"/>
              <w:left w:val="nil"/>
              <w:bottom w:val="nil"/>
              <w:right w:val="nil"/>
            </w:tcBorders>
            <w:shd w:val="clear" w:color="auto" w:fill="auto"/>
            <w:noWrap/>
            <w:vAlign w:val="bottom"/>
            <w:hideMark/>
          </w:tcPr>
          <w:p w14:paraId="7614296F" w14:textId="77777777" w:rsidR="00283EB3" w:rsidRPr="00283EB3" w:rsidRDefault="00283EB3" w:rsidP="00283EB3">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7E868427" w14:textId="77777777" w:rsidR="00283EB3" w:rsidRPr="00283EB3" w:rsidRDefault="00283EB3" w:rsidP="00283EB3">
            <w:pPr>
              <w:rPr>
                <w:rFonts w:eastAsia="Times New Roman" w:cs="Times New Roman"/>
              </w:rPr>
            </w:pPr>
          </w:p>
        </w:tc>
        <w:tc>
          <w:tcPr>
            <w:tcW w:w="1840" w:type="dxa"/>
            <w:tcBorders>
              <w:top w:val="nil"/>
              <w:left w:val="nil"/>
              <w:bottom w:val="nil"/>
              <w:right w:val="nil"/>
            </w:tcBorders>
            <w:shd w:val="clear" w:color="auto" w:fill="auto"/>
            <w:noWrap/>
            <w:vAlign w:val="bottom"/>
            <w:hideMark/>
          </w:tcPr>
          <w:p w14:paraId="0988BDB0" w14:textId="77777777" w:rsidR="00283EB3" w:rsidRPr="00283EB3" w:rsidRDefault="00283EB3" w:rsidP="00283EB3">
            <w:pPr>
              <w:rPr>
                <w:rFonts w:eastAsia="Times New Roman" w:cs="Times New Roman"/>
              </w:rPr>
            </w:pPr>
          </w:p>
        </w:tc>
        <w:tc>
          <w:tcPr>
            <w:tcW w:w="1340" w:type="dxa"/>
            <w:tcBorders>
              <w:top w:val="nil"/>
              <w:left w:val="nil"/>
              <w:bottom w:val="nil"/>
              <w:right w:val="nil"/>
            </w:tcBorders>
            <w:shd w:val="clear" w:color="auto" w:fill="auto"/>
            <w:noWrap/>
            <w:vAlign w:val="bottom"/>
            <w:hideMark/>
          </w:tcPr>
          <w:p w14:paraId="5DE1C39B" w14:textId="77777777" w:rsidR="00283EB3" w:rsidRPr="00283EB3" w:rsidRDefault="00283EB3" w:rsidP="00283EB3">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3919F3C4" w14:textId="77777777" w:rsidR="00283EB3" w:rsidRPr="00283EB3" w:rsidRDefault="00283EB3" w:rsidP="00283EB3">
            <w:pPr>
              <w:rPr>
                <w:rFonts w:eastAsia="Times New Roman" w:cs="Times New Roman"/>
              </w:rPr>
            </w:pPr>
          </w:p>
        </w:tc>
      </w:tr>
      <w:tr w:rsidR="00283EB3" w:rsidRPr="00283EB3" w14:paraId="7C4390E6" w14:textId="77777777" w:rsidTr="00283EB3">
        <w:trPr>
          <w:trHeight w:val="380"/>
        </w:trPr>
        <w:tc>
          <w:tcPr>
            <w:tcW w:w="2920" w:type="dxa"/>
            <w:tcBorders>
              <w:top w:val="nil"/>
              <w:left w:val="nil"/>
              <w:bottom w:val="single" w:sz="4" w:space="0" w:color="auto"/>
              <w:right w:val="nil"/>
            </w:tcBorders>
            <w:shd w:val="clear" w:color="auto" w:fill="auto"/>
            <w:noWrap/>
            <w:vAlign w:val="bottom"/>
            <w:hideMark/>
          </w:tcPr>
          <w:p w14:paraId="06C4CD24" w14:textId="77777777" w:rsidR="00283EB3" w:rsidRPr="00283EB3" w:rsidRDefault="00283EB3" w:rsidP="00283EB3">
            <w:pPr>
              <w:rPr>
                <w:rFonts w:eastAsia="Times New Roman" w:cs="Times New Roman"/>
              </w:rPr>
            </w:pPr>
            <w:r w:rsidRPr="00283EB3">
              <w:rPr>
                <w:rFonts w:eastAsia="Times New Roman" w:cs="Times New Roman"/>
              </w:rPr>
              <w:t> </w:t>
            </w:r>
          </w:p>
        </w:tc>
        <w:tc>
          <w:tcPr>
            <w:tcW w:w="1080" w:type="dxa"/>
            <w:tcBorders>
              <w:top w:val="nil"/>
              <w:left w:val="nil"/>
              <w:bottom w:val="single" w:sz="4" w:space="0" w:color="auto"/>
              <w:right w:val="nil"/>
            </w:tcBorders>
            <w:shd w:val="clear" w:color="auto" w:fill="auto"/>
            <w:noWrap/>
            <w:vAlign w:val="bottom"/>
            <w:hideMark/>
          </w:tcPr>
          <w:p w14:paraId="46FE8AA9" w14:textId="77777777" w:rsidR="00283EB3" w:rsidRPr="00283EB3" w:rsidRDefault="00283EB3" w:rsidP="00283EB3">
            <w:pPr>
              <w:rPr>
                <w:rFonts w:eastAsia="Times New Roman" w:cs="Times New Roman"/>
                <w:b/>
                <w:bCs/>
              </w:rPr>
            </w:pPr>
            <w:r w:rsidRPr="00283EB3">
              <w:rPr>
                <w:rFonts w:eastAsia="Times New Roman" w:cs="Times New Roman"/>
                <w:b/>
                <w:bCs/>
              </w:rPr>
              <w:t>Df</w:t>
            </w:r>
          </w:p>
        </w:tc>
        <w:tc>
          <w:tcPr>
            <w:tcW w:w="1680" w:type="dxa"/>
            <w:tcBorders>
              <w:top w:val="nil"/>
              <w:left w:val="nil"/>
              <w:bottom w:val="single" w:sz="4" w:space="0" w:color="auto"/>
              <w:right w:val="nil"/>
            </w:tcBorders>
            <w:shd w:val="clear" w:color="auto" w:fill="auto"/>
            <w:noWrap/>
            <w:vAlign w:val="bottom"/>
            <w:hideMark/>
          </w:tcPr>
          <w:p w14:paraId="2E1A5228" w14:textId="77777777" w:rsidR="00283EB3" w:rsidRPr="00283EB3" w:rsidRDefault="00283EB3" w:rsidP="00283EB3">
            <w:pPr>
              <w:rPr>
                <w:rFonts w:eastAsia="Times New Roman" w:cs="Times New Roman"/>
                <w:b/>
                <w:bCs/>
              </w:rPr>
            </w:pPr>
            <w:r w:rsidRPr="00283EB3">
              <w:rPr>
                <w:rFonts w:eastAsia="Times New Roman" w:cs="Times New Roman"/>
                <w:b/>
                <w:bCs/>
              </w:rPr>
              <w:t>SumsOfSqs</w:t>
            </w:r>
          </w:p>
        </w:tc>
        <w:tc>
          <w:tcPr>
            <w:tcW w:w="1480" w:type="dxa"/>
            <w:tcBorders>
              <w:top w:val="nil"/>
              <w:left w:val="nil"/>
              <w:bottom w:val="single" w:sz="4" w:space="0" w:color="auto"/>
              <w:right w:val="nil"/>
            </w:tcBorders>
            <w:shd w:val="clear" w:color="auto" w:fill="auto"/>
            <w:noWrap/>
            <w:vAlign w:val="bottom"/>
            <w:hideMark/>
          </w:tcPr>
          <w:p w14:paraId="42CE9D6D" w14:textId="77777777" w:rsidR="00283EB3" w:rsidRPr="00283EB3" w:rsidRDefault="00283EB3" w:rsidP="00283EB3">
            <w:pPr>
              <w:rPr>
                <w:rFonts w:eastAsia="Times New Roman" w:cs="Times New Roman"/>
                <w:b/>
                <w:bCs/>
              </w:rPr>
            </w:pPr>
            <w:r w:rsidRPr="00283EB3">
              <w:rPr>
                <w:rFonts w:eastAsia="Times New Roman" w:cs="Times New Roman"/>
                <w:b/>
                <w:bCs/>
              </w:rPr>
              <w:t>MeanSqs</w:t>
            </w:r>
          </w:p>
        </w:tc>
        <w:tc>
          <w:tcPr>
            <w:tcW w:w="1840" w:type="dxa"/>
            <w:tcBorders>
              <w:top w:val="nil"/>
              <w:left w:val="nil"/>
              <w:bottom w:val="single" w:sz="4" w:space="0" w:color="auto"/>
              <w:right w:val="nil"/>
            </w:tcBorders>
            <w:shd w:val="clear" w:color="auto" w:fill="auto"/>
            <w:noWrap/>
            <w:vAlign w:val="bottom"/>
            <w:hideMark/>
          </w:tcPr>
          <w:p w14:paraId="0B7A30B9" w14:textId="77777777" w:rsidR="00283EB3" w:rsidRPr="00283EB3" w:rsidRDefault="00283EB3" w:rsidP="00283EB3">
            <w:pPr>
              <w:rPr>
                <w:rFonts w:eastAsia="Times New Roman" w:cs="Times New Roman"/>
                <w:b/>
                <w:bCs/>
              </w:rPr>
            </w:pPr>
            <w:r w:rsidRPr="00283EB3">
              <w:rPr>
                <w:rFonts w:eastAsia="Times New Roman" w:cs="Times New Roman"/>
                <w:b/>
                <w:bCs/>
              </w:rPr>
              <w:t>F.Model</w:t>
            </w:r>
          </w:p>
        </w:tc>
        <w:tc>
          <w:tcPr>
            <w:tcW w:w="1340" w:type="dxa"/>
            <w:tcBorders>
              <w:top w:val="nil"/>
              <w:left w:val="nil"/>
              <w:bottom w:val="single" w:sz="4" w:space="0" w:color="auto"/>
              <w:right w:val="nil"/>
            </w:tcBorders>
            <w:shd w:val="clear" w:color="auto" w:fill="auto"/>
            <w:noWrap/>
            <w:vAlign w:val="bottom"/>
            <w:hideMark/>
          </w:tcPr>
          <w:p w14:paraId="69ABDFAD" w14:textId="77777777" w:rsidR="00283EB3" w:rsidRPr="00283EB3" w:rsidRDefault="00283EB3" w:rsidP="00283EB3">
            <w:pPr>
              <w:rPr>
                <w:rFonts w:eastAsia="Times New Roman" w:cs="Times New Roman"/>
                <w:b/>
                <w:bCs/>
              </w:rPr>
            </w:pPr>
            <w:r w:rsidRPr="00283EB3">
              <w:rPr>
                <w:rFonts w:eastAsia="Times New Roman" w:cs="Times New Roman"/>
                <w:b/>
                <w:bCs/>
              </w:rPr>
              <w:t>R2</w:t>
            </w:r>
          </w:p>
        </w:tc>
        <w:tc>
          <w:tcPr>
            <w:tcW w:w="1500" w:type="dxa"/>
            <w:tcBorders>
              <w:top w:val="nil"/>
              <w:left w:val="nil"/>
              <w:bottom w:val="single" w:sz="4" w:space="0" w:color="auto"/>
              <w:right w:val="nil"/>
            </w:tcBorders>
            <w:shd w:val="clear" w:color="auto" w:fill="auto"/>
            <w:noWrap/>
            <w:vAlign w:val="bottom"/>
            <w:hideMark/>
          </w:tcPr>
          <w:p w14:paraId="01B0F214" w14:textId="77777777" w:rsidR="00283EB3" w:rsidRPr="00283EB3" w:rsidRDefault="00283EB3" w:rsidP="00283EB3">
            <w:pPr>
              <w:rPr>
                <w:rFonts w:eastAsia="Times New Roman" w:cs="Times New Roman"/>
                <w:b/>
                <w:bCs/>
              </w:rPr>
            </w:pPr>
            <w:r w:rsidRPr="00283EB3">
              <w:rPr>
                <w:rFonts w:eastAsia="Times New Roman" w:cs="Times New Roman"/>
                <w:b/>
                <w:bCs/>
              </w:rPr>
              <w:t>p-value</w:t>
            </w:r>
          </w:p>
        </w:tc>
      </w:tr>
      <w:tr w:rsidR="00283EB3" w:rsidRPr="00283EB3" w14:paraId="2C80036F" w14:textId="77777777" w:rsidTr="00283EB3">
        <w:trPr>
          <w:trHeight w:val="380"/>
        </w:trPr>
        <w:tc>
          <w:tcPr>
            <w:tcW w:w="2920" w:type="dxa"/>
            <w:tcBorders>
              <w:top w:val="nil"/>
              <w:left w:val="nil"/>
              <w:bottom w:val="nil"/>
              <w:right w:val="nil"/>
            </w:tcBorders>
            <w:shd w:val="clear" w:color="auto" w:fill="auto"/>
            <w:noWrap/>
            <w:vAlign w:val="bottom"/>
            <w:hideMark/>
          </w:tcPr>
          <w:p w14:paraId="471ACB22" w14:textId="77777777" w:rsidR="00283EB3" w:rsidRPr="00283EB3" w:rsidRDefault="00283EB3" w:rsidP="00283EB3">
            <w:pPr>
              <w:rPr>
                <w:rFonts w:eastAsia="Times New Roman" w:cs="Times New Roman"/>
                <w:b/>
                <w:bCs/>
              </w:rPr>
            </w:pPr>
            <w:r w:rsidRPr="00283EB3">
              <w:rPr>
                <w:rFonts w:eastAsia="Times New Roman" w:cs="Times New Roman"/>
                <w:b/>
                <w:bCs/>
              </w:rPr>
              <w:t>Palm identity</w:t>
            </w:r>
          </w:p>
        </w:tc>
        <w:tc>
          <w:tcPr>
            <w:tcW w:w="1080" w:type="dxa"/>
            <w:tcBorders>
              <w:top w:val="nil"/>
              <w:left w:val="nil"/>
              <w:bottom w:val="nil"/>
              <w:right w:val="nil"/>
            </w:tcBorders>
            <w:shd w:val="clear" w:color="auto" w:fill="auto"/>
            <w:noWrap/>
            <w:vAlign w:val="bottom"/>
            <w:hideMark/>
          </w:tcPr>
          <w:p w14:paraId="69EFA068" w14:textId="77777777" w:rsidR="00283EB3" w:rsidRPr="00283EB3" w:rsidRDefault="00283EB3" w:rsidP="00283EB3">
            <w:pPr>
              <w:jc w:val="right"/>
              <w:rPr>
                <w:rFonts w:eastAsia="Times New Roman" w:cs="Times New Roman"/>
              </w:rPr>
            </w:pPr>
            <w:r w:rsidRPr="00283EB3">
              <w:rPr>
                <w:rFonts w:eastAsia="Times New Roman" w:cs="Times New Roman"/>
              </w:rPr>
              <w:t>12</w:t>
            </w:r>
          </w:p>
        </w:tc>
        <w:tc>
          <w:tcPr>
            <w:tcW w:w="1680" w:type="dxa"/>
            <w:tcBorders>
              <w:top w:val="nil"/>
              <w:left w:val="nil"/>
              <w:bottom w:val="nil"/>
              <w:right w:val="nil"/>
            </w:tcBorders>
            <w:shd w:val="clear" w:color="auto" w:fill="auto"/>
            <w:noWrap/>
            <w:vAlign w:val="bottom"/>
            <w:hideMark/>
          </w:tcPr>
          <w:p w14:paraId="28E99371" w14:textId="77777777" w:rsidR="00283EB3" w:rsidRPr="00283EB3" w:rsidRDefault="00283EB3" w:rsidP="00283EB3">
            <w:pPr>
              <w:jc w:val="right"/>
              <w:rPr>
                <w:rFonts w:eastAsia="Times New Roman" w:cs="Times New Roman"/>
              </w:rPr>
            </w:pPr>
            <w:r w:rsidRPr="00283EB3">
              <w:rPr>
                <w:rFonts w:eastAsia="Times New Roman" w:cs="Times New Roman"/>
              </w:rPr>
              <w:t>0.817136</w:t>
            </w:r>
          </w:p>
        </w:tc>
        <w:tc>
          <w:tcPr>
            <w:tcW w:w="1480" w:type="dxa"/>
            <w:tcBorders>
              <w:top w:val="nil"/>
              <w:left w:val="nil"/>
              <w:bottom w:val="nil"/>
              <w:right w:val="nil"/>
            </w:tcBorders>
            <w:shd w:val="clear" w:color="auto" w:fill="auto"/>
            <w:noWrap/>
            <w:vAlign w:val="bottom"/>
            <w:hideMark/>
          </w:tcPr>
          <w:p w14:paraId="23CA31D7" w14:textId="77777777" w:rsidR="00283EB3" w:rsidRPr="00283EB3" w:rsidRDefault="00283EB3" w:rsidP="00283EB3">
            <w:pPr>
              <w:jc w:val="right"/>
              <w:rPr>
                <w:rFonts w:eastAsia="Times New Roman" w:cs="Times New Roman"/>
              </w:rPr>
            </w:pPr>
            <w:r w:rsidRPr="00283EB3">
              <w:rPr>
                <w:rFonts w:eastAsia="Times New Roman" w:cs="Times New Roman"/>
              </w:rPr>
              <w:t>0.068095</w:t>
            </w:r>
          </w:p>
        </w:tc>
        <w:tc>
          <w:tcPr>
            <w:tcW w:w="1840" w:type="dxa"/>
            <w:tcBorders>
              <w:top w:val="nil"/>
              <w:left w:val="nil"/>
              <w:bottom w:val="nil"/>
              <w:right w:val="nil"/>
            </w:tcBorders>
            <w:shd w:val="clear" w:color="auto" w:fill="auto"/>
            <w:noWrap/>
            <w:vAlign w:val="bottom"/>
            <w:hideMark/>
          </w:tcPr>
          <w:p w14:paraId="1EE6CC24" w14:textId="77777777" w:rsidR="00283EB3" w:rsidRPr="00283EB3" w:rsidRDefault="00283EB3" w:rsidP="00283EB3">
            <w:pPr>
              <w:jc w:val="right"/>
              <w:rPr>
                <w:rFonts w:eastAsia="Times New Roman" w:cs="Times New Roman"/>
              </w:rPr>
            </w:pPr>
            <w:r w:rsidRPr="00283EB3">
              <w:rPr>
                <w:rFonts w:eastAsia="Times New Roman" w:cs="Times New Roman"/>
              </w:rPr>
              <w:t>3.866874</w:t>
            </w:r>
          </w:p>
        </w:tc>
        <w:tc>
          <w:tcPr>
            <w:tcW w:w="1340" w:type="dxa"/>
            <w:tcBorders>
              <w:top w:val="nil"/>
              <w:left w:val="nil"/>
              <w:bottom w:val="nil"/>
              <w:right w:val="nil"/>
            </w:tcBorders>
            <w:shd w:val="clear" w:color="auto" w:fill="auto"/>
            <w:noWrap/>
            <w:vAlign w:val="bottom"/>
            <w:hideMark/>
          </w:tcPr>
          <w:p w14:paraId="17323C0D" w14:textId="77777777" w:rsidR="00283EB3" w:rsidRPr="00283EB3" w:rsidRDefault="00283EB3" w:rsidP="00283EB3">
            <w:pPr>
              <w:jc w:val="right"/>
              <w:rPr>
                <w:rFonts w:eastAsia="Times New Roman" w:cs="Times New Roman"/>
              </w:rPr>
            </w:pPr>
            <w:r w:rsidRPr="00283EB3">
              <w:rPr>
                <w:rFonts w:eastAsia="Times New Roman" w:cs="Times New Roman"/>
              </w:rPr>
              <w:t>0.312843</w:t>
            </w:r>
          </w:p>
        </w:tc>
        <w:tc>
          <w:tcPr>
            <w:tcW w:w="1500" w:type="dxa"/>
            <w:tcBorders>
              <w:top w:val="nil"/>
              <w:left w:val="nil"/>
              <w:bottom w:val="nil"/>
              <w:right w:val="nil"/>
            </w:tcBorders>
            <w:shd w:val="clear" w:color="auto" w:fill="auto"/>
            <w:noWrap/>
            <w:vAlign w:val="bottom"/>
            <w:hideMark/>
          </w:tcPr>
          <w:p w14:paraId="7D367052" w14:textId="77777777" w:rsidR="00283EB3" w:rsidRPr="00283EB3" w:rsidRDefault="00283EB3" w:rsidP="00283EB3">
            <w:pPr>
              <w:jc w:val="right"/>
              <w:rPr>
                <w:rFonts w:eastAsia="Times New Roman" w:cs="Times New Roman"/>
                <w:b/>
                <w:bCs/>
              </w:rPr>
            </w:pPr>
            <w:r w:rsidRPr="00283EB3">
              <w:rPr>
                <w:rFonts w:eastAsia="Times New Roman" w:cs="Times New Roman"/>
                <w:b/>
                <w:bCs/>
              </w:rPr>
              <w:t>0.001</w:t>
            </w:r>
          </w:p>
        </w:tc>
      </w:tr>
      <w:tr w:rsidR="00283EB3" w:rsidRPr="00283EB3" w14:paraId="4E1042DD" w14:textId="77777777" w:rsidTr="00283EB3">
        <w:trPr>
          <w:trHeight w:val="380"/>
        </w:trPr>
        <w:tc>
          <w:tcPr>
            <w:tcW w:w="2920" w:type="dxa"/>
            <w:tcBorders>
              <w:top w:val="nil"/>
              <w:left w:val="nil"/>
              <w:bottom w:val="nil"/>
              <w:right w:val="nil"/>
            </w:tcBorders>
            <w:shd w:val="clear" w:color="auto" w:fill="auto"/>
            <w:noWrap/>
            <w:vAlign w:val="bottom"/>
            <w:hideMark/>
          </w:tcPr>
          <w:p w14:paraId="461086BA" w14:textId="77777777" w:rsidR="00283EB3" w:rsidRPr="00283EB3" w:rsidRDefault="00283EB3" w:rsidP="00283EB3">
            <w:pPr>
              <w:rPr>
                <w:rFonts w:eastAsia="Times New Roman" w:cs="Times New Roman"/>
                <w:b/>
                <w:bCs/>
              </w:rPr>
            </w:pPr>
            <w:r w:rsidRPr="00283EB3">
              <w:rPr>
                <w:rFonts w:eastAsia="Times New Roman" w:cs="Times New Roman"/>
                <w:b/>
                <w:bCs/>
              </w:rPr>
              <w:t>Age group</w:t>
            </w:r>
          </w:p>
        </w:tc>
        <w:tc>
          <w:tcPr>
            <w:tcW w:w="1080" w:type="dxa"/>
            <w:tcBorders>
              <w:top w:val="nil"/>
              <w:left w:val="nil"/>
              <w:bottom w:val="nil"/>
              <w:right w:val="nil"/>
            </w:tcBorders>
            <w:shd w:val="clear" w:color="auto" w:fill="auto"/>
            <w:noWrap/>
            <w:vAlign w:val="bottom"/>
            <w:hideMark/>
          </w:tcPr>
          <w:p w14:paraId="030D5967" w14:textId="77777777" w:rsidR="00283EB3" w:rsidRPr="00283EB3" w:rsidRDefault="00283EB3" w:rsidP="00283EB3">
            <w:pPr>
              <w:jc w:val="right"/>
              <w:rPr>
                <w:rFonts w:eastAsia="Times New Roman" w:cs="Times New Roman"/>
              </w:rPr>
            </w:pPr>
            <w:r w:rsidRPr="00283EB3">
              <w:rPr>
                <w:rFonts w:eastAsia="Times New Roman" w:cs="Times New Roman"/>
              </w:rPr>
              <w:t>1</w:t>
            </w:r>
          </w:p>
        </w:tc>
        <w:tc>
          <w:tcPr>
            <w:tcW w:w="1680" w:type="dxa"/>
            <w:tcBorders>
              <w:top w:val="nil"/>
              <w:left w:val="nil"/>
              <w:bottom w:val="nil"/>
              <w:right w:val="nil"/>
            </w:tcBorders>
            <w:shd w:val="clear" w:color="auto" w:fill="auto"/>
            <w:noWrap/>
            <w:vAlign w:val="bottom"/>
            <w:hideMark/>
          </w:tcPr>
          <w:p w14:paraId="322B7100" w14:textId="77777777" w:rsidR="00283EB3" w:rsidRPr="00283EB3" w:rsidRDefault="00283EB3" w:rsidP="00283EB3">
            <w:pPr>
              <w:jc w:val="right"/>
              <w:rPr>
                <w:rFonts w:eastAsia="Times New Roman" w:cs="Times New Roman"/>
              </w:rPr>
            </w:pPr>
            <w:r w:rsidRPr="00283EB3">
              <w:rPr>
                <w:rFonts w:eastAsia="Times New Roman" w:cs="Times New Roman"/>
              </w:rPr>
              <w:t>0.170083</w:t>
            </w:r>
          </w:p>
        </w:tc>
        <w:tc>
          <w:tcPr>
            <w:tcW w:w="1480" w:type="dxa"/>
            <w:tcBorders>
              <w:top w:val="nil"/>
              <w:left w:val="nil"/>
              <w:bottom w:val="nil"/>
              <w:right w:val="nil"/>
            </w:tcBorders>
            <w:shd w:val="clear" w:color="auto" w:fill="auto"/>
            <w:noWrap/>
            <w:vAlign w:val="bottom"/>
            <w:hideMark/>
          </w:tcPr>
          <w:p w14:paraId="479AE9C3" w14:textId="77777777" w:rsidR="00283EB3" w:rsidRPr="00283EB3" w:rsidRDefault="00283EB3" w:rsidP="00283EB3">
            <w:pPr>
              <w:jc w:val="right"/>
              <w:rPr>
                <w:rFonts w:eastAsia="Times New Roman" w:cs="Times New Roman"/>
              </w:rPr>
            </w:pPr>
            <w:r w:rsidRPr="00283EB3">
              <w:rPr>
                <w:rFonts w:eastAsia="Times New Roman" w:cs="Times New Roman"/>
              </w:rPr>
              <w:t>0.170083</w:t>
            </w:r>
          </w:p>
        </w:tc>
        <w:tc>
          <w:tcPr>
            <w:tcW w:w="1840" w:type="dxa"/>
            <w:tcBorders>
              <w:top w:val="nil"/>
              <w:left w:val="nil"/>
              <w:bottom w:val="nil"/>
              <w:right w:val="nil"/>
            </w:tcBorders>
            <w:shd w:val="clear" w:color="auto" w:fill="auto"/>
            <w:noWrap/>
            <w:vAlign w:val="bottom"/>
            <w:hideMark/>
          </w:tcPr>
          <w:p w14:paraId="1D06C9BD" w14:textId="77777777" w:rsidR="00283EB3" w:rsidRPr="00283EB3" w:rsidRDefault="00283EB3" w:rsidP="00283EB3">
            <w:pPr>
              <w:jc w:val="right"/>
              <w:rPr>
                <w:rFonts w:eastAsia="Times New Roman" w:cs="Times New Roman"/>
              </w:rPr>
            </w:pPr>
            <w:r w:rsidRPr="00283EB3">
              <w:rPr>
                <w:rFonts w:eastAsia="Times New Roman" w:cs="Times New Roman"/>
              </w:rPr>
              <w:t>9.658482</w:t>
            </w:r>
          </w:p>
        </w:tc>
        <w:tc>
          <w:tcPr>
            <w:tcW w:w="1340" w:type="dxa"/>
            <w:tcBorders>
              <w:top w:val="nil"/>
              <w:left w:val="nil"/>
              <w:bottom w:val="nil"/>
              <w:right w:val="nil"/>
            </w:tcBorders>
            <w:shd w:val="clear" w:color="auto" w:fill="auto"/>
            <w:noWrap/>
            <w:vAlign w:val="bottom"/>
            <w:hideMark/>
          </w:tcPr>
          <w:p w14:paraId="287620B8" w14:textId="77777777" w:rsidR="00283EB3" w:rsidRPr="00283EB3" w:rsidRDefault="00283EB3" w:rsidP="00283EB3">
            <w:pPr>
              <w:jc w:val="right"/>
              <w:rPr>
                <w:rFonts w:eastAsia="Times New Roman" w:cs="Times New Roman"/>
              </w:rPr>
            </w:pPr>
            <w:r w:rsidRPr="00283EB3">
              <w:rPr>
                <w:rFonts w:eastAsia="Times New Roman" w:cs="Times New Roman"/>
              </w:rPr>
              <w:t>0.065117</w:t>
            </w:r>
          </w:p>
        </w:tc>
        <w:tc>
          <w:tcPr>
            <w:tcW w:w="1500" w:type="dxa"/>
            <w:tcBorders>
              <w:top w:val="nil"/>
              <w:left w:val="nil"/>
              <w:bottom w:val="nil"/>
              <w:right w:val="nil"/>
            </w:tcBorders>
            <w:shd w:val="clear" w:color="auto" w:fill="auto"/>
            <w:noWrap/>
            <w:vAlign w:val="bottom"/>
            <w:hideMark/>
          </w:tcPr>
          <w:p w14:paraId="56D1EA24" w14:textId="77777777" w:rsidR="00283EB3" w:rsidRPr="00283EB3" w:rsidRDefault="00283EB3" w:rsidP="00283EB3">
            <w:pPr>
              <w:jc w:val="right"/>
              <w:rPr>
                <w:rFonts w:eastAsia="Times New Roman" w:cs="Times New Roman"/>
                <w:b/>
                <w:bCs/>
              </w:rPr>
            </w:pPr>
            <w:r w:rsidRPr="00283EB3">
              <w:rPr>
                <w:rFonts w:eastAsia="Times New Roman" w:cs="Times New Roman"/>
                <w:b/>
                <w:bCs/>
              </w:rPr>
              <w:t>0.001</w:t>
            </w:r>
          </w:p>
        </w:tc>
      </w:tr>
      <w:tr w:rsidR="00283EB3" w:rsidRPr="00283EB3" w14:paraId="3D2C371C" w14:textId="77777777" w:rsidTr="00283EB3">
        <w:trPr>
          <w:trHeight w:val="380"/>
        </w:trPr>
        <w:tc>
          <w:tcPr>
            <w:tcW w:w="2920" w:type="dxa"/>
            <w:tcBorders>
              <w:top w:val="nil"/>
              <w:left w:val="nil"/>
              <w:bottom w:val="nil"/>
              <w:right w:val="nil"/>
            </w:tcBorders>
            <w:shd w:val="clear" w:color="auto" w:fill="auto"/>
            <w:noWrap/>
            <w:vAlign w:val="bottom"/>
            <w:hideMark/>
          </w:tcPr>
          <w:p w14:paraId="60E205AE" w14:textId="77777777" w:rsidR="00283EB3" w:rsidRPr="00283EB3" w:rsidRDefault="00283EB3" w:rsidP="00283EB3">
            <w:pPr>
              <w:rPr>
                <w:rFonts w:eastAsia="Times New Roman" w:cs="Times New Roman"/>
                <w:b/>
                <w:bCs/>
              </w:rPr>
            </w:pPr>
            <w:r w:rsidRPr="00283EB3">
              <w:rPr>
                <w:rFonts w:eastAsia="Times New Roman" w:cs="Times New Roman"/>
                <w:b/>
                <w:bCs/>
              </w:rPr>
              <w:t>Habitat type</w:t>
            </w:r>
          </w:p>
        </w:tc>
        <w:tc>
          <w:tcPr>
            <w:tcW w:w="1080" w:type="dxa"/>
            <w:tcBorders>
              <w:top w:val="nil"/>
              <w:left w:val="nil"/>
              <w:bottom w:val="nil"/>
              <w:right w:val="nil"/>
            </w:tcBorders>
            <w:shd w:val="clear" w:color="auto" w:fill="auto"/>
            <w:noWrap/>
            <w:vAlign w:val="bottom"/>
            <w:hideMark/>
          </w:tcPr>
          <w:p w14:paraId="5A00C58B" w14:textId="77777777" w:rsidR="00283EB3" w:rsidRPr="00283EB3" w:rsidRDefault="00283EB3" w:rsidP="00283EB3">
            <w:pPr>
              <w:jc w:val="right"/>
              <w:rPr>
                <w:rFonts w:eastAsia="Times New Roman" w:cs="Times New Roman"/>
              </w:rPr>
            </w:pPr>
            <w:r w:rsidRPr="00283EB3">
              <w:rPr>
                <w:rFonts w:eastAsia="Times New Roman" w:cs="Times New Roman"/>
              </w:rPr>
              <w:t>2</w:t>
            </w:r>
          </w:p>
        </w:tc>
        <w:tc>
          <w:tcPr>
            <w:tcW w:w="1680" w:type="dxa"/>
            <w:tcBorders>
              <w:top w:val="nil"/>
              <w:left w:val="nil"/>
              <w:bottom w:val="nil"/>
              <w:right w:val="nil"/>
            </w:tcBorders>
            <w:shd w:val="clear" w:color="auto" w:fill="auto"/>
            <w:noWrap/>
            <w:vAlign w:val="bottom"/>
            <w:hideMark/>
          </w:tcPr>
          <w:p w14:paraId="6AA73D76" w14:textId="77777777" w:rsidR="00283EB3" w:rsidRPr="00283EB3" w:rsidRDefault="00283EB3" w:rsidP="00283EB3">
            <w:pPr>
              <w:jc w:val="right"/>
              <w:rPr>
                <w:rFonts w:eastAsia="Times New Roman" w:cs="Times New Roman"/>
              </w:rPr>
            </w:pPr>
            <w:r w:rsidRPr="00283EB3">
              <w:rPr>
                <w:rFonts w:eastAsia="Times New Roman" w:cs="Times New Roman"/>
              </w:rPr>
              <w:t>0</w:t>
            </w:r>
          </w:p>
        </w:tc>
        <w:tc>
          <w:tcPr>
            <w:tcW w:w="1480" w:type="dxa"/>
            <w:tcBorders>
              <w:top w:val="nil"/>
              <w:left w:val="nil"/>
              <w:bottom w:val="nil"/>
              <w:right w:val="nil"/>
            </w:tcBorders>
            <w:shd w:val="clear" w:color="auto" w:fill="auto"/>
            <w:noWrap/>
            <w:vAlign w:val="bottom"/>
            <w:hideMark/>
          </w:tcPr>
          <w:p w14:paraId="2CEDBB26" w14:textId="77777777" w:rsidR="00283EB3" w:rsidRPr="00283EB3" w:rsidRDefault="00283EB3" w:rsidP="00283EB3">
            <w:pPr>
              <w:jc w:val="right"/>
              <w:rPr>
                <w:rFonts w:eastAsia="Times New Roman" w:cs="Times New Roman"/>
              </w:rPr>
            </w:pPr>
            <w:r w:rsidRPr="00283EB3">
              <w:rPr>
                <w:rFonts w:eastAsia="Times New Roman" w:cs="Times New Roman"/>
              </w:rPr>
              <w:t>0</w:t>
            </w:r>
          </w:p>
        </w:tc>
        <w:tc>
          <w:tcPr>
            <w:tcW w:w="1840" w:type="dxa"/>
            <w:tcBorders>
              <w:top w:val="nil"/>
              <w:left w:val="nil"/>
              <w:bottom w:val="nil"/>
              <w:right w:val="nil"/>
            </w:tcBorders>
            <w:shd w:val="clear" w:color="auto" w:fill="auto"/>
            <w:noWrap/>
            <w:vAlign w:val="bottom"/>
            <w:hideMark/>
          </w:tcPr>
          <w:p w14:paraId="37316E22" w14:textId="77777777" w:rsidR="00283EB3" w:rsidRPr="00283EB3" w:rsidRDefault="00283EB3" w:rsidP="00283EB3">
            <w:pPr>
              <w:jc w:val="right"/>
              <w:rPr>
                <w:rFonts w:eastAsia="Times New Roman" w:cs="Times New Roman"/>
              </w:rPr>
            </w:pPr>
            <w:r w:rsidRPr="00283EB3">
              <w:rPr>
                <w:rFonts w:eastAsia="Times New Roman" w:cs="Times New Roman"/>
              </w:rPr>
              <w:t>0</w:t>
            </w:r>
          </w:p>
        </w:tc>
        <w:tc>
          <w:tcPr>
            <w:tcW w:w="1340" w:type="dxa"/>
            <w:tcBorders>
              <w:top w:val="nil"/>
              <w:left w:val="nil"/>
              <w:bottom w:val="nil"/>
              <w:right w:val="nil"/>
            </w:tcBorders>
            <w:shd w:val="clear" w:color="auto" w:fill="auto"/>
            <w:noWrap/>
            <w:vAlign w:val="bottom"/>
            <w:hideMark/>
          </w:tcPr>
          <w:p w14:paraId="7E5AD335" w14:textId="77777777" w:rsidR="00283EB3" w:rsidRPr="00283EB3" w:rsidRDefault="00283EB3" w:rsidP="00283EB3">
            <w:pPr>
              <w:jc w:val="right"/>
              <w:rPr>
                <w:rFonts w:eastAsia="Times New Roman" w:cs="Times New Roman"/>
              </w:rPr>
            </w:pPr>
            <w:r w:rsidRPr="00283EB3">
              <w:rPr>
                <w:rFonts w:eastAsia="Times New Roman" w:cs="Times New Roman"/>
              </w:rPr>
              <w:t>0</w:t>
            </w:r>
          </w:p>
        </w:tc>
        <w:tc>
          <w:tcPr>
            <w:tcW w:w="1500" w:type="dxa"/>
            <w:tcBorders>
              <w:top w:val="nil"/>
              <w:left w:val="nil"/>
              <w:bottom w:val="nil"/>
              <w:right w:val="nil"/>
            </w:tcBorders>
            <w:shd w:val="clear" w:color="auto" w:fill="auto"/>
            <w:noWrap/>
            <w:vAlign w:val="bottom"/>
            <w:hideMark/>
          </w:tcPr>
          <w:p w14:paraId="7D6595AE" w14:textId="77777777" w:rsidR="00283EB3" w:rsidRPr="00283EB3" w:rsidRDefault="00283EB3" w:rsidP="00283EB3">
            <w:pPr>
              <w:jc w:val="right"/>
              <w:rPr>
                <w:rFonts w:eastAsia="Times New Roman" w:cs="Times New Roman"/>
              </w:rPr>
            </w:pPr>
            <w:r w:rsidRPr="00283EB3">
              <w:rPr>
                <w:rFonts w:eastAsia="Times New Roman" w:cs="Times New Roman"/>
              </w:rPr>
              <w:t>NaN</w:t>
            </w:r>
          </w:p>
        </w:tc>
      </w:tr>
      <w:tr w:rsidR="00283EB3" w:rsidRPr="00283EB3" w14:paraId="6851929F" w14:textId="77777777" w:rsidTr="00283EB3">
        <w:trPr>
          <w:trHeight w:val="380"/>
        </w:trPr>
        <w:tc>
          <w:tcPr>
            <w:tcW w:w="2920" w:type="dxa"/>
            <w:tcBorders>
              <w:top w:val="nil"/>
              <w:left w:val="nil"/>
              <w:bottom w:val="nil"/>
              <w:right w:val="nil"/>
            </w:tcBorders>
            <w:shd w:val="clear" w:color="auto" w:fill="auto"/>
            <w:noWrap/>
            <w:vAlign w:val="bottom"/>
            <w:hideMark/>
          </w:tcPr>
          <w:p w14:paraId="644B1399" w14:textId="77777777" w:rsidR="00283EB3" w:rsidRPr="00283EB3" w:rsidRDefault="00283EB3" w:rsidP="00283EB3">
            <w:pPr>
              <w:rPr>
                <w:rFonts w:eastAsia="Times New Roman" w:cs="Times New Roman"/>
                <w:b/>
                <w:bCs/>
              </w:rPr>
            </w:pPr>
            <w:r w:rsidRPr="00283EB3">
              <w:rPr>
                <w:rFonts w:eastAsia="Times New Roman" w:cs="Times New Roman"/>
                <w:b/>
                <w:bCs/>
              </w:rPr>
              <w:t>Dominant blood meal</w:t>
            </w:r>
          </w:p>
        </w:tc>
        <w:tc>
          <w:tcPr>
            <w:tcW w:w="1080" w:type="dxa"/>
            <w:tcBorders>
              <w:top w:val="nil"/>
              <w:left w:val="nil"/>
              <w:bottom w:val="nil"/>
              <w:right w:val="nil"/>
            </w:tcBorders>
            <w:shd w:val="clear" w:color="auto" w:fill="auto"/>
            <w:noWrap/>
            <w:vAlign w:val="bottom"/>
            <w:hideMark/>
          </w:tcPr>
          <w:p w14:paraId="2F3BBA09" w14:textId="77777777" w:rsidR="00283EB3" w:rsidRPr="00283EB3" w:rsidRDefault="00283EB3" w:rsidP="00283EB3">
            <w:pPr>
              <w:jc w:val="right"/>
              <w:rPr>
                <w:rFonts w:eastAsia="Times New Roman" w:cs="Times New Roman"/>
              </w:rPr>
            </w:pPr>
            <w:r w:rsidRPr="00283EB3">
              <w:rPr>
                <w:rFonts w:eastAsia="Times New Roman" w:cs="Times New Roman"/>
              </w:rPr>
              <w:t>2</w:t>
            </w:r>
          </w:p>
        </w:tc>
        <w:tc>
          <w:tcPr>
            <w:tcW w:w="1680" w:type="dxa"/>
            <w:tcBorders>
              <w:top w:val="nil"/>
              <w:left w:val="nil"/>
              <w:bottom w:val="nil"/>
              <w:right w:val="nil"/>
            </w:tcBorders>
            <w:shd w:val="clear" w:color="auto" w:fill="auto"/>
            <w:noWrap/>
            <w:vAlign w:val="bottom"/>
            <w:hideMark/>
          </w:tcPr>
          <w:p w14:paraId="215CC2DD" w14:textId="77777777" w:rsidR="00283EB3" w:rsidRPr="00283EB3" w:rsidRDefault="00283EB3" w:rsidP="00283EB3">
            <w:pPr>
              <w:jc w:val="right"/>
              <w:rPr>
                <w:rFonts w:eastAsia="Times New Roman" w:cs="Times New Roman"/>
              </w:rPr>
            </w:pPr>
            <w:r w:rsidRPr="00283EB3">
              <w:rPr>
                <w:rFonts w:eastAsia="Times New Roman" w:cs="Times New Roman"/>
              </w:rPr>
              <w:t>0.118441</w:t>
            </w:r>
          </w:p>
        </w:tc>
        <w:tc>
          <w:tcPr>
            <w:tcW w:w="1480" w:type="dxa"/>
            <w:tcBorders>
              <w:top w:val="nil"/>
              <w:left w:val="nil"/>
              <w:bottom w:val="nil"/>
              <w:right w:val="nil"/>
            </w:tcBorders>
            <w:shd w:val="clear" w:color="auto" w:fill="auto"/>
            <w:noWrap/>
            <w:vAlign w:val="bottom"/>
            <w:hideMark/>
          </w:tcPr>
          <w:p w14:paraId="7EAC58B8" w14:textId="77777777" w:rsidR="00283EB3" w:rsidRPr="00283EB3" w:rsidRDefault="00283EB3" w:rsidP="00283EB3">
            <w:pPr>
              <w:jc w:val="right"/>
              <w:rPr>
                <w:rFonts w:eastAsia="Times New Roman" w:cs="Times New Roman"/>
              </w:rPr>
            </w:pPr>
            <w:r w:rsidRPr="00283EB3">
              <w:rPr>
                <w:rFonts w:eastAsia="Times New Roman" w:cs="Times New Roman"/>
              </w:rPr>
              <w:t>0.05922</w:t>
            </w:r>
          </w:p>
        </w:tc>
        <w:tc>
          <w:tcPr>
            <w:tcW w:w="1840" w:type="dxa"/>
            <w:tcBorders>
              <w:top w:val="nil"/>
              <w:left w:val="nil"/>
              <w:bottom w:val="nil"/>
              <w:right w:val="nil"/>
            </w:tcBorders>
            <w:shd w:val="clear" w:color="auto" w:fill="auto"/>
            <w:noWrap/>
            <w:vAlign w:val="bottom"/>
            <w:hideMark/>
          </w:tcPr>
          <w:p w14:paraId="34D49324" w14:textId="77777777" w:rsidR="00283EB3" w:rsidRPr="00283EB3" w:rsidRDefault="00283EB3" w:rsidP="00283EB3">
            <w:pPr>
              <w:jc w:val="right"/>
              <w:rPr>
                <w:rFonts w:eastAsia="Times New Roman" w:cs="Times New Roman"/>
              </w:rPr>
            </w:pPr>
            <w:r w:rsidRPr="00283EB3">
              <w:rPr>
                <w:rFonts w:eastAsia="Times New Roman" w:cs="Times New Roman"/>
              </w:rPr>
              <w:t>3.362932</w:t>
            </w:r>
          </w:p>
        </w:tc>
        <w:tc>
          <w:tcPr>
            <w:tcW w:w="1340" w:type="dxa"/>
            <w:tcBorders>
              <w:top w:val="nil"/>
              <w:left w:val="nil"/>
              <w:bottom w:val="nil"/>
              <w:right w:val="nil"/>
            </w:tcBorders>
            <w:shd w:val="clear" w:color="auto" w:fill="auto"/>
            <w:noWrap/>
            <w:vAlign w:val="bottom"/>
            <w:hideMark/>
          </w:tcPr>
          <w:p w14:paraId="5A1D8F23" w14:textId="77777777" w:rsidR="00283EB3" w:rsidRPr="00283EB3" w:rsidRDefault="00283EB3" w:rsidP="00283EB3">
            <w:pPr>
              <w:jc w:val="right"/>
              <w:rPr>
                <w:rFonts w:eastAsia="Times New Roman" w:cs="Times New Roman"/>
              </w:rPr>
            </w:pPr>
            <w:r w:rsidRPr="00283EB3">
              <w:rPr>
                <w:rFonts w:eastAsia="Times New Roman" w:cs="Times New Roman"/>
              </w:rPr>
              <w:t>0.045345</w:t>
            </w:r>
          </w:p>
        </w:tc>
        <w:tc>
          <w:tcPr>
            <w:tcW w:w="1500" w:type="dxa"/>
            <w:tcBorders>
              <w:top w:val="nil"/>
              <w:left w:val="nil"/>
              <w:bottom w:val="nil"/>
              <w:right w:val="nil"/>
            </w:tcBorders>
            <w:shd w:val="clear" w:color="auto" w:fill="auto"/>
            <w:noWrap/>
            <w:vAlign w:val="bottom"/>
            <w:hideMark/>
          </w:tcPr>
          <w:p w14:paraId="3B09215C" w14:textId="77777777" w:rsidR="00283EB3" w:rsidRPr="00283EB3" w:rsidRDefault="00283EB3" w:rsidP="00283EB3">
            <w:pPr>
              <w:jc w:val="right"/>
              <w:rPr>
                <w:rFonts w:eastAsia="Times New Roman" w:cs="Times New Roman"/>
                <w:b/>
                <w:bCs/>
              </w:rPr>
            </w:pPr>
            <w:r w:rsidRPr="00283EB3">
              <w:rPr>
                <w:rFonts w:eastAsia="Times New Roman" w:cs="Times New Roman"/>
                <w:b/>
                <w:bCs/>
              </w:rPr>
              <w:t>0.006</w:t>
            </w:r>
          </w:p>
        </w:tc>
      </w:tr>
      <w:tr w:rsidR="00283EB3" w:rsidRPr="00283EB3" w14:paraId="781A6617" w14:textId="77777777" w:rsidTr="00283EB3">
        <w:trPr>
          <w:trHeight w:val="380"/>
        </w:trPr>
        <w:tc>
          <w:tcPr>
            <w:tcW w:w="2920" w:type="dxa"/>
            <w:tcBorders>
              <w:top w:val="nil"/>
              <w:left w:val="nil"/>
              <w:bottom w:val="nil"/>
              <w:right w:val="nil"/>
            </w:tcBorders>
            <w:shd w:val="clear" w:color="auto" w:fill="auto"/>
            <w:noWrap/>
            <w:vAlign w:val="bottom"/>
            <w:hideMark/>
          </w:tcPr>
          <w:p w14:paraId="1C72D38D" w14:textId="77777777" w:rsidR="00283EB3" w:rsidRPr="00283EB3" w:rsidRDefault="00283EB3" w:rsidP="00283EB3">
            <w:pPr>
              <w:rPr>
                <w:rFonts w:eastAsia="Times New Roman" w:cs="Times New Roman"/>
                <w:b/>
                <w:bCs/>
              </w:rPr>
            </w:pPr>
            <w:r w:rsidRPr="00283EB3">
              <w:rPr>
                <w:rFonts w:eastAsia="Times New Roman" w:cs="Times New Roman"/>
                <w:b/>
                <w:bCs/>
              </w:rPr>
              <w:t>Blood meal richness</w:t>
            </w:r>
          </w:p>
        </w:tc>
        <w:tc>
          <w:tcPr>
            <w:tcW w:w="1080" w:type="dxa"/>
            <w:tcBorders>
              <w:top w:val="nil"/>
              <w:left w:val="nil"/>
              <w:bottom w:val="nil"/>
              <w:right w:val="nil"/>
            </w:tcBorders>
            <w:shd w:val="clear" w:color="auto" w:fill="auto"/>
            <w:noWrap/>
            <w:vAlign w:val="bottom"/>
            <w:hideMark/>
          </w:tcPr>
          <w:p w14:paraId="7C2A9060" w14:textId="77777777" w:rsidR="00283EB3" w:rsidRPr="00283EB3" w:rsidRDefault="00283EB3" w:rsidP="00283EB3">
            <w:pPr>
              <w:jc w:val="right"/>
              <w:rPr>
                <w:rFonts w:eastAsia="Times New Roman" w:cs="Times New Roman"/>
              </w:rPr>
            </w:pPr>
            <w:r w:rsidRPr="00283EB3">
              <w:rPr>
                <w:rFonts w:eastAsia="Times New Roman" w:cs="Times New Roman"/>
              </w:rPr>
              <w:t>4</w:t>
            </w:r>
          </w:p>
        </w:tc>
        <w:tc>
          <w:tcPr>
            <w:tcW w:w="1680" w:type="dxa"/>
            <w:tcBorders>
              <w:top w:val="nil"/>
              <w:left w:val="nil"/>
              <w:bottom w:val="nil"/>
              <w:right w:val="nil"/>
            </w:tcBorders>
            <w:shd w:val="clear" w:color="auto" w:fill="auto"/>
            <w:noWrap/>
            <w:vAlign w:val="bottom"/>
            <w:hideMark/>
          </w:tcPr>
          <w:p w14:paraId="07F1B002" w14:textId="77777777" w:rsidR="00283EB3" w:rsidRPr="00283EB3" w:rsidRDefault="00283EB3" w:rsidP="00283EB3">
            <w:pPr>
              <w:jc w:val="right"/>
              <w:rPr>
                <w:rFonts w:eastAsia="Times New Roman" w:cs="Times New Roman"/>
              </w:rPr>
            </w:pPr>
            <w:r w:rsidRPr="00283EB3">
              <w:rPr>
                <w:rFonts w:eastAsia="Times New Roman" w:cs="Times New Roman"/>
              </w:rPr>
              <w:t>0.115138</w:t>
            </w:r>
          </w:p>
        </w:tc>
        <w:tc>
          <w:tcPr>
            <w:tcW w:w="1480" w:type="dxa"/>
            <w:tcBorders>
              <w:top w:val="nil"/>
              <w:left w:val="nil"/>
              <w:bottom w:val="nil"/>
              <w:right w:val="nil"/>
            </w:tcBorders>
            <w:shd w:val="clear" w:color="auto" w:fill="auto"/>
            <w:noWrap/>
            <w:vAlign w:val="bottom"/>
            <w:hideMark/>
          </w:tcPr>
          <w:p w14:paraId="5DF9FD63" w14:textId="77777777" w:rsidR="00283EB3" w:rsidRPr="00283EB3" w:rsidRDefault="00283EB3" w:rsidP="00283EB3">
            <w:pPr>
              <w:jc w:val="right"/>
              <w:rPr>
                <w:rFonts w:eastAsia="Times New Roman" w:cs="Times New Roman"/>
              </w:rPr>
            </w:pPr>
            <w:r w:rsidRPr="00283EB3">
              <w:rPr>
                <w:rFonts w:eastAsia="Times New Roman" w:cs="Times New Roman"/>
              </w:rPr>
              <w:t>0.028785</w:t>
            </w:r>
          </w:p>
        </w:tc>
        <w:tc>
          <w:tcPr>
            <w:tcW w:w="1840" w:type="dxa"/>
            <w:tcBorders>
              <w:top w:val="nil"/>
              <w:left w:val="nil"/>
              <w:bottom w:val="nil"/>
              <w:right w:val="nil"/>
            </w:tcBorders>
            <w:shd w:val="clear" w:color="auto" w:fill="auto"/>
            <w:noWrap/>
            <w:vAlign w:val="bottom"/>
            <w:hideMark/>
          </w:tcPr>
          <w:p w14:paraId="5A7AB5CD" w14:textId="77777777" w:rsidR="00283EB3" w:rsidRPr="00283EB3" w:rsidRDefault="00283EB3" w:rsidP="00283EB3">
            <w:pPr>
              <w:jc w:val="right"/>
              <w:rPr>
                <w:rFonts w:eastAsia="Times New Roman" w:cs="Times New Roman"/>
              </w:rPr>
            </w:pPr>
            <w:r w:rsidRPr="00283EB3">
              <w:rPr>
                <w:rFonts w:eastAsia="Times New Roman" w:cs="Times New Roman"/>
              </w:rPr>
              <w:t>1.634584</w:t>
            </w:r>
          </w:p>
        </w:tc>
        <w:tc>
          <w:tcPr>
            <w:tcW w:w="1340" w:type="dxa"/>
            <w:tcBorders>
              <w:top w:val="nil"/>
              <w:left w:val="nil"/>
              <w:bottom w:val="nil"/>
              <w:right w:val="nil"/>
            </w:tcBorders>
            <w:shd w:val="clear" w:color="auto" w:fill="auto"/>
            <w:noWrap/>
            <w:vAlign w:val="bottom"/>
            <w:hideMark/>
          </w:tcPr>
          <w:p w14:paraId="309D5676" w14:textId="77777777" w:rsidR="00283EB3" w:rsidRPr="00283EB3" w:rsidRDefault="00283EB3" w:rsidP="00283EB3">
            <w:pPr>
              <w:jc w:val="right"/>
              <w:rPr>
                <w:rFonts w:eastAsia="Times New Roman" w:cs="Times New Roman"/>
              </w:rPr>
            </w:pPr>
            <w:r w:rsidRPr="00283EB3">
              <w:rPr>
                <w:rFonts w:eastAsia="Times New Roman" w:cs="Times New Roman"/>
              </w:rPr>
              <w:t>0.044081</w:t>
            </w:r>
          </w:p>
        </w:tc>
        <w:tc>
          <w:tcPr>
            <w:tcW w:w="1500" w:type="dxa"/>
            <w:tcBorders>
              <w:top w:val="nil"/>
              <w:left w:val="nil"/>
              <w:bottom w:val="nil"/>
              <w:right w:val="nil"/>
            </w:tcBorders>
            <w:shd w:val="clear" w:color="auto" w:fill="auto"/>
            <w:noWrap/>
            <w:vAlign w:val="bottom"/>
            <w:hideMark/>
          </w:tcPr>
          <w:p w14:paraId="1F0AB04E" w14:textId="77777777" w:rsidR="00283EB3" w:rsidRPr="00283EB3" w:rsidRDefault="00283EB3" w:rsidP="00283EB3">
            <w:pPr>
              <w:jc w:val="right"/>
              <w:rPr>
                <w:rFonts w:eastAsia="Times New Roman" w:cs="Times New Roman"/>
              </w:rPr>
            </w:pPr>
            <w:r w:rsidRPr="00283EB3">
              <w:rPr>
                <w:rFonts w:eastAsia="Times New Roman" w:cs="Times New Roman"/>
              </w:rPr>
              <w:t>0.075</w:t>
            </w:r>
          </w:p>
        </w:tc>
      </w:tr>
      <w:tr w:rsidR="00283EB3" w:rsidRPr="00283EB3" w14:paraId="2F55815E" w14:textId="77777777" w:rsidTr="00283EB3">
        <w:trPr>
          <w:trHeight w:val="380"/>
        </w:trPr>
        <w:tc>
          <w:tcPr>
            <w:tcW w:w="2920" w:type="dxa"/>
            <w:tcBorders>
              <w:top w:val="nil"/>
              <w:left w:val="nil"/>
              <w:bottom w:val="nil"/>
              <w:right w:val="nil"/>
            </w:tcBorders>
            <w:shd w:val="clear" w:color="auto" w:fill="auto"/>
            <w:noWrap/>
            <w:vAlign w:val="bottom"/>
            <w:hideMark/>
          </w:tcPr>
          <w:p w14:paraId="27CB84AE" w14:textId="77777777" w:rsidR="00283EB3" w:rsidRPr="00283EB3" w:rsidRDefault="00283EB3" w:rsidP="00283EB3">
            <w:pPr>
              <w:rPr>
                <w:rFonts w:eastAsia="Times New Roman" w:cs="Times New Roman"/>
                <w:b/>
                <w:bCs/>
              </w:rPr>
            </w:pPr>
            <w:r w:rsidRPr="00283EB3">
              <w:rPr>
                <w:rFonts w:eastAsia="Times New Roman" w:cs="Times New Roman"/>
                <w:b/>
                <w:bCs/>
              </w:rPr>
              <w:t>Residuals</w:t>
            </w:r>
          </w:p>
        </w:tc>
        <w:tc>
          <w:tcPr>
            <w:tcW w:w="1080" w:type="dxa"/>
            <w:tcBorders>
              <w:top w:val="nil"/>
              <w:left w:val="nil"/>
              <w:bottom w:val="nil"/>
              <w:right w:val="nil"/>
            </w:tcBorders>
            <w:shd w:val="clear" w:color="auto" w:fill="auto"/>
            <w:noWrap/>
            <w:vAlign w:val="bottom"/>
            <w:hideMark/>
          </w:tcPr>
          <w:p w14:paraId="45ADD8A8" w14:textId="77777777" w:rsidR="00283EB3" w:rsidRPr="00283EB3" w:rsidRDefault="00283EB3" w:rsidP="00283EB3">
            <w:pPr>
              <w:jc w:val="right"/>
              <w:rPr>
                <w:rFonts w:eastAsia="Times New Roman" w:cs="Times New Roman"/>
              </w:rPr>
            </w:pPr>
            <w:r w:rsidRPr="00283EB3">
              <w:rPr>
                <w:rFonts w:eastAsia="Times New Roman" w:cs="Times New Roman"/>
              </w:rPr>
              <w:t>79</w:t>
            </w:r>
          </w:p>
        </w:tc>
        <w:tc>
          <w:tcPr>
            <w:tcW w:w="1680" w:type="dxa"/>
            <w:tcBorders>
              <w:top w:val="nil"/>
              <w:left w:val="nil"/>
              <w:bottom w:val="nil"/>
              <w:right w:val="nil"/>
            </w:tcBorders>
            <w:shd w:val="clear" w:color="auto" w:fill="auto"/>
            <w:noWrap/>
            <w:vAlign w:val="bottom"/>
            <w:hideMark/>
          </w:tcPr>
          <w:p w14:paraId="395D8FE1" w14:textId="77777777" w:rsidR="00283EB3" w:rsidRPr="00283EB3" w:rsidRDefault="00283EB3" w:rsidP="00283EB3">
            <w:pPr>
              <w:jc w:val="right"/>
              <w:rPr>
                <w:rFonts w:eastAsia="Times New Roman" w:cs="Times New Roman"/>
              </w:rPr>
            </w:pPr>
            <w:r w:rsidRPr="00283EB3">
              <w:rPr>
                <w:rFonts w:eastAsia="Times New Roman" w:cs="Times New Roman"/>
              </w:rPr>
              <w:t>1.39117</w:t>
            </w:r>
          </w:p>
        </w:tc>
        <w:tc>
          <w:tcPr>
            <w:tcW w:w="1480" w:type="dxa"/>
            <w:tcBorders>
              <w:top w:val="nil"/>
              <w:left w:val="nil"/>
              <w:bottom w:val="nil"/>
              <w:right w:val="nil"/>
            </w:tcBorders>
            <w:shd w:val="clear" w:color="auto" w:fill="auto"/>
            <w:noWrap/>
            <w:vAlign w:val="bottom"/>
            <w:hideMark/>
          </w:tcPr>
          <w:p w14:paraId="55658553" w14:textId="77777777" w:rsidR="00283EB3" w:rsidRPr="00283EB3" w:rsidRDefault="00283EB3" w:rsidP="00283EB3">
            <w:pPr>
              <w:jc w:val="right"/>
              <w:rPr>
                <w:rFonts w:eastAsia="Times New Roman" w:cs="Times New Roman"/>
              </w:rPr>
            </w:pPr>
            <w:r w:rsidRPr="00283EB3">
              <w:rPr>
                <w:rFonts w:eastAsia="Times New Roman" w:cs="Times New Roman"/>
              </w:rPr>
              <w:t>0.01761</w:t>
            </w:r>
          </w:p>
        </w:tc>
        <w:tc>
          <w:tcPr>
            <w:tcW w:w="1840" w:type="dxa"/>
            <w:tcBorders>
              <w:top w:val="nil"/>
              <w:left w:val="nil"/>
              <w:bottom w:val="nil"/>
              <w:right w:val="nil"/>
            </w:tcBorders>
            <w:shd w:val="clear" w:color="auto" w:fill="auto"/>
            <w:noWrap/>
            <w:vAlign w:val="bottom"/>
            <w:hideMark/>
          </w:tcPr>
          <w:p w14:paraId="32B8B225" w14:textId="77777777" w:rsidR="00283EB3" w:rsidRPr="00283EB3" w:rsidRDefault="00283EB3" w:rsidP="00283EB3">
            <w:pPr>
              <w:jc w:val="right"/>
              <w:rPr>
                <w:rFonts w:eastAsia="Times New Roman" w:cs="Times New Roman"/>
              </w:rPr>
            </w:pPr>
            <w:r w:rsidRPr="00283EB3">
              <w:rPr>
                <w:rFonts w:eastAsia="Times New Roman" w:cs="Times New Roman"/>
              </w:rPr>
              <w:t>NaN</w:t>
            </w:r>
          </w:p>
        </w:tc>
        <w:tc>
          <w:tcPr>
            <w:tcW w:w="1340" w:type="dxa"/>
            <w:tcBorders>
              <w:top w:val="nil"/>
              <w:left w:val="nil"/>
              <w:bottom w:val="nil"/>
              <w:right w:val="nil"/>
            </w:tcBorders>
            <w:shd w:val="clear" w:color="auto" w:fill="auto"/>
            <w:noWrap/>
            <w:vAlign w:val="bottom"/>
            <w:hideMark/>
          </w:tcPr>
          <w:p w14:paraId="72970BFB" w14:textId="77777777" w:rsidR="00283EB3" w:rsidRPr="00283EB3" w:rsidRDefault="00283EB3" w:rsidP="00283EB3">
            <w:pPr>
              <w:jc w:val="right"/>
              <w:rPr>
                <w:rFonts w:eastAsia="Times New Roman" w:cs="Times New Roman"/>
              </w:rPr>
            </w:pPr>
            <w:r w:rsidRPr="00283EB3">
              <w:rPr>
                <w:rFonts w:eastAsia="Times New Roman" w:cs="Times New Roman"/>
              </w:rPr>
              <w:t>0.532614</w:t>
            </w:r>
          </w:p>
        </w:tc>
        <w:tc>
          <w:tcPr>
            <w:tcW w:w="1500" w:type="dxa"/>
            <w:tcBorders>
              <w:top w:val="nil"/>
              <w:left w:val="nil"/>
              <w:bottom w:val="nil"/>
              <w:right w:val="nil"/>
            </w:tcBorders>
            <w:shd w:val="clear" w:color="auto" w:fill="auto"/>
            <w:noWrap/>
            <w:vAlign w:val="bottom"/>
            <w:hideMark/>
          </w:tcPr>
          <w:p w14:paraId="27B39485" w14:textId="77777777" w:rsidR="00283EB3" w:rsidRPr="00283EB3" w:rsidRDefault="00283EB3" w:rsidP="00283EB3">
            <w:pPr>
              <w:jc w:val="right"/>
              <w:rPr>
                <w:rFonts w:eastAsia="Times New Roman" w:cs="Times New Roman"/>
              </w:rPr>
            </w:pPr>
            <w:r w:rsidRPr="00283EB3">
              <w:rPr>
                <w:rFonts w:eastAsia="Times New Roman" w:cs="Times New Roman"/>
              </w:rPr>
              <w:t>NaN</w:t>
            </w:r>
          </w:p>
        </w:tc>
      </w:tr>
      <w:tr w:rsidR="00283EB3" w:rsidRPr="00283EB3" w14:paraId="0DC780F9" w14:textId="77777777" w:rsidTr="00283EB3">
        <w:trPr>
          <w:trHeight w:val="380"/>
        </w:trPr>
        <w:tc>
          <w:tcPr>
            <w:tcW w:w="2920" w:type="dxa"/>
            <w:tcBorders>
              <w:top w:val="nil"/>
              <w:left w:val="nil"/>
              <w:bottom w:val="nil"/>
              <w:right w:val="nil"/>
            </w:tcBorders>
            <w:shd w:val="clear" w:color="auto" w:fill="auto"/>
            <w:noWrap/>
            <w:vAlign w:val="bottom"/>
            <w:hideMark/>
          </w:tcPr>
          <w:p w14:paraId="7E50BED3" w14:textId="77777777" w:rsidR="00283EB3" w:rsidRPr="00283EB3" w:rsidRDefault="00283EB3" w:rsidP="00283EB3">
            <w:pPr>
              <w:rPr>
                <w:rFonts w:eastAsia="Times New Roman" w:cs="Times New Roman"/>
                <w:b/>
                <w:bCs/>
              </w:rPr>
            </w:pPr>
            <w:r w:rsidRPr="00283EB3">
              <w:rPr>
                <w:rFonts w:eastAsia="Times New Roman" w:cs="Times New Roman"/>
                <w:b/>
                <w:bCs/>
              </w:rPr>
              <w:t>Total</w:t>
            </w:r>
          </w:p>
        </w:tc>
        <w:tc>
          <w:tcPr>
            <w:tcW w:w="1080" w:type="dxa"/>
            <w:tcBorders>
              <w:top w:val="nil"/>
              <w:left w:val="nil"/>
              <w:bottom w:val="nil"/>
              <w:right w:val="nil"/>
            </w:tcBorders>
            <w:shd w:val="clear" w:color="auto" w:fill="auto"/>
            <w:noWrap/>
            <w:vAlign w:val="bottom"/>
            <w:hideMark/>
          </w:tcPr>
          <w:p w14:paraId="7AB59005" w14:textId="77777777" w:rsidR="00283EB3" w:rsidRPr="00283EB3" w:rsidRDefault="00283EB3" w:rsidP="00283EB3">
            <w:pPr>
              <w:jc w:val="right"/>
              <w:rPr>
                <w:rFonts w:eastAsia="Times New Roman" w:cs="Times New Roman"/>
              </w:rPr>
            </w:pPr>
            <w:r w:rsidRPr="00283EB3">
              <w:rPr>
                <w:rFonts w:eastAsia="Times New Roman" w:cs="Times New Roman"/>
              </w:rPr>
              <w:t>98</w:t>
            </w:r>
          </w:p>
        </w:tc>
        <w:tc>
          <w:tcPr>
            <w:tcW w:w="1680" w:type="dxa"/>
            <w:tcBorders>
              <w:top w:val="nil"/>
              <w:left w:val="nil"/>
              <w:bottom w:val="nil"/>
              <w:right w:val="nil"/>
            </w:tcBorders>
            <w:shd w:val="clear" w:color="auto" w:fill="auto"/>
            <w:noWrap/>
            <w:vAlign w:val="bottom"/>
            <w:hideMark/>
          </w:tcPr>
          <w:p w14:paraId="22631B43" w14:textId="77777777" w:rsidR="00283EB3" w:rsidRPr="00283EB3" w:rsidRDefault="00283EB3" w:rsidP="00283EB3">
            <w:pPr>
              <w:jc w:val="right"/>
              <w:rPr>
                <w:rFonts w:eastAsia="Times New Roman" w:cs="Times New Roman"/>
              </w:rPr>
            </w:pPr>
            <w:r w:rsidRPr="00283EB3">
              <w:rPr>
                <w:rFonts w:eastAsia="Times New Roman" w:cs="Times New Roman"/>
              </w:rPr>
              <w:t>2.611968</w:t>
            </w:r>
          </w:p>
        </w:tc>
        <w:tc>
          <w:tcPr>
            <w:tcW w:w="1480" w:type="dxa"/>
            <w:tcBorders>
              <w:top w:val="nil"/>
              <w:left w:val="nil"/>
              <w:bottom w:val="nil"/>
              <w:right w:val="nil"/>
            </w:tcBorders>
            <w:shd w:val="clear" w:color="auto" w:fill="auto"/>
            <w:noWrap/>
            <w:vAlign w:val="bottom"/>
            <w:hideMark/>
          </w:tcPr>
          <w:p w14:paraId="4F198E2A" w14:textId="77777777" w:rsidR="00283EB3" w:rsidRPr="00283EB3" w:rsidRDefault="00283EB3" w:rsidP="00283EB3">
            <w:pPr>
              <w:jc w:val="right"/>
              <w:rPr>
                <w:rFonts w:eastAsia="Times New Roman" w:cs="Times New Roman"/>
              </w:rPr>
            </w:pPr>
            <w:r w:rsidRPr="00283EB3">
              <w:rPr>
                <w:rFonts w:eastAsia="Times New Roman" w:cs="Times New Roman"/>
              </w:rPr>
              <w:t>NaN</w:t>
            </w:r>
          </w:p>
        </w:tc>
        <w:tc>
          <w:tcPr>
            <w:tcW w:w="1840" w:type="dxa"/>
            <w:tcBorders>
              <w:top w:val="nil"/>
              <w:left w:val="nil"/>
              <w:bottom w:val="nil"/>
              <w:right w:val="nil"/>
            </w:tcBorders>
            <w:shd w:val="clear" w:color="auto" w:fill="auto"/>
            <w:noWrap/>
            <w:vAlign w:val="bottom"/>
            <w:hideMark/>
          </w:tcPr>
          <w:p w14:paraId="226FBD46" w14:textId="77777777" w:rsidR="00283EB3" w:rsidRPr="00283EB3" w:rsidRDefault="00283EB3" w:rsidP="00283EB3">
            <w:pPr>
              <w:jc w:val="right"/>
              <w:rPr>
                <w:rFonts w:eastAsia="Times New Roman" w:cs="Times New Roman"/>
              </w:rPr>
            </w:pPr>
            <w:r w:rsidRPr="00283EB3">
              <w:rPr>
                <w:rFonts w:eastAsia="Times New Roman" w:cs="Times New Roman"/>
              </w:rPr>
              <w:t>NaN</w:t>
            </w:r>
          </w:p>
        </w:tc>
        <w:tc>
          <w:tcPr>
            <w:tcW w:w="1340" w:type="dxa"/>
            <w:tcBorders>
              <w:top w:val="nil"/>
              <w:left w:val="nil"/>
              <w:bottom w:val="nil"/>
              <w:right w:val="nil"/>
            </w:tcBorders>
            <w:shd w:val="clear" w:color="auto" w:fill="auto"/>
            <w:noWrap/>
            <w:vAlign w:val="bottom"/>
            <w:hideMark/>
          </w:tcPr>
          <w:p w14:paraId="33BCDC01" w14:textId="77777777" w:rsidR="00283EB3" w:rsidRPr="00283EB3" w:rsidRDefault="00283EB3" w:rsidP="00283EB3">
            <w:pPr>
              <w:jc w:val="right"/>
              <w:rPr>
                <w:rFonts w:eastAsia="Times New Roman" w:cs="Times New Roman"/>
              </w:rPr>
            </w:pPr>
            <w:r w:rsidRPr="00283EB3">
              <w:rPr>
                <w:rFonts w:eastAsia="Times New Roman" w:cs="Times New Roman"/>
              </w:rPr>
              <w:t>1</w:t>
            </w:r>
          </w:p>
        </w:tc>
        <w:tc>
          <w:tcPr>
            <w:tcW w:w="1500" w:type="dxa"/>
            <w:tcBorders>
              <w:top w:val="nil"/>
              <w:left w:val="nil"/>
              <w:bottom w:val="nil"/>
              <w:right w:val="nil"/>
            </w:tcBorders>
            <w:shd w:val="clear" w:color="auto" w:fill="auto"/>
            <w:noWrap/>
            <w:vAlign w:val="bottom"/>
            <w:hideMark/>
          </w:tcPr>
          <w:p w14:paraId="6F50E754" w14:textId="77777777" w:rsidR="00283EB3" w:rsidRPr="00283EB3" w:rsidRDefault="00283EB3" w:rsidP="00283EB3">
            <w:pPr>
              <w:jc w:val="right"/>
              <w:rPr>
                <w:rFonts w:eastAsia="Times New Roman" w:cs="Times New Roman"/>
              </w:rPr>
            </w:pPr>
            <w:r w:rsidRPr="00283EB3">
              <w:rPr>
                <w:rFonts w:eastAsia="Times New Roman" w:cs="Times New Roman"/>
              </w:rPr>
              <w:t>NaN</w:t>
            </w:r>
          </w:p>
        </w:tc>
      </w:tr>
    </w:tbl>
    <w:p w14:paraId="39E12D92" w14:textId="77777777" w:rsidR="00283EB3" w:rsidRPr="00A53C1D" w:rsidRDefault="00283EB3" w:rsidP="001F5DA7">
      <w:pPr>
        <w:rPr>
          <w:rFonts w:cs="Times New Roman"/>
        </w:rPr>
        <w:sectPr w:rsidR="00283EB3" w:rsidRPr="00A53C1D" w:rsidSect="009141CE">
          <w:pgSz w:w="15840" w:h="12240" w:orient="landscape"/>
          <w:pgMar w:top="1440" w:right="1440" w:bottom="1440" w:left="1440" w:header="720" w:footer="720" w:gutter="0"/>
          <w:cols w:space="720"/>
          <w:docGrid w:linePitch="360"/>
        </w:sectPr>
      </w:pPr>
    </w:p>
    <w:p w14:paraId="133C7279" w14:textId="4A514646" w:rsidR="00D643B3" w:rsidRPr="00A53C1D" w:rsidRDefault="00D643B3" w:rsidP="00D643B3">
      <w:pPr>
        <w:rPr>
          <w:rFonts w:cs="Times New Roman"/>
          <w:b/>
          <w:bCs/>
        </w:rPr>
      </w:pPr>
      <w:r w:rsidRPr="00A53C1D">
        <w:rPr>
          <w:rFonts w:cs="Times New Roman"/>
          <w:b/>
          <w:bCs/>
        </w:rPr>
        <w:lastRenderedPageBreak/>
        <w:t xml:space="preserve">Table </w:t>
      </w:r>
      <w:r w:rsidR="00FD07E9">
        <w:rPr>
          <w:rFonts w:cs="Times New Roman"/>
          <w:b/>
          <w:bCs/>
        </w:rPr>
        <w:t>3.</w:t>
      </w:r>
      <w:r w:rsidRPr="00A53C1D">
        <w:rPr>
          <w:rFonts w:cs="Times New Roman"/>
          <w:b/>
          <w:bCs/>
        </w:rPr>
        <w:t>21 Pairwise Wilcoxon rank-sum test comparisons of four different alpha diversity metrics across top three dominant blood meals across all samples</w:t>
      </w:r>
    </w:p>
    <w:p w14:paraId="49995FE8" w14:textId="7F413F9D" w:rsidR="005B7244" w:rsidRPr="00A53C1D" w:rsidRDefault="00D643B3" w:rsidP="00D643B3">
      <w:pPr>
        <w:rPr>
          <w:rFonts w:cs="Times New Roman"/>
        </w:rPr>
      </w:pPr>
      <w:r w:rsidRPr="00A53C1D">
        <w:rPr>
          <w:rFonts w:cs="Times New Roman"/>
        </w:rPr>
        <w:t>Results highlighted in boldface indicate p-values of less than 0.05. All p-values were corrected with Benjamini-Hochberg adjustments</w:t>
      </w:r>
      <w:r w:rsidR="000F6564" w:rsidRPr="00A53C1D">
        <w:rPr>
          <w:rFonts w:cs="Times New Roman"/>
        </w:rPr>
        <w:t>.</w:t>
      </w:r>
    </w:p>
    <w:p w14:paraId="79A11DCC" w14:textId="77777777" w:rsidR="000F6564" w:rsidRPr="00A53C1D" w:rsidRDefault="000F6564" w:rsidP="00D643B3">
      <w:pPr>
        <w:rPr>
          <w:rFonts w:cs="Times New Roman"/>
        </w:rPr>
      </w:pPr>
    </w:p>
    <w:p w14:paraId="0792B19A" w14:textId="77777777" w:rsidR="000F6564" w:rsidRPr="00A53C1D" w:rsidRDefault="000F6564" w:rsidP="00D643B3">
      <w:pPr>
        <w:rPr>
          <w:rFonts w:cs="Times New Roman"/>
        </w:rPr>
      </w:pPr>
    </w:p>
    <w:tbl>
      <w:tblPr>
        <w:tblW w:w="10280" w:type="dxa"/>
        <w:tblLook w:val="04A0" w:firstRow="1" w:lastRow="0" w:firstColumn="1" w:lastColumn="0" w:noHBand="0" w:noVBand="1"/>
      </w:tblPr>
      <w:tblGrid>
        <w:gridCol w:w="2900"/>
        <w:gridCol w:w="2560"/>
        <w:gridCol w:w="2300"/>
        <w:gridCol w:w="2520"/>
      </w:tblGrid>
      <w:tr w:rsidR="00197467" w:rsidRPr="00197467" w14:paraId="22B7716A" w14:textId="77777777" w:rsidTr="00197467">
        <w:trPr>
          <w:trHeight w:val="380"/>
        </w:trPr>
        <w:tc>
          <w:tcPr>
            <w:tcW w:w="2900" w:type="dxa"/>
            <w:tcBorders>
              <w:top w:val="single" w:sz="4" w:space="0" w:color="auto"/>
              <w:left w:val="single" w:sz="4" w:space="0" w:color="auto"/>
              <w:bottom w:val="single" w:sz="4" w:space="0" w:color="auto"/>
              <w:right w:val="nil"/>
            </w:tcBorders>
            <w:shd w:val="clear" w:color="000000" w:fill="AEAAAA"/>
            <w:noWrap/>
            <w:vAlign w:val="bottom"/>
            <w:hideMark/>
          </w:tcPr>
          <w:p w14:paraId="09705EC0" w14:textId="77777777" w:rsidR="00197467" w:rsidRPr="00197467" w:rsidRDefault="00197467" w:rsidP="00197467">
            <w:pPr>
              <w:rPr>
                <w:rFonts w:eastAsia="Times New Roman" w:cs="Times New Roman"/>
                <w:color w:val="000000"/>
              </w:rPr>
            </w:pPr>
            <w:r w:rsidRPr="00197467">
              <w:rPr>
                <w:rFonts w:eastAsia="Times New Roman" w:cs="Times New Roman"/>
                <w:color w:val="000000"/>
              </w:rPr>
              <w:t xml:space="preserve">Dominant blood meals </w:t>
            </w:r>
          </w:p>
        </w:tc>
        <w:tc>
          <w:tcPr>
            <w:tcW w:w="25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6EF9111" w14:textId="77777777" w:rsidR="00197467" w:rsidRPr="00197467" w:rsidRDefault="00197467" w:rsidP="00197467">
            <w:pPr>
              <w:rPr>
                <w:rFonts w:eastAsia="Times New Roman" w:cs="Times New Roman"/>
                <w:color w:val="000000"/>
              </w:rPr>
            </w:pPr>
            <w:r w:rsidRPr="00197467">
              <w:rPr>
                <w:rFonts w:eastAsia="Times New Roman" w:cs="Times New Roman"/>
                <w:color w:val="000000"/>
              </w:rPr>
              <w:t>Heteromys:Didelphis</w:t>
            </w:r>
          </w:p>
        </w:tc>
        <w:tc>
          <w:tcPr>
            <w:tcW w:w="2300" w:type="dxa"/>
            <w:tcBorders>
              <w:top w:val="single" w:sz="4" w:space="0" w:color="auto"/>
              <w:left w:val="nil"/>
              <w:bottom w:val="single" w:sz="4" w:space="0" w:color="auto"/>
              <w:right w:val="single" w:sz="4" w:space="0" w:color="auto"/>
            </w:tcBorders>
            <w:shd w:val="clear" w:color="000000" w:fill="D9D9D9"/>
            <w:noWrap/>
            <w:vAlign w:val="bottom"/>
            <w:hideMark/>
          </w:tcPr>
          <w:p w14:paraId="1F9CFE30" w14:textId="77777777" w:rsidR="00197467" w:rsidRPr="00197467" w:rsidRDefault="00197467" w:rsidP="00197467">
            <w:pPr>
              <w:rPr>
                <w:rFonts w:eastAsia="Times New Roman" w:cs="Times New Roman"/>
                <w:color w:val="000000"/>
              </w:rPr>
            </w:pPr>
            <w:r w:rsidRPr="00197467">
              <w:rPr>
                <w:rFonts w:eastAsia="Times New Roman" w:cs="Times New Roman"/>
                <w:color w:val="000000"/>
              </w:rPr>
              <w:t>Didelphis:Philander</w:t>
            </w:r>
          </w:p>
        </w:tc>
        <w:tc>
          <w:tcPr>
            <w:tcW w:w="2520" w:type="dxa"/>
            <w:tcBorders>
              <w:top w:val="single" w:sz="4" w:space="0" w:color="auto"/>
              <w:left w:val="nil"/>
              <w:bottom w:val="single" w:sz="4" w:space="0" w:color="auto"/>
              <w:right w:val="single" w:sz="4" w:space="0" w:color="auto"/>
            </w:tcBorders>
            <w:shd w:val="clear" w:color="000000" w:fill="D9D9D9"/>
            <w:noWrap/>
            <w:vAlign w:val="bottom"/>
            <w:hideMark/>
          </w:tcPr>
          <w:p w14:paraId="64D03613" w14:textId="77777777" w:rsidR="00197467" w:rsidRPr="00197467" w:rsidRDefault="00197467" w:rsidP="00197467">
            <w:pPr>
              <w:rPr>
                <w:rFonts w:eastAsia="Times New Roman" w:cs="Times New Roman"/>
                <w:color w:val="000000"/>
              </w:rPr>
            </w:pPr>
            <w:r w:rsidRPr="00197467">
              <w:rPr>
                <w:rFonts w:eastAsia="Times New Roman" w:cs="Times New Roman"/>
                <w:color w:val="000000"/>
              </w:rPr>
              <w:t>Heteromys:Philander</w:t>
            </w:r>
          </w:p>
        </w:tc>
      </w:tr>
      <w:tr w:rsidR="00197467" w:rsidRPr="00197467" w14:paraId="7BF19A00" w14:textId="77777777" w:rsidTr="00197467">
        <w:trPr>
          <w:trHeight w:val="380"/>
        </w:trPr>
        <w:tc>
          <w:tcPr>
            <w:tcW w:w="2900" w:type="dxa"/>
            <w:tcBorders>
              <w:top w:val="nil"/>
              <w:left w:val="single" w:sz="4" w:space="0" w:color="auto"/>
              <w:bottom w:val="single" w:sz="4" w:space="0" w:color="auto"/>
              <w:right w:val="single" w:sz="4" w:space="0" w:color="auto"/>
            </w:tcBorders>
            <w:shd w:val="clear" w:color="000000" w:fill="D9D9D9"/>
            <w:noWrap/>
            <w:vAlign w:val="bottom"/>
            <w:hideMark/>
          </w:tcPr>
          <w:p w14:paraId="7286A24E" w14:textId="77777777" w:rsidR="00197467" w:rsidRPr="00197467" w:rsidRDefault="00197467" w:rsidP="00197467">
            <w:pPr>
              <w:rPr>
                <w:rFonts w:eastAsia="Times New Roman" w:cs="Times New Roman"/>
                <w:color w:val="000000"/>
              </w:rPr>
            </w:pPr>
            <w:r w:rsidRPr="00197467">
              <w:rPr>
                <w:rFonts w:eastAsia="Times New Roman" w:cs="Times New Roman"/>
                <w:color w:val="000000"/>
              </w:rPr>
              <w:t>Richness</w:t>
            </w:r>
          </w:p>
        </w:tc>
        <w:tc>
          <w:tcPr>
            <w:tcW w:w="2560" w:type="dxa"/>
            <w:tcBorders>
              <w:top w:val="nil"/>
              <w:left w:val="nil"/>
              <w:bottom w:val="single" w:sz="4" w:space="0" w:color="auto"/>
              <w:right w:val="single" w:sz="4" w:space="0" w:color="auto"/>
            </w:tcBorders>
            <w:shd w:val="clear" w:color="auto" w:fill="auto"/>
            <w:noWrap/>
            <w:vAlign w:val="bottom"/>
            <w:hideMark/>
          </w:tcPr>
          <w:p w14:paraId="320D9062" w14:textId="77777777" w:rsidR="00197467" w:rsidRPr="00197467" w:rsidRDefault="00197467" w:rsidP="00197467">
            <w:pPr>
              <w:jc w:val="right"/>
              <w:rPr>
                <w:rFonts w:eastAsia="Times New Roman" w:cs="Times New Roman"/>
                <w:color w:val="000000"/>
              </w:rPr>
            </w:pPr>
            <w:r w:rsidRPr="00197467">
              <w:rPr>
                <w:rFonts w:eastAsia="Times New Roman" w:cs="Times New Roman"/>
                <w:color w:val="000000"/>
              </w:rPr>
              <w:t>0.056</w:t>
            </w:r>
          </w:p>
        </w:tc>
        <w:tc>
          <w:tcPr>
            <w:tcW w:w="2300" w:type="dxa"/>
            <w:tcBorders>
              <w:top w:val="nil"/>
              <w:left w:val="nil"/>
              <w:bottom w:val="single" w:sz="4" w:space="0" w:color="auto"/>
              <w:right w:val="single" w:sz="4" w:space="0" w:color="auto"/>
            </w:tcBorders>
            <w:shd w:val="clear" w:color="auto" w:fill="auto"/>
            <w:noWrap/>
            <w:vAlign w:val="bottom"/>
            <w:hideMark/>
          </w:tcPr>
          <w:p w14:paraId="4D68D7CB" w14:textId="77777777" w:rsidR="00197467" w:rsidRPr="00197467" w:rsidRDefault="00197467" w:rsidP="00197467">
            <w:pPr>
              <w:jc w:val="right"/>
              <w:rPr>
                <w:rFonts w:eastAsia="Times New Roman" w:cs="Times New Roman"/>
                <w:b/>
                <w:bCs/>
                <w:color w:val="000000"/>
              </w:rPr>
            </w:pPr>
            <w:r w:rsidRPr="00197467">
              <w:rPr>
                <w:rFonts w:eastAsia="Times New Roman" w:cs="Times New Roman"/>
                <w:b/>
                <w:bCs/>
                <w:color w:val="000000"/>
              </w:rPr>
              <w:t>5.50E-06</w:t>
            </w:r>
          </w:p>
        </w:tc>
        <w:tc>
          <w:tcPr>
            <w:tcW w:w="2520" w:type="dxa"/>
            <w:tcBorders>
              <w:top w:val="nil"/>
              <w:left w:val="nil"/>
              <w:bottom w:val="single" w:sz="4" w:space="0" w:color="auto"/>
              <w:right w:val="single" w:sz="4" w:space="0" w:color="auto"/>
            </w:tcBorders>
            <w:shd w:val="clear" w:color="auto" w:fill="auto"/>
            <w:noWrap/>
            <w:vAlign w:val="bottom"/>
            <w:hideMark/>
          </w:tcPr>
          <w:p w14:paraId="4A2B5891" w14:textId="77777777" w:rsidR="00197467" w:rsidRPr="00197467" w:rsidRDefault="00197467" w:rsidP="00197467">
            <w:pPr>
              <w:jc w:val="right"/>
              <w:rPr>
                <w:rFonts w:eastAsia="Times New Roman" w:cs="Times New Roman"/>
                <w:b/>
                <w:bCs/>
                <w:color w:val="000000"/>
              </w:rPr>
            </w:pPr>
            <w:r w:rsidRPr="00197467">
              <w:rPr>
                <w:rFonts w:eastAsia="Times New Roman" w:cs="Times New Roman"/>
                <w:b/>
                <w:bCs/>
                <w:color w:val="000000"/>
              </w:rPr>
              <w:t>7.80E-05</w:t>
            </w:r>
          </w:p>
        </w:tc>
      </w:tr>
      <w:tr w:rsidR="00197467" w:rsidRPr="00197467" w14:paraId="61ACF088" w14:textId="77777777" w:rsidTr="00197467">
        <w:trPr>
          <w:trHeight w:val="380"/>
        </w:trPr>
        <w:tc>
          <w:tcPr>
            <w:tcW w:w="2900" w:type="dxa"/>
            <w:tcBorders>
              <w:top w:val="nil"/>
              <w:left w:val="single" w:sz="4" w:space="0" w:color="auto"/>
              <w:bottom w:val="single" w:sz="4" w:space="0" w:color="auto"/>
              <w:right w:val="single" w:sz="4" w:space="0" w:color="auto"/>
            </w:tcBorders>
            <w:shd w:val="clear" w:color="000000" w:fill="D9D9D9"/>
            <w:noWrap/>
            <w:vAlign w:val="bottom"/>
            <w:hideMark/>
          </w:tcPr>
          <w:p w14:paraId="7EADDE58" w14:textId="77777777" w:rsidR="00197467" w:rsidRPr="00197467" w:rsidRDefault="00197467" w:rsidP="00197467">
            <w:pPr>
              <w:rPr>
                <w:rFonts w:eastAsia="Times New Roman" w:cs="Times New Roman"/>
                <w:color w:val="000000"/>
              </w:rPr>
            </w:pPr>
            <w:r w:rsidRPr="00197467">
              <w:rPr>
                <w:rFonts w:eastAsia="Times New Roman" w:cs="Times New Roman"/>
                <w:color w:val="000000"/>
              </w:rPr>
              <w:t>Shannon</w:t>
            </w:r>
          </w:p>
        </w:tc>
        <w:tc>
          <w:tcPr>
            <w:tcW w:w="2560" w:type="dxa"/>
            <w:tcBorders>
              <w:top w:val="nil"/>
              <w:left w:val="nil"/>
              <w:bottom w:val="single" w:sz="4" w:space="0" w:color="auto"/>
              <w:right w:val="single" w:sz="4" w:space="0" w:color="auto"/>
            </w:tcBorders>
            <w:shd w:val="clear" w:color="auto" w:fill="auto"/>
            <w:noWrap/>
            <w:vAlign w:val="bottom"/>
            <w:hideMark/>
          </w:tcPr>
          <w:p w14:paraId="6F37C8FB" w14:textId="77777777" w:rsidR="00197467" w:rsidRPr="00197467" w:rsidRDefault="00197467" w:rsidP="00197467">
            <w:pPr>
              <w:jc w:val="right"/>
              <w:rPr>
                <w:rFonts w:eastAsia="Times New Roman" w:cs="Times New Roman"/>
                <w:b/>
                <w:bCs/>
                <w:color w:val="000000"/>
              </w:rPr>
            </w:pPr>
            <w:r w:rsidRPr="00197467">
              <w:rPr>
                <w:rFonts w:eastAsia="Times New Roman" w:cs="Times New Roman"/>
                <w:b/>
                <w:bCs/>
                <w:color w:val="000000"/>
              </w:rPr>
              <w:t>6.70E-06</w:t>
            </w:r>
          </w:p>
        </w:tc>
        <w:tc>
          <w:tcPr>
            <w:tcW w:w="2300" w:type="dxa"/>
            <w:tcBorders>
              <w:top w:val="nil"/>
              <w:left w:val="nil"/>
              <w:bottom w:val="single" w:sz="4" w:space="0" w:color="auto"/>
              <w:right w:val="single" w:sz="4" w:space="0" w:color="auto"/>
            </w:tcBorders>
            <w:shd w:val="clear" w:color="auto" w:fill="auto"/>
            <w:noWrap/>
            <w:vAlign w:val="bottom"/>
            <w:hideMark/>
          </w:tcPr>
          <w:p w14:paraId="4A263E7E" w14:textId="77777777" w:rsidR="00197467" w:rsidRPr="00197467" w:rsidRDefault="00197467" w:rsidP="00197467">
            <w:pPr>
              <w:jc w:val="right"/>
              <w:rPr>
                <w:rFonts w:eastAsia="Times New Roman" w:cs="Times New Roman"/>
                <w:b/>
                <w:bCs/>
                <w:color w:val="000000"/>
              </w:rPr>
            </w:pPr>
            <w:r w:rsidRPr="00197467">
              <w:rPr>
                <w:rFonts w:eastAsia="Times New Roman" w:cs="Times New Roman"/>
                <w:b/>
                <w:bCs/>
                <w:color w:val="000000"/>
              </w:rPr>
              <w:t>1.60E-10</w:t>
            </w:r>
          </w:p>
        </w:tc>
        <w:tc>
          <w:tcPr>
            <w:tcW w:w="2520" w:type="dxa"/>
            <w:tcBorders>
              <w:top w:val="nil"/>
              <w:left w:val="nil"/>
              <w:bottom w:val="single" w:sz="4" w:space="0" w:color="auto"/>
              <w:right w:val="single" w:sz="4" w:space="0" w:color="auto"/>
            </w:tcBorders>
            <w:shd w:val="clear" w:color="auto" w:fill="auto"/>
            <w:noWrap/>
            <w:vAlign w:val="bottom"/>
            <w:hideMark/>
          </w:tcPr>
          <w:p w14:paraId="3838449C" w14:textId="77777777" w:rsidR="00197467" w:rsidRPr="00197467" w:rsidRDefault="00197467" w:rsidP="00197467">
            <w:pPr>
              <w:jc w:val="right"/>
              <w:rPr>
                <w:rFonts w:eastAsia="Times New Roman" w:cs="Times New Roman"/>
                <w:b/>
                <w:bCs/>
                <w:color w:val="000000"/>
              </w:rPr>
            </w:pPr>
            <w:r w:rsidRPr="00197467">
              <w:rPr>
                <w:rFonts w:eastAsia="Times New Roman" w:cs="Times New Roman"/>
                <w:b/>
                <w:bCs/>
                <w:color w:val="000000"/>
              </w:rPr>
              <w:t>5.00E-06</w:t>
            </w:r>
          </w:p>
        </w:tc>
      </w:tr>
      <w:tr w:rsidR="00197467" w:rsidRPr="00197467" w14:paraId="4C7006E8" w14:textId="77777777" w:rsidTr="00197467">
        <w:trPr>
          <w:trHeight w:val="380"/>
        </w:trPr>
        <w:tc>
          <w:tcPr>
            <w:tcW w:w="2900" w:type="dxa"/>
            <w:tcBorders>
              <w:top w:val="nil"/>
              <w:left w:val="single" w:sz="4" w:space="0" w:color="auto"/>
              <w:bottom w:val="single" w:sz="4" w:space="0" w:color="auto"/>
              <w:right w:val="single" w:sz="4" w:space="0" w:color="auto"/>
            </w:tcBorders>
            <w:shd w:val="clear" w:color="000000" w:fill="D9D9D9"/>
            <w:noWrap/>
            <w:vAlign w:val="bottom"/>
            <w:hideMark/>
          </w:tcPr>
          <w:p w14:paraId="429485C5" w14:textId="77777777" w:rsidR="00197467" w:rsidRPr="00197467" w:rsidRDefault="00197467" w:rsidP="00197467">
            <w:pPr>
              <w:rPr>
                <w:rFonts w:eastAsia="Times New Roman" w:cs="Times New Roman"/>
                <w:color w:val="000000"/>
              </w:rPr>
            </w:pPr>
            <w:r w:rsidRPr="00197467">
              <w:rPr>
                <w:rFonts w:eastAsia="Times New Roman" w:cs="Times New Roman"/>
                <w:color w:val="000000"/>
              </w:rPr>
              <w:t>Faith's PD</w:t>
            </w:r>
          </w:p>
        </w:tc>
        <w:tc>
          <w:tcPr>
            <w:tcW w:w="2560" w:type="dxa"/>
            <w:tcBorders>
              <w:top w:val="nil"/>
              <w:left w:val="nil"/>
              <w:bottom w:val="single" w:sz="4" w:space="0" w:color="auto"/>
              <w:right w:val="single" w:sz="4" w:space="0" w:color="auto"/>
            </w:tcBorders>
            <w:shd w:val="clear" w:color="auto" w:fill="auto"/>
            <w:noWrap/>
            <w:vAlign w:val="bottom"/>
            <w:hideMark/>
          </w:tcPr>
          <w:p w14:paraId="56DCB3C7" w14:textId="77777777" w:rsidR="00197467" w:rsidRPr="00197467" w:rsidRDefault="00197467" w:rsidP="00197467">
            <w:pPr>
              <w:jc w:val="right"/>
              <w:rPr>
                <w:rFonts w:eastAsia="Times New Roman" w:cs="Times New Roman"/>
                <w:b/>
                <w:bCs/>
                <w:color w:val="000000"/>
              </w:rPr>
            </w:pPr>
            <w:r w:rsidRPr="00197467">
              <w:rPr>
                <w:rFonts w:eastAsia="Times New Roman" w:cs="Times New Roman"/>
                <w:b/>
                <w:bCs/>
                <w:color w:val="000000"/>
              </w:rPr>
              <w:t>0.0099</w:t>
            </w:r>
          </w:p>
        </w:tc>
        <w:tc>
          <w:tcPr>
            <w:tcW w:w="2300" w:type="dxa"/>
            <w:tcBorders>
              <w:top w:val="nil"/>
              <w:left w:val="nil"/>
              <w:bottom w:val="single" w:sz="4" w:space="0" w:color="auto"/>
              <w:right w:val="single" w:sz="4" w:space="0" w:color="auto"/>
            </w:tcBorders>
            <w:shd w:val="clear" w:color="auto" w:fill="auto"/>
            <w:noWrap/>
            <w:vAlign w:val="bottom"/>
            <w:hideMark/>
          </w:tcPr>
          <w:p w14:paraId="6BE9B1A2" w14:textId="77777777" w:rsidR="00197467" w:rsidRPr="00197467" w:rsidRDefault="00197467" w:rsidP="00197467">
            <w:pPr>
              <w:jc w:val="right"/>
              <w:rPr>
                <w:rFonts w:eastAsia="Times New Roman" w:cs="Times New Roman"/>
                <w:b/>
                <w:bCs/>
                <w:color w:val="000000"/>
              </w:rPr>
            </w:pPr>
            <w:r w:rsidRPr="00197467">
              <w:rPr>
                <w:rFonts w:eastAsia="Times New Roman" w:cs="Times New Roman"/>
                <w:b/>
                <w:bCs/>
                <w:color w:val="000000"/>
              </w:rPr>
              <w:t>4.90E-10</w:t>
            </w:r>
          </w:p>
        </w:tc>
        <w:tc>
          <w:tcPr>
            <w:tcW w:w="2520" w:type="dxa"/>
            <w:tcBorders>
              <w:top w:val="nil"/>
              <w:left w:val="nil"/>
              <w:bottom w:val="single" w:sz="4" w:space="0" w:color="auto"/>
              <w:right w:val="single" w:sz="4" w:space="0" w:color="auto"/>
            </w:tcBorders>
            <w:shd w:val="clear" w:color="auto" w:fill="auto"/>
            <w:noWrap/>
            <w:vAlign w:val="bottom"/>
            <w:hideMark/>
          </w:tcPr>
          <w:p w14:paraId="7F50739B" w14:textId="77777777" w:rsidR="00197467" w:rsidRPr="00197467" w:rsidRDefault="00197467" w:rsidP="00197467">
            <w:pPr>
              <w:jc w:val="right"/>
              <w:rPr>
                <w:rFonts w:eastAsia="Times New Roman" w:cs="Times New Roman"/>
                <w:b/>
                <w:bCs/>
                <w:color w:val="000000"/>
              </w:rPr>
            </w:pPr>
            <w:r w:rsidRPr="00197467">
              <w:rPr>
                <w:rFonts w:eastAsia="Times New Roman" w:cs="Times New Roman"/>
                <w:b/>
                <w:bCs/>
                <w:color w:val="000000"/>
              </w:rPr>
              <w:t>3.80E-05</w:t>
            </w:r>
          </w:p>
        </w:tc>
      </w:tr>
      <w:tr w:rsidR="00197467" w:rsidRPr="00197467" w14:paraId="114F0422" w14:textId="77777777" w:rsidTr="00197467">
        <w:trPr>
          <w:trHeight w:val="380"/>
        </w:trPr>
        <w:tc>
          <w:tcPr>
            <w:tcW w:w="2900" w:type="dxa"/>
            <w:tcBorders>
              <w:top w:val="nil"/>
              <w:left w:val="single" w:sz="4" w:space="0" w:color="auto"/>
              <w:bottom w:val="single" w:sz="4" w:space="0" w:color="auto"/>
              <w:right w:val="single" w:sz="4" w:space="0" w:color="auto"/>
            </w:tcBorders>
            <w:shd w:val="clear" w:color="000000" w:fill="D9D9D9"/>
            <w:noWrap/>
            <w:vAlign w:val="bottom"/>
            <w:hideMark/>
          </w:tcPr>
          <w:p w14:paraId="00C5C708" w14:textId="77777777" w:rsidR="00197467" w:rsidRPr="00197467" w:rsidRDefault="00197467" w:rsidP="00197467">
            <w:pPr>
              <w:rPr>
                <w:rFonts w:eastAsia="Times New Roman" w:cs="Times New Roman"/>
                <w:color w:val="000000"/>
              </w:rPr>
            </w:pPr>
            <w:r w:rsidRPr="00197467">
              <w:rPr>
                <w:rFonts w:eastAsia="Times New Roman" w:cs="Times New Roman"/>
                <w:color w:val="000000"/>
              </w:rPr>
              <w:t>Pielou's Evenness</w:t>
            </w:r>
          </w:p>
        </w:tc>
        <w:tc>
          <w:tcPr>
            <w:tcW w:w="2560" w:type="dxa"/>
            <w:tcBorders>
              <w:top w:val="nil"/>
              <w:left w:val="nil"/>
              <w:bottom w:val="single" w:sz="4" w:space="0" w:color="auto"/>
              <w:right w:val="single" w:sz="4" w:space="0" w:color="auto"/>
            </w:tcBorders>
            <w:shd w:val="clear" w:color="auto" w:fill="auto"/>
            <w:noWrap/>
            <w:vAlign w:val="bottom"/>
            <w:hideMark/>
          </w:tcPr>
          <w:p w14:paraId="3E711BBA" w14:textId="77777777" w:rsidR="00197467" w:rsidRPr="00197467" w:rsidRDefault="00197467" w:rsidP="00197467">
            <w:pPr>
              <w:jc w:val="right"/>
              <w:rPr>
                <w:rFonts w:eastAsia="Times New Roman" w:cs="Times New Roman"/>
                <w:b/>
                <w:bCs/>
                <w:color w:val="000000"/>
              </w:rPr>
            </w:pPr>
            <w:r w:rsidRPr="00197467">
              <w:rPr>
                <w:rFonts w:eastAsia="Times New Roman" w:cs="Times New Roman"/>
                <w:b/>
                <w:bCs/>
                <w:color w:val="000000"/>
              </w:rPr>
              <w:t>1.60E-05</w:t>
            </w:r>
          </w:p>
        </w:tc>
        <w:tc>
          <w:tcPr>
            <w:tcW w:w="2300" w:type="dxa"/>
            <w:tcBorders>
              <w:top w:val="nil"/>
              <w:left w:val="nil"/>
              <w:bottom w:val="single" w:sz="4" w:space="0" w:color="auto"/>
              <w:right w:val="single" w:sz="4" w:space="0" w:color="auto"/>
            </w:tcBorders>
            <w:shd w:val="clear" w:color="auto" w:fill="auto"/>
            <w:noWrap/>
            <w:vAlign w:val="bottom"/>
            <w:hideMark/>
          </w:tcPr>
          <w:p w14:paraId="144193A7" w14:textId="77777777" w:rsidR="00197467" w:rsidRPr="00197467" w:rsidRDefault="00197467" w:rsidP="00197467">
            <w:pPr>
              <w:jc w:val="right"/>
              <w:rPr>
                <w:rFonts w:eastAsia="Times New Roman" w:cs="Times New Roman"/>
                <w:b/>
                <w:bCs/>
                <w:color w:val="000000"/>
              </w:rPr>
            </w:pPr>
            <w:r w:rsidRPr="00197467">
              <w:rPr>
                <w:rFonts w:eastAsia="Times New Roman" w:cs="Times New Roman"/>
                <w:b/>
                <w:bCs/>
                <w:color w:val="000000"/>
              </w:rPr>
              <w:t>0.00045</w:t>
            </w:r>
          </w:p>
        </w:tc>
        <w:tc>
          <w:tcPr>
            <w:tcW w:w="2520" w:type="dxa"/>
            <w:tcBorders>
              <w:top w:val="nil"/>
              <w:left w:val="nil"/>
              <w:bottom w:val="single" w:sz="4" w:space="0" w:color="auto"/>
              <w:right w:val="single" w:sz="4" w:space="0" w:color="auto"/>
            </w:tcBorders>
            <w:shd w:val="clear" w:color="auto" w:fill="auto"/>
            <w:noWrap/>
            <w:vAlign w:val="bottom"/>
            <w:hideMark/>
          </w:tcPr>
          <w:p w14:paraId="32CA2DE2" w14:textId="77777777" w:rsidR="00197467" w:rsidRPr="00197467" w:rsidRDefault="00197467" w:rsidP="00197467">
            <w:pPr>
              <w:jc w:val="right"/>
              <w:rPr>
                <w:rFonts w:eastAsia="Times New Roman" w:cs="Times New Roman"/>
                <w:b/>
                <w:bCs/>
                <w:color w:val="000000"/>
              </w:rPr>
            </w:pPr>
            <w:r w:rsidRPr="00197467">
              <w:rPr>
                <w:rFonts w:eastAsia="Times New Roman" w:cs="Times New Roman"/>
                <w:b/>
                <w:bCs/>
                <w:color w:val="000000"/>
              </w:rPr>
              <w:t>0.00532</w:t>
            </w:r>
          </w:p>
        </w:tc>
      </w:tr>
    </w:tbl>
    <w:p w14:paraId="1557DB36" w14:textId="77777777" w:rsidR="000F6564" w:rsidRPr="00A53C1D" w:rsidRDefault="000F6564" w:rsidP="00D643B3">
      <w:pPr>
        <w:rPr>
          <w:rFonts w:cs="Times New Roman"/>
        </w:rPr>
      </w:pPr>
    </w:p>
    <w:p w14:paraId="671C0B0F" w14:textId="17339EF9" w:rsidR="005E668C" w:rsidRDefault="005E668C" w:rsidP="001F5DA7">
      <w:r>
        <w:br w:type="page"/>
      </w:r>
    </w:p>
    <w:p w14:paraId="326671E0" w14:textId="10D78F17" w:rsidR="00283EB3" w:rsidRDefault="005E668C" w:rsidP="001F5DA7">
      <w:pPr>
        <w:rPr>
          <w:b/>
          <w:bCs/>
        </w:rPr>
      </w:pPr>
      <w:r w:rsidRPr="005E668C">
        <w:rPr>
          <w:b/>
          <w:bCs/>
        </w:rPr>
        <w:lastRenderedPageBreak/>
        <w:t>3.8 Figures</w:t>
      </w:r>
    </w:p>
    <w:p w14:paraId="668DDBB3" w14:textId="77777777" w:rsidR="005E668C" w:rsidRDefault="005E668C" w:rsidP="001F5DA7">
      <w:pPr>
        <w:rPr>
          <w:b/>
          <w:bCs/>
        </w:rPr>
      </w:pPr>
    </w:p>
    <w:p w14:paraId="00A53179" w14:textId="5718754B" w:rsidR="0000506B" w:rsidRPr="00ED35E3" w:rsidRDefault="0000506B" w:rsidP="0000506B">
      <w:pPr>
        <w:textDirection w:val="btLr"/>
        <w:rPr>
          <w:b/>
          <w:bCs/>
        </w:rPr>
      </w:pPr>
      <w:r w:rsidRPr="00ED35E3">
        <w:rPr>
          <w:b/>
          <w:bCs/>
          <w:color w:val="000000"/>
        </w:rPr>
        <w:t>Figure 3.1 Map of Panama with sampling effort and administrative districts</w:t>
      </w:r>
    </w:p>
    <w:p w14:paraId="068D8782" w14:textId="5B6CBE5C" w:rsidR="005E668C" w:rsidRDefault="00BC04D1" w:rsidP="001F5DA7">
      <w:pPr>
        <w:rPr>
          <w:b/>
          <w:bCs/>
        </w:rPr>
      </w:pPr>
      <w:r>
        <w:rPr>
          <w:noProof/>
        </w:rPr>
        <w:drawing>
          <wp:anchor distT="0" distB="0" distL="114300" distR="114300" simplePos="0" relativeHeight="251659264" behindDoc="0" locked="0" layoutInCell="1" hidden="0" allowOverlap="1" wp14:anchorId="38ABD28F" wp14:editId="103FDE75">
            <wp:simplePos x="0" y="0"/>
            <wp:positionH relativeFrom="column">
              <wp:posOffset>0</wp:posOffset>
            </wp:positionH>
            <wp:positionV relativeFrom="paragraph">
              <wp:posOffset>346075</wp:posOffset>
            </wp:positionV>
            <wp:extent cx="5964555" cy="4207510"/>
            <wp:effectExtent l="0" t="0" r="4445" b="0"/>
            <wp:wrapTopAndBottom distT="0" distB="0"/>
            <wp:docPr id="75" name="image2.jp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Map&#10;&#10;Description automatically generated"/>
                    <pic:cNvPicPr preferRelativeResize="0"/>
                  </pic:nvPicPr>
                  <pic:blipFill>
                    <a:blip r:embed="rId11"/>
                    <a:srcRect/>
                    <a:stretch>
                      <a:fillRect/>
                    </a:stretch>
                  </pic:blipFill>
                  <pic:spPr>
                    <a:xfrm>
                      <a:off x="0" y="0"/>
                      <a:ext cx="5964555" cy="4207510"/>
                    </a:xfrm>
                    <a:prstGeom prst="rect">
                      <a:avLst/>
                    </a:prstGeom>
                    <a:ln/>
                  </pic:spPr>
                </pic:pic>
              </a:graphicData>
            </a:graphic>
            <wp14:sizeRelH relativeFrom="margin">
              <wp14:pctWidth>0</wp14:pctWidth>
            </wp14:sizeRelH>
            <wp14:sizeRelV relativeFrom="margin">
              <wp14:pctHeight>0</wp14:pctHeight>
            </wp14:sizeRelV>
          </wp:anchor>
        </w:drawing>
      </w:r>
    </w:p>
    <w:p w14:paraId="4CB81104" w14:textId="0047BEBB" w:rsidR="0000506B" w:rsidRDefault="0000506B" w:rsidP="001F5DA7">
      <w:pPr>
        <w:rPr>
          <w:b/>
          <w:bCs/>
        </w:rPr>
      </w:pPr>
    </w:p>
    <w:p w14:paraId="3C049F3C" w14:textId="77777777" w:rsidR="00BC04D1" w:rsidRDefault="00BC04D1" w:rsidP="001F5DA7">
      <w:pPr>
        <w:rPr>
          <w:b/>
          <w:bCs/>
        </w:rPr>
      </w:pPr>
    </w:p>
    <w:p w14:paraId="4EA57F23" w14:textId="5403205F" w:rsidR="00E66AB7" w:rsidRDefault="00E66AB7" w:rsidP="001F5DA7">
      <w:pPr>
        <w:rPr>
          <w:b/>
          <w:bCs/>
        </w:rPr>
        <w:sectPr w:rsidR="00E66AB7" w:rsidSect="00283EB3">
          <w:pgSz w:w="12240" w:h="15840"/>
          <w:pgMar w:top="1440" w:right="1440" w:bottom="1440" w:left="1440" w:header="720" w:footer="720" w:gutter="0"/>
          <w:cols w:space="720"/>
          <w:docGrid w:linePitch="360"/>
        </w:sectPr>
      </w:pPr>
    </w:p>
    <w:p w14:paraId="26E4D881" w14:textId="5DF265AE" w:rsidR="00BC04D1" w:rsidRDefault="00BC04D1" w:rsidP="001F5DA7">
      <w:pPr>
        <w:rPr>
          <w:b/>
          <w:bCs/>
        </w:rPr>
      </w:pPr>
    </w:p>
    <w:p w14:paraId="1E709A3A" w14:textId="79625E9F" w:rsidR="00EF22BA" w:rsidRDefault="00EF22BA" w:rsidP="00EF22BA">
      <w:pPr>
        <w:textDirection w:val="btLr"/>
        <w:rPr>
          <w:color w:val="000000"/>
        </w:rPr>
      </w:pPr>
      <w:r>
        <w:rPr>
          <w:b/>
          <w:color w:val="000000"/>
        </w:rPr>
        <w:t xml:space="preserve">Figure </w:t>
      </w:r>
      <w:r w:rsidR="00ED35E3">
        <w:rPr>
          <w:b/>
          <w:color w:val="000000"/>
        </w:rPr>
        <w:t>3.</w:t>
      </w:r>
      <w:r>
        <w:rPr>
          <w:b/>
          <w:color w:val="000000"/>
        </w:rPr>
        <w:t xml:space="preserve">2 Average relative abundance across the three sampling regions. </w:t>
      </w:r>
      <w:r>
        <w:rPr>
          <w:color w:val="000000"/>
        </w:rPr>
        <w:t xml:space="preserve">Average relative abundances of the top 10 bacterial genera for all sampled </w:t>
      </w:r>
      <w:r>
        <w:rPr>
          <w:i/>
          <w:color w:val="000000"/>
        </w:rPr>
        <w:t>R. pallescens</w:t>
      </w:r>
      <w:r>
        <w:rPr>
          <w:color w:val="000000"/>
        </w:rPr>
        <w:t xml:space="preserve"> (N = 283) split by sampling region as determined by </w:t>
      </w:r>
      <w:r w:rsidRPr="003825EC">
        <w:rPr>
          <w:i/>
          <w:iCs/>
          <w:color w:val="000000"/>
        </w:rPr>
        <w:t>16S</w:t>
      </w:r>
      <w:r>
        <w:rPr>
          <w:color w:val="000000"/>
        </w:rPr>
        <w:t xml:space="preserve"> rRNA metabarcoding. </w:t>
      </w:r>
    </w:p>
    <w:p w14:paraId="77E2B932" w14:textId="77777777" w:rsidR="00EF22BA" w:rsidRDefault="00EF22BA" w:rsidP="00EF22BA">
      <w:pPr>
        <w:textDirection w:val="btLr"/>
        <w:rPr>
          <w:color w:val="000000"/>
        </w:rPr>
      </w:pPr>
    </w:p>
    <w:p w14:paraId="03833562" w14:textId="7BB46E94" w:rsidR="00EF22BA" w:rsidRDefault="00E66AB7" w:rsidP="00EF22BA">
      <w:pPr>
        <w:textDirection w:val="btLr"/>
        <w:rPr>
          <w:color w:val="000000"/>
        </w:rPr>
      </w:pPr>
      <w:r>
        <w:rPr>
          <w:noProof/>
        </w:rPr>
        <w:drawing>
          <wp:anchor distT="0" distB="0" distL="114300" distR="114300" simplePos="0" relativeHeight="251661312" behindDoc="0" locked="0" layoutInCell="1" allowOverlap="1" wp14:anchorId="2A80810E" wp14:editId="63166393">
            <wp:simplePos x="0" y="0"/>
            <wp:positionH relativeFrom="column">
              <wp:posOffset>0</wp:posOffset>
            </wp:positionH>
            <wp:positionV relativeFrom="paragraph">
              <wp:posOffset>185126</wp:posOffset>
            </wp:positionV>
            <wp:extent cx="8581292" cy="5053591"/>
            <wp:effectExtent l="0" t="0" r="4445" b="1270"/>
            <wp:wrapSquare wrapText="bothSides"/>
            <wp:docPr id="80" name="image4.jp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Chart, bar chart&#10;&#10;Description automatically generated"/>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8588721" cy="5057966"/>
                    </a:xfrm>
                    <a:prstGeom prst="rect">
                      <a:avLst/>
                    </a:prstGeom>
                    <a:ln/>
                  </pic:spPr>
                </pic:pic>
              </a:graphicData>
            </a:graphic>
            <wp14:sizeRelH relativeFrom="margin">
              <wp14:pctWidth>0</wp14:pctWidth>
            </wp14:sizeRelH>
            <wp14:sizeRelV relativeFrom="margin">
              <wp14:pctHeight>0</wp14:pctHeight>
            </wp14:sizeRelV>
          </wp:anchor>
        </w:drawing>
      </w:r>
    </w:p>
    <w:p w14:paraId="11C7A358" w14:textId="16FDB90D" w:rsidR="0047728B" w:rsidRDefault="0047728B" w:rsidP="001F5DA7">
      <w:pPr>
        <w:rPr>
          <w:b/>
          <w:bCs/>
        </w:rPr>
        <w:sectPr w:rsidR="0047728B" w:rsidSect="00E66AB7">
          <w:pgSz w:w="15840" w:h="12240" w:orient="landscape"/>
          <w:pgMar w:top="1440" w:right="1440" w:bottom="1440" w:left="1440" w:header="720" w:footer="720" w:gutter="0"/>
          <w:cols w:space="720"/>
          <w:docGrid w:linePitch="360"/>
        </w:sectPr>
      </w:pPr>
    </w:p>
    <w:p w14:paraId="4392212E" w14:textId="6D2252D5" w:rsidR="009E1DF0" w:rsidRDefault="009E1DF0" w:rsidP="001F5DA7">
      <w:pPr>
        <w:rPr>
          <w:b/>
          <w:bCs/>
        </w:rPr>
      </w:pPr>
    </w:p>
    <w:p w14:paraId="6A5ED1AD" w14:textId="6AF72CDB" w:rsidR="007D420C" w:rsidRDefault="007D420C" w:rsidP="007D420C">
      <w:pPr>
        <w:textDirection w:val="btLr"/>
        <w:rPr>
          <w:color w:val="000000"/>
        </w:rPr>
      </w:pPr>
      <w:r>
        <w:rPr>
          <w:b/>
          <w:color w:val="000000"/>
        </w:rPr>
        <w:t xml:space="preserve">Figure </w:t>
      </w:r>
      <w:r w:rsidR="00ED35E3">
        <w:rPr>
          <w:b/>
          <w:color w:val="000000"/>
        </w:rPr>
        <w:t>3.</w:t>
      </w:r>
      <w:r>
        <w:rPr>
          <w:b/>
          <w:color w:val="000000"/>
        </w:rPr>
        <w:t xml:space="preserve">3 Alpha diversity across pasture and peridomestic palms. </w:t>
      </w:r>
      <w:r>
        <w:rPr>
          <w:color w:val="000000"/>
        </w:rPr>
        <w:t xml:space="preserve">Four alpha diversity metrics (ASV richness and Shannon Diversity) for pasture and peridomestic palms at each of the three sampling regions. n = Number of bugs sampled. Horizontal bar indicates two regions that were compared via Pairwise Wilcoxon Rank Sum Tests to test for pairwise significance. Asterisks designates Benjamini-Hochberg-corrected </w:t>
      </w:r>
      <w:r w:rsidRPr="008F6E56">
        <w:rPr>
          <w:i/>
          <w:iCs/>
          <w:color w:val="000000"/>
        </w:rPr>
        <w:t>p</w:t>
      </w:r>
      <w:r>
        <w:rPr>
          <w:color w:val="000000"/>
        </w:rPr>
        <w:t xml:space="preserve">-values (* = </w:t>
      </w:r>
      <w:r>
        <w:rPr>
          <w:i/>
          <w:color w:val="000000"/>
        </w:rPr>
        <w:t>p</w:t>
      </w:r>
      <w:r>
        <w:rPr>
          <w:color w:val="000000"/>
        </w:rPr>
        <w:t xml:space="preserve"> &lt; 0.05; ** = </w:t>
      </w:r>
      <w:r>
        <w:rPr>
          <w:i/>
          <w:color w:val="000000"/>
        </w:rPr>
        <w:t>p</w:t>
      </w:r>
      <w:r>
        <w:rPr>
          <w:color w:val="000000"/>
        </w:rPr>
        <w:t xml:space="preserve"> &lt; 0.01; *** = </w:t>
      </w:r>
      <w:r>
        <w:rPr>
          <w:i/>
          <w:color w:val="000000"/>
        </w:rPr>
        <w:t>p</w:t>
      </w:r>
      <w:r>
        <w:rPr>
          <w:color w:val="000000"/>
        </w:rPr>
        <w:t xml:space="preserve"> &lt; 0.001; ns, not significant). </w:t>
      </w:r>
    </w:p>
    <w:p w14:paraId="23519CCC" w14:textId="77777777" w:rsidR="007D420C" w:rsidRDefault="007D420C" w:rsidP="007D420C">
      <w:pPr>
        <w:textDirection w:val="btLr"/>
        <w:rPr>
          <w:color w:val="000000"/>
        </w:rPr>
      </w:pPr>
    </w:p>
    <w:p w14:paraId="421DDEFC" w14:textId="77777777" w:rsidR="0047728B" w:rsidRDefault="0047728B" w:rsidP="007D420C">
      <w:pPr>
        <w:textDirection w:val="btLr"/>
        <w:rPr>
          <w:color w:val="000000"/>
        </w:rPr>
      </w:pPr>
    </w:p>
    <w:p w14:paraId="19AFCCEC" w14:textId="77777777" w:rsidR="0047728B" w:rsidRDefault="0047728B" w:rsidP="007D420C">
      <w:pPr>
        <w:textDirection w:val="btLr"/>
        <w:rPr>
          <w:color w:val="000000"/>
        </w:rPr>
      </w:pPr>
    </w:p>
    <w:p w14:paraId="46027189" w14:textId="1B700D7F" w:rsidR="007D420C" w:rsidRDefault="0047728B" w:rsidP="007D420C">
      <w:pPr>
        <w:textDirection w:val="btLr"/>
      </w:pPr>
      <w:r w:rsidRPr="00B36847">
        <w:rPr>
          <w:noProof/>
        </w:rPr>
        <w:drawing>
          <wp:inline distT="0" distB="0" distL="0" distR="0" wp14:anchorId="34C26EEB" wp14:editId="42EED3F0">
            <wp:extent cx="8930534" cy="3643533"/>
            <wp:effectExtent l="0" t="0" r="0" b="1905"/>
            <wp:docPr id="1946623543" name="Picture 194662354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23543" name="Picture 1946623543" descr="Diagram, timeline&#10;&#10;Description automatically generated"/>
                    <pic:cNvPicPr/>
                  </pic:nvPicPr>
                  <pic:blipFill>
                    <a:blip r:embed="rId13"/>
                    <a:stretch>
                      <a:fillRect/>
                    </a:stretch>
                  </pic:blipFill>
                  <pic:spPr>
                    <a:xfrm>
                      <a:off x="0" y="0"/>
                      <a:ext cx="8985059" cy="3665778"/>
                    </a:xfrm>
                    <a:prstGeom prst="rect">
                      <a:avLst/>
                    </a:prstGeom>
                  </pic:spPr>
                </pic:pic>
              </a:graphicData>
            </a:graphic>
          </wp:inline>
        </w:drawing>
      </w:r>
    </w:p>
    <w:p w14:paraId="58D0B7E7" w14:textId="77777777" w:rsidR="009E1DF0" w:rsidRDefault="009E1DF0" w:rsidP="001F5DA7">
      <w:pPr>
        <w:rPr>
          <w:b/>
          <w:bCs/>
        </w:rPr>
      </w:pPr>
    </w:p>
    <w:p w14:paraId="7751A22E" w14:textId="77777777" w:rsidR="0047728B" w:rsidRDefault="0047728B" w:rsidP="001F5DA7">
      <w:pPr>
        <w:rPr>
          <w:b/>
          <w:bCs/>
        </w:rPr>
      </w:pPr>
    </w:p>
    <w:p w14:paraId="628A4177" w14:textId="77777777" w:rsidR="00983FE3" w:rsidRDefault="00983FE3" w:rsidP="001F5DA7">
      <w:pPr>
        <w:rPr>
          <w:b/>
          <w:bCs/>
        </w:rPr>
      </w:pPr>
    </w:p>
    <w:p w14:paraId="73C4742E" w14:textId="77777777" w:rsidR="00983FE3" w:rsidRDefault="00983FE3" w:rsidP="001F5DA7">
      <w:pPr>
        <w:rPr>
          <w:b/>
          <w:bCs/>
        </w:rPr>
      </w:pPr>
    </w:p>
    <w:p w14:paraId="6024CAC1" w14:textId="77777777" w:rsidR="00983FE3" w:rsidRDefault="00983FE3" w:rsidP="001F5DA7">
      <w:pPr>
        <w:rPr>
          <w:b/>
          <w:bCs/>
        </w:rPr>
      </w:pPr>
    </w:p>
    <w:p w14:paraId="658D029B" w14:textId="2F01C4B8" w:rsidR="009859B3" w:rsidRPr="006D5881" w:rsidRDefault="009859B3" w:rsidP="009859B3">
      <w:pPr>
        <w:textDirection w:val="btLr"/>
        <w:rPr>
          <w:color w:val="000000"/>
          <w:sz w:val="22"/>
          <w:szCs w:val="22"/>
        </w:rPr>
      </w:pPr>
      <w:r w:rsidRPr="006D5881">
        <w:rPr>
          <w:b/>
          <w:color w:val="000000"/>
          <w:sz w:val="22"/>
          <w:szCs w:val="22"/>
        </w:rPr>
        <w:lastRenderedPageBreak/>
        <w:t xml:space="preserve">Figure </w:t>
      </w:r>
      <w:r w:rsidR="00ED35E3">
        <w:rPr>
          <w:b/>
          <w:color w:val="000000"/>
          <w:sz w:val="22"/>
          <w:szCs w:val="22"/>
        </w:rPr>
        <w:t>3.</w:t>
      </w:r>
      <w:r>
        <w:rPr>
          <w:b/>
          <w:color w:val="000000"/>
          <w:sz w:val="22"/>
          <w:szCs w:val="22"/>
        </w:rPr>
        <w:t>4</w:t>
      </w:r>
      <w:r w:rsidRPr="006D5881">
        <w:rPr>
          <w:b/>
          <w:color w:val="000000"/>
          <w:sz w:val="22"/>
          <w:szCs w:val="22"/>
        </w:rPr>
        <w:t xml:space="preserve"> Alpha diversity across </w:t>
      </w:r>
      <w:r>
        <w:rPr>
          <w:b/>
          <w:color w:val="000000"/>
          <w:sz w:val="22"/>
          <w:szCs w:val="22"/>
        </w:rPr>
        <w:t>Capira and La Chorrera</w:t>
      </w:r>
      <w:r w:rsidRPr="006D5881">
        <w:rPr>
          <w:b/>
          <w:color w:val="000000"/>
          <w:sz w:val="22"/>
          <w:szCs w:val="22"/>
        </w:rPr>
        <w:t xml:space="preserve"> </w:t>
      </w:r>
      <w:r>
        <w:rPr>
          <w:b/>
          <w:color w:val="000000"/>
          <w:sz w:val="22"/>
          <w:szCs w:val="22"/>
        </w:rPr>
        <w:t>samples</w:t>
      </w:r>
      <w:r w:rsidRPr="006D5881">
        <w:rPr>
          <w:b/>
          <w:color w:val="000000"/>
          <w:sz w:val="22"/>
          <w:szCs w:val="22"/>
        </w:rPr>
        <w:t xml:space="preserve">. </w:t>
      </w:r>
      <w:r w:rsidRPr="006D5881">
        <w:rPr>
          <w:color w:val="000000"/>
          <w:sz w:val="22"/>
          <w:szCs w:val="22"/>
        </w:rPr>
        <w:t>Four alpha diversity metrics (ASV richness,</w:t>
      </w:r>
      <w:r>
        <w:rPr>
          <w:color w:val="000000"/>
          <w:sz w:val="22"/>
          <w:szCs w:val="22"/>
        </w:rPr>
        <w:t xml:space="preserve"> and</w:t>
      </w:r>
      <w:r w:rsidRPr="006D5881">
        <w:rPr>
          <w:color w:val="000000"/>
          <w:sz w:val="22"/>
          <w:szCs w:val="22"/>
        </w:rPr>
        <w:t xml:space="preserve"> Shannon diversity) for </w:t>
      </w:r>
      <w:r>
        <w:rPr>
          <w:color w:val="000000"/>
          <w:sz w:val="22"/>
          <w:szCs w:val="22"/>
        </w:rPr>
        <w:t>samples collected at Capira and La Chorrera</w:t>
      </w:r>
      <w:r w:rsidRPr="006D5881">
        <w:rPr>
          <w:color w:val="000000"/>
          <w:sz w:val="22"/>
          <w:szCs w:val="22"/>
        </w:rPr>
        <w:t xml:space="preserve">. n = Number of bugs sampled. Horizontal bar indicates two regions that were compared via Pairwise Wilcoxon Rank Sum Tests to test for pairwise significance. Asterisks designates Benjamini-Hochberg-corrected </w:t>
      </w:r>
      <w:r w:rsidRPr="006D5881">
        <w:rPr>
          <w:i/>
          <w:iCs/>
          <w:color w:val="000000"/>
          <w:sz w:val="22"/>
          <w:szCs w:val="22"/>
        </w:rPr>
        <w:t>p</w:t>
      </w:r>
      <w:r w:rsidRPr="006D5881">
        <w:rPr>
          <w:color w:val="000000"/>
          <w:sz w:val="22"/>
          <w:szCs w:val="22"/>
        </w:rPr>
        <w:t xml:space="preserve">-values (* = </w:t>
      </w:r>
      <w:r w:rsidRPr="006D5881">
        <w:rPr>
          <w:i/>
          <w:color w:val="000000"/>
          <w:sz w:val="22"/>
          <w:szCs w:val="22"/>
        </w:rPr>
        <w:t>p</w:t>
      </w:r>
      <w:r w:rsidRPr="006D5881">
        <w:rPr>
          <w:color w:val="000000"/>
          <w:sz w:val="22"/>
          <w:szCs w:val="22"/>
        </w:rPr>
        <w:t xml:space="preserve"> &lt; 0.05; ** = </w:t>
      </w:r>
      <w:r w:rsidRPr="006D5881">
        <w:rPr>
          <w:i/>
          <w:color w:val="000000"/>
          <w:sz w:val="22"/>
          <w:szCs w:val="22"/>
        </w:rPr>
        <w:t>p</w:t>
      </w:r>
      <w:r w:rsidRPr="006D5881">
        <w:rPr>
          <w:color w:val="000000"/>
          <w:sz w:val="22"/>
          <w:szCs w:val="22"/>
        </w:rPr>
        <w:t xml:space="preserve"> &lt; 0.01; *** = </w:t>
      </w:r>
      <w:r w:rsidRPr="006D5881">
        <w:rPr>
          <w:i/>
          <w:color w:val="000000"/>
          <w:sz w:val="22"/>
          <w:szCs w:val="22"/>
        </w:rPr>
        <w:t>p</w:t>
      </w:r>
      <w:r w:rsidRPr="006D5881">
        <w:rPr>
          <w:color w:val="000000"/>
          <w:sz w:val="22"/>
          <w:szCs w:val="22"/>
        </w:rPr>
        <w:t xml:space="preserve"> &lt; 0.001; ns, not significant). </w:t>
      </w:r>
    </w:p>
    <w:p w14:paraId="6DA9E4C6" w14:textId="77777777" w:rsidR="009859B3" w:rsidRPr="006D5881" w:rsidRDefault="009859B3" w:rsidP="009859B3">
      <w:pPr>
        <w:textDirection w:val="btLr"/>
        <w:rPr>
          <w:color w:val="000000"/>
          <w:sz w:val="22"/>
          <w:szCs w:val="22"/>
        </w:rPr>
      </w:pPr>
    </w:p>
    <w:p w14:paraId="29BA726C" w14:textId="77777777" w:rsidR="009859B3" w:rsidRDefault="009859B3" w:rsidP="009859B3">
      <w:pPr>
        <w:textDirection w:val="btLr"/>
        <w:rPr>
          <w:sz w:val="22"/>
          <w:szCs w:val="22"/>
        </w:rPr>
      </w:pPr>
    </w:p>
    <w:p w14:paraId="70C461B0" w14:textId="77777777" w:rsidR="009859B3" w:rsidRDefault="009859B3" w:rsidP="009859B3">
      <w:pPr>
        <w:textDirection w:val="btLr"/>
        <w:rPr>
          <w:sz w:val="22"/>
          <w:szCs w:val="22"/>
        </w:rPr>
      </w:pPr>
    </w:p>
    <w:p w14:paraId="38E48F94" w14:textId="41703D0D" w:rsidR="009859B3" w:rsidRDefault="003A13BC" w:rsidP="009859B3">
      <w:pPr>
        <w:textDirection w:val="btLr"/>
        <w:rPr>
          <w:sz w:val="22"/>
          <w:szCs w:val="22"/>
        </w:rPr>
      </w:pPr>
      <w:r w:rsidRPr="00EA17DF">
        <w:rPr>
          <w:noProof/>
        </w:rPr>
        <w:drawing>
          <wp:inline distT="0" distB="0" distL="0" distR="0" wp14:anchorId="09E30321" wp14:editId="675A2907">
            <wp:extent cx="8965011" cy="3657600"/>
            <wp:effectExtent l="0" t="0" r="1270" b="0"/>
            <wp:docPr id="1946623544" name="Picture 194662354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23544" name="Picture 1946623544" descr="Diagram, timeline&#10;&#10;Description automatically generated"/>
                    <pic:cNvPicPr/>
                  </pic:nvPicPr>
                  <pic:blipFill>
                    <a:blip r:embed="rId14"/>
                    <a:stretch>
                      <a:fillRect/>
                    </a:stretch>
                  </pic:blipFill>
                  <pic:spPr>
                    <a:xfrm>
                      <a:off x="0" y="0"/>
                      <a:ext cx="8976967" cy="3662478"/>
                    </a:xfrm>
                    <a:prstGeom prst="rect">
                      <a:avLst/>
                    </a:prstGeom>
                  </pic:spPr>
                </pic:pic>
              </a:graphicData>
            </a:graphic>
          </wp:inline>
        </w:drawing>
      </w:r>
    </w:p>
    <w:p w14:paraId="3364F74F" w14:textId="77777777" w:rsidR="009859B3" w:rsidRPr="006D5881" w:rsidRDefault="009859B3" w:rsidP="009859B3">
      <w:pPr>
        <w:textDirection w:val="btLr"/>
        <w:rPr>
          <w:sz w:val="22"/>
          <w:szCs w:val="22"/>
        </w:rPr>
      </w:pPr>
    </w:p>
    <w:p w14:paraId="099AA211" w14:textId="77777777" w:rsidR="00983FE3" w:rsidRDefault="00983FE3" w:rsidP="001F5DA7">
      <w:pPr>
        <w:rPr>
          <w:b/>
          <w:bCs/>
        </w:rPr>
      </w:pPr>
    </w:p>
    <w:p w14:paraId="3F05B688" w14:textId="77777777" w:rsidR="002841AD" w:rsidRDefault="002841AD" w:rsidP="001F5DA7">
      <w:pPr>
        <w:rPr>
          <w:b/>
          <w:bCs/>
        </w:rPr>
      </w:pPr>
    </w:p>
    <w:p w14:paraId="75F9A74D" w14:textId="77777777" w:rsidR="002841AD" w:rsidRDefault="002841AD" w:rsidP="001F5DA7">
      <w:pPr>
        <w:rPr>
          <w:b/>
          <w:bCs/>
        </w:rPr>
      </w:pPr>
    </w:p>
    <w:p w14:paraId="22AEC6C0" w14:textId="77777777" w:rsidR="002841AD" w:rsidRDefault="002841AD" w:rsidP="001F5DA7">
      <w:pPr>
        <w:rPr>
          <w:b/>
          <w:bCs/>
        </w:rPr>
      </w:pPr>
    </w:p>
    <w:p w14:paraId="21D3E798" w14:textId="77777777" w:rsidR="002841AD" w:rsidRDefault="002841AD" w:rsidP="001F5DA7">
      <w:pPr>
        <w:rPr>
          <w:b/>
          <w:bCs/>
        </w:rPr>
      </w:pPr>
    </w:p>
    <w:p w14:paraId="54DAAA79" w14:textId="5BF06B24" w:rsidR="002841AD" w:rsidRDefault="00ED35E3" w:rsidP="002841AD">
      <w:pPr>
        <w:textDirection w:val="btLr"/>
        <w:rPr>
          <w:color w:val="000000"/>
          <w:sz w:val="22"/>
          <w:szCs w:val="22"/>
        </w:rPr>
      </w:pPr>
      <w:r>
        <w:rPr>
          <w:noProof/>
        </w:rPr>
        <w:lastRenderedPageBreak/>
        <w:drawing>
          <wp:anchor distT="0" distB="0" distL="114300" distR="114300" simplePos="0" relativeHeight="251663360" behindDoc="0" locked="0" layoutInCell="1" allowOverlap="1" wp14:anchorId="61097BB3" wp14:editId="1A3949EE">
            <wp:simplePos x="0" y="0"/>
            <wp:positionH relativeFrom="column">
              <wp:posOffset>0</wp:posOffset>
            </wp:positionH>
            <wp:positionV relativeFrom="paragraph">
              <wp:posOffset>702945</wp:posOffset>
            </wp:positionV>
            <wp:extent cx="7950200" cy="5007610"/>
            <wp:effectExtent l="0" t="0" r="0" b="0"/>
            <wp:wrapTopAndBottom/>
            <wp:docPr id="57" name="Picture 5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950200" cy="5007610"/>
                    </a:xfrm>
                    <a:prstGeom prst="rect">
                      <a:avLst/>
                    </a:prstGeom>
                  </pic:spPr>
                </pic:pic>
              </a:graphicData>
            </a:graphic>
            <wp14:sizeRelH relativeFrom="margin">
              <wp14:pctWidth>0</wp14:pctWidth>
            </wp14:sizeRelH>
            <wp14:sizeRelV relativeFrom="margin">
              <wp14:pctHeight>0</wp14:pctHeight>
            </wp14:sizeRelV>
          </wp:anchor>
        </w:drawing>
      </w:r>
      <w:r w:rsidR="002841AD" w:rsidRPr="006D5881">
        <w:rPr>
          <w:b/>
          <w:color w:val="000000"/>
          <w:sz w:val="22"/>
          <w:szCs w:val="22"/>
        </w:rPr>
        <w:t xml:space="preserve">Figure </w:t>
      </w:r>
      <w:r>
        <w:rPr>
          <w:b/>
          <w:color w:val="000000"/>
          <w:sz w:val="22"/>
          <w:szCs w:val="22"/>
        </w:rPr>
        <w:t>3.</w:t>
      </w:r>
      <w:r w:rsidR="002841AD">
        <w:rPr>
          <w:b/>
          <w:color w:val="000000"/>
          <w:sz w:val="22"/>
          <w:szCs w:val="22"/>
        </w:rPr>
        <w:t>5</w:t>
      </w:r>
      <w:r w:rsidR="002841AD" w:rsidRPr="006D5881">
        <w:rPr>
          <w:b/>
          <w:color w:val="000000"/>
          <w:sz w:val="22"/>
          <w:szCs w:val="22"/>
        </w:rPr>
        <w:t xml:space="preserve"> Alpha diversity across </w:t>
      </w:r>
      <w:r w:rsidR="002841AD">
        <w:rPr>
          <w:b/>
          <w:color w:val="000000"/>
          <w:sz w:val="22"/>
          <w:szCs w:val="22"/>
        </w:rPr>
        <w:t>Veraguas</w:t>
      </w:r>
      <w:r w:rsidR="002841AD" w:rsidRPr="006D5881">
        <w:rPr>
          <w:b/>
          <w:color w:val="000000"/>
          <w:sz w:val="22"/>
          <w:szCs w:val="22"/>
        </w:rPr>
        <w:t xml:space="preserve"> </w:t>
      </w:r>
      <w:r w:rsidR="002841AD">
        <w:rPr>
          <w:b/>
          <w:color w:val="000000"/>
          <w:sz w:val="22"/>
          <w:szCs w:val="22"/>
        </w:rPr>
        <w:t>samples</w:t>
      </w:r>
      <w:r w:rsidR="002841AD" w:rsidRPr="006D5881">
        <w:rPr>
          <w:b/>
          <w:color w:val="000000"/>
          <w:sz w:val="22"/>
          <w:szCs w:val="22"/>
        </w:rPr>
        <w:t xml:space="preserve">. </w:t>
      </w:r>
      <w:r w:rsidR="002841AD" w:rsidRPr="006D5881">
        <w:rPr>
          <w:color w:val="000000"/>
          <w:sz w:val="22"/>
          <w:szCs w:val="22"/>
        </w:rPr>
        <w:t xml:space="preserve">Four alpha diversity metrics (ASV richness, Pielou’s Evenness, Shannon diversity, and Faith’s phylogenetic diversity) for </w:t>
      </w:r>
      <w:r w:rsidR="002841AD">
        <w:rPr>
          <w:color w:val="000000"/>
          <w:sz w:val="22"/>
          <w:szCs w:val="22"/>
        </w:rPr>
        <w:t>samples collected at Veraguas</w:t>
      </w:r>
      <w:r w:rsidR="002841AD" w:rsidRPr="006D5881">
        <w:rPr>
          <w:color w:val="000000"/>
          <w:sz w:val="22"/>
          <w:szCs w:val="22"/>
        </w:rPr>
        <w:t xml:space="preserve">. n = Number of bugs sampled. Horizontal bar indicates two regions that were compared via Pairwise Wilcoxon Rank Sum Tests to test for pairwise significance. Asterisks designates Benjamini-Hochberg-corrected </w:t>
      </w:r>
      <w:r w:rsidR="002841AD" w:rsidRPr="006D5881">
        <w:rPr>
          <w:i/>
          <w:iCs/>
          <w:color w:val="000000"/>
          <w:sz w:val="22"/>
          <w:szCs w:val="22"/>
        </w:rPr>
        <w:t>p</w:t>
      </w:r>
      <w:r w:rsidR="002841AD" w:rsidRPr="006D5881">
        <w:rPr>
          <w:color w:val="000000"/>
          <w:sz w:val="22"/>
          <w:szCs w:val="22"/>
        </w:rPr>
        <w:t xml:space="preserve">-values (* = </w:t>
      </w:r>
      <w:r w:rsidR="002841AD" w:rsidRPr="006D5881">
        <w:rPr>
          <w:i/>
          <w:color w:val="000000"/>
          <w:sz w:val="22"/>
          <w:szCs w:val="22"/>
        </w:rPr>
        <w:t>p</w:t>
      </w:r>
      <w:r w:rsidR="002841AD" w:rsidRPr="006D5881">
        <w:rPr>
          <w:color w:val="000000"/>
          <w:sz w:val="22"/>
          <w:szCs w:val="22"/>
        </w:rPr>
        <w:t xml:space="preserve"> &lt; 0.05; ** = </w:t>
      </w:r>
      <w:r w:rsidR="002841AD" w:rsidRPr="006D5881">
        <w:rPr>
          <w:i/>
          <w:color w:val="000000"/>
          <w:sz w:val="22"/>
          <w:szCs w:val="22"/>
        </w:rPr>
        <w:t>p</w:t>
      </w:r>
      <w:r w:rsidR="002841AD" w:rsidRPr="006D5881">
        <w:rPr>
          <w:color w:val="000000"/>
          <w:sz w:val="22"/>
          <w:szCs w:val="22"/>
        </w:rPr>
        <w:t xml:space="preserve"> &lt; 0.01; *** = </w:t>
      </w:r>
      <w:r w:rsidR="002841AD" w:rsidRPr="006D5881">
        <w:rPr>
          <w:i/>
          <w:color w:val="000000"/>
          <w:sz w:val="22"/>
          <w:szCs w:val="22"/>
        </w:rPr>
        <w:t>p</w:t>
      </w:r>
      <w:r w:rsidR="002841AD" w:rsidRPr="006D5881">
        <w:rPr>
          <w:color w:val="000000"/>
          <w:sz w:val="22"/>
          <w:szCs w:val="22"/>
        </w:rPr>
        <w:t xml:space="preserve"> &lt; 0.001; ns, not significant). </w:t>
      </w:r>
    </w:p>
    <w:p w14:paraId="345AB5B8" w14:textId="77777777" w:rsidR="00ED35E3" w:rsidRDefault="00ED35E3" w:rsidP="002841AD">
      <w:pPr>
        <w:textDirection w:val="btLr"/>
        <w:rPr>
          <w:color w:val="000000"/>
          <w:sz w:val="22"/>
          <w:szCs w:val="22"/>
        </w:rPr>
      </w:pPr>
    </w:p>
    <w:p w14:paraId="069D32C1" w14:textId="16FF7848" w:rsidR="00ED35E3" w:rsidRDefault="0071095C" w:rsidP="002841AD">
      <w:pPr>
        <w:textDirection w:val="btLr"/>
        <w:rPr>
          <w:color w:val="000000"/>
          <w:sz w:val="22"/>
          <w:szCs w:val="22"/>
        </w:rPr>
      </w:pPr>
      <w:r w:rsidRPr="0071095C">
        <w:rPr>
          <w:b/>
          <w:bCs/>
          <w:color w:val="000000"/>
          <w:sz w:val="22"/>
          <w:szCs w:val="22"/>
        </w:rPr>
        <w:lastRenderedPageBreak/>
        <w:t xml:space="preserve">Figure </w:t>
      </w:r>
      <w:r>
        <w:rPr>
          <w:b/>
          <w:bCs/>
          <w:color w:val="000000"/>
          <w:sz w:val="22"/>
          <w:szCs w:val="22"/>
        </w:rPr>
        <w:t>3.</w:t>
      </w:r>
      <w:r w:rsidRPr="0071095C">
        <w:rPr>
          <w:b/>
          <w:bCs/>
          <w:color w:val="000000"/>
          <w:sz w:val="22"/>
          <w:szCs w:val="22"/>
        </w:rPr>
        <w:t>6 Beta diversity across Veraguas samples.</w:t>
      </w:r>
      <w:r w:rsidRPr="0071095C">
        <w:rPr>
          <w:color w:val="000000"/>
          <w:sz w:val="22"/>
          <w:szCs w:val="22"/>
        </w:rPr>
        <w:t xml:space="preserve"> Principle coordinate analysis (PCoA) using (a) Unweighted UniFrac and (b) weighted UniFrac distances for gut bacterial community composition and structure, respectively. Points colored by habitat types show clustering in coordinate space with 95% confidence interval ellipses.</w:t>
      </w:r>
    </w:p>
    <w:p w14:paraId="78114EDC" w14:textId="311B2D5B" w:rsidR="00D64227" w:rsidRDefault="00D64227" w:rsidP="002841AD">
      <w:pPr>
        <w:textDirection w:val="btLr"/>
        <w:rPr>
          <w:color w:val="000000"/>
          <w:sz w:val="22"/>
          <w:szCs w:val="22"/>
        </w:rPr>
      </w:pPr>
    </w:p>
    <w:p w14:paraId="296488DD" w14:textId="61B61C4D" w:rsidR="00D64227" w:rsidRDefault="00D64227" w:rsidP="002841AD">
      <w:pPr>
        <w:textDirection w:val="btLr"/>
        <w:rPr>
          <w:color w:val="000000"/>
          <w:sz w:val="22"/>
          <w:szCs w:val="22"/>
        </w:rPr>
      </w:pPr>
      <w:r>
        <w:rPr>
          <w:noProof/>
        </w:rPr>
        <w:drawing>
          <wp:anchor distT="0" distB="0" distL="114300" distR="114300" simplePos="0" relativeHeight="251665408" behindDoc="0" locked="0" layoutInCell="1" allowOverlap="1" wp14:anchorId="05949448" wp14:editId="4580C1F6">
            <wp:simplePos x="0" y="0"/>
            <wp:positionH relativeFrom="column">
              <wp:posOffset>0</wp:posOffset>
            </wp:positionH>
            <wp:positionV relativeFrom="paragraph">
              <wp:posOffset>177703</wp:posOffset>
            </wp:positionV>
            <wp:extent cx="8025130" cy="5120640"/>
            <wp:effectExtent l="0" t="0" r="1270" b="0"/>
            <wp:wrapTopAndBottom/>
            <wp:docPr id="60" name="Picture 60"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diagram, bubbl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025130" cy="5120640"/>
                    </a:xfrm>
                    <a:prstGeom prst="rect">
                      <a:avLst/>
                    </a:prstGeom>
                  </pic:spPr>
                </pic:pic>
              </a:graphicData>
            </a:graphic>
            <wp14:sizeRelH relativeFrom="margin">
              <wp14:pctWidth>0</wp14:pctWidth>
            </wp14:sizeRelH>
            <wp14:sizeRelV relativeFrom="margin">
              <wp14:pctHeight>0</wp14:pctHeight>
            </wp14:sizeRelV>
          </wp:anchor>
        </w:drawing>
      </w:r>
    </w:p>
    <w:p w14:paraId="51ACA062" w14:textId="3B6459DD" w:rsidR="00ED35E3" w:rsidRPr="006D5881" w:rsidRDefault="00ED35E3" w:rsidP="002841AD">
      <w:pPr>
        <w:textDirection w:val="btLr"/>
        <w:rPr>
          <w:color w:val="000000"/>
          <w:sz w:val="22"/>
          <w:szCs w:val="22"/>
        </w:rPr>
      </w:pPr>
    </w:p>
    <w:p w14:paraId="1DD929C5" w14:textId="76A59E45" w:rsidR="0066540C" w:rsidRDefault="0066540C" w:rsidP="0066540C">
      <w:pPr>
        <w:textDirection w:val="btLr"/>
        <w:rPr>
          <w:color w:val="000000"/>
          <w:sz w:val="22"/>
          <w:szCs w:val="22"/>
        </w:rPr>
      </w:pPr>
      <w:r w:rsidRPr="0066540C">
        <w:rPr>
          <w:b/>
          <w:bCs/>
          <w:color w:val="000000"/>
          <w:sz w:val="22"/>
          <w:szCs w:val="22"/>
        </w:rPr>
        <w:t xml:space="preserve">Figure </w:t>
      </w:r>
      <w:r w:rsidR="006C7B7A">
        <w:rPr>
          <w:b/>
          <w:bCs/>
          <w:color w:val="000000"/>
          <w:sz w:val="22"/>
          <w:szCs w:val="22"/>
        </w:rPr>
        <w:t>3.</w:t>
      </w:r>
      <w:r w:rsidRPr="0066540C">
        <w:rPr>
          <w:b/>
          <w:bCs/>
          <w:color w:val="000000"/>
          <w:sz w:val="22"/>
          <w:szCs w:val="22"/>
        </w:rPr>
        <w:t>7 Alpha diversity across top three dominant blood meal sources across samples.</w:t>
      </w:r>
      <w:r w:rsidRPr="0066540C">
        <w:rPr>
          <w:color w:val="000000"/>
          <w:sz w:val="22"/>
          <w:szCs w:val="22"/>
        </w:rPr>
        <w:t xml:space="preserve"> Four alpha diversity metrics (ASV richness, Pielou’s Evenness, Shannon diversity, and Faith’s phylogenetic diversity) for samples that fed on the top 3 dominant vertebrate genera that were identified by analysis of 12S rRNA sequencing across all sampling regions. n = number of bugs sampled. Horizontal bar indicates two regions that were compared via Pairwise Wilcoxon Rank Sum Tests to test for pairwise significance. Asterisks designates Benjamini-Hochberg-corrected p-values (* = p &lt; 0.05; ** = p &lt; 0.01; *** = p &lt; 0.001; ns, not significant). </w:t>
      </w:r>
    </w:p>
    <w:p w14:paraId="3A4329CE" w14:textId="77777777" w:rsidR="0066540C" w:rsidRDefault="0066540C" w:rsidP="0066540C">
      <w:pPr>
        <w:textDirection w:val="btLr"/>
        <w:rPr>
          <w:color w:val="000000"/>
          <w:sz w:val="22"/>
          <w:szCs w:val="22"/>
        </w:rPr>
      </w:pPr>
    </w:p>
    <w:p w14:paraId="63D43672" w14:textId="598AEE3C" w:rsidR="0066540C" w:rsidRDefault="00492DA7" w:rsidP="0066540C">
      <w:pPr>
        <w:textDirection w:val="btLr"/>
        <w:rPr>
          <w:color w:val="000000"/>
          <w:sz w:val="22"/>
          <w:szCs w:val="22"/>
        </w:rPr>
      </w:pPr>
      <w:r w:rsidRPr="0078312B">
        <w:rPr>
          <w:noProof/>
        </w:rPr>
        <w:drawing>
          <wp:anchor distT="0" distB="0" distL="114300" distR="114300" simplePos="0" relativeHeight="251667456" behindDoc="0" locked="0" layoutInCell="1" allowOverlap="1" wp14:anchorId="601E8AE8" wp14:editId="0C70A2A9">
            <wp:simplePos x="0" y="0"/>
            <wp:positionH relativeFrom="column">
              <wp:posOffset>-1</wp:posOffset>
            </wp:positionH>
            <wp:positionV relativeFrom="paragraph">
              <wp:posOffset>295177</wp:posOffset>
            </wp:positionV>
            <wp:extent cx="8483989" cy="4515730"/>
            <wp:effectExtent l="0" t="0" r="0" b="5715"/>
            <wp:wrapTopAndBottom/>
            <wp:docPr id="72" name="Picture 7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Diagram,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486751" cy="4517200"/>
                    </a:xfrm>
                    <a:prstGeom prst="rect">
                      <a:avLst/>
                    </a:prstGeom>
                  </pic:spPr>
                </pic:pic>
              </a:graphicData>
            </a:graphic>
            <wp14:sizeRelH relativeFrom="margin">
              <wp14:pctWidth>0</wp14:pctWidth>
            </wp14:sizeRelH>
            <wp14:sizeRelV relativeFrom="margin">
              <wp14:pctHeight>0</wp14:pctHeight>
            </wp14:sizeRelV>
          </wp:anchor>
        </w:drawing>
      </w:r>
    </w:p>
    <w:sectPr w:rsidR="0066540C" w:rsidSect="0047728B">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e LYNN Gottdenker" w:date="2022-12-02T12:37:00Z" w:initials="NLG">
    <w:p w14:paraId="551AC50C" w14:textId="77777777" w:rsidR="00BA51F4" w:rsidRDefault="00BA51F4" w:rsidP="00BA51F4">
      <w:pPr>
        <w:pStyle w:val="CommentText"/>
      </w:pPr>
      <w:r>
        <w:rPr>
          <w:rStyle w:val="CommentReference"/>
        </w:rPr>
        <w:annotationRef/>
      </w:r>
      <w:r>
        <w:t>Summary: regional differences in diversity and composition</w:t>
      </w:r>
    </w:p>
    <w:p w14:paraId="7F0632B3" w14:textId="77777777" w:rsidR="00BA51F4" w:rsidRDefault="00BA51F4" w:rsidP="00BA51F4">
      <w:pPr>
        <w:pStyle w:val="CommentText"/>
      </w:pPr>
    </w:p>
    <w:p w14:paraId="2BD3F8F6" w14:textId="77777777" w:rsidR="00BA51F4" w:rsidRDefault="00BA51F4" w:rsidP="00BA51F4">
      <w:pPr>
        <w:pStyle w:val="CommentText"/>
      </w:pPr>
      <w:r>
        <w:t>Within region- habitat related-differences (mention what these are)</w:t>
      </w:r>
    </w:p>
    <w:p w14:paraId="7E02B9A0" w14:textId="77777777" w:rsidR="00BA51F4" w:rsidRDefault="00BA51F4" w:rsidP="00BA51F4">
      <w:pPr>
        <w:pStyle w:val="CommentText"/>
      </w:pPr>
    </w:p>
    <w:p w14:paraId="49981B2C" w14:textId="77777777" w:rsidR="00BA51F4" w:rsidRDefault="00BA51F4" w:rsidP="00BA51F4">
      <w:pPr>
        <w:pStyle w:val="CommentText"/>
      </w:pPr>
      <w:r>
        <w:t xml:space="preserve">Summarize key - Associations between stage, blood meal identity, and gut diversity and composition </w:t>
      </w:r>
    </w:p>
  </w:comment>
  <w:comment w:id="2" w:author="Nicole LYNN Gottdenker" w:date="2022-12-02T12:37:00Z" w:initials="NLG">
    <w:p w14:paraId="6B573E20" w14:textId="77777777" w:rsidR="00BA51F4" w:rsidRDefault="00BA51F4" w:rsidP="00BA51F4">
      <w:pPr>
        <w:pStyle w:val="CommentText"/>
      </w:pPr>
      <w:r>
        <w:rPr>
          <w:rStyle w:val="CommentReference"/>
        </w:rPr>
        <w:annotationRef/>
      </w:r>
      <w:r>
        <w:t xml:space="preserve">Also if you go back to abstractu again just summarize key findings.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981B2C" w15:done="0"/>
  <w15:commentEx w15:paraId="6B573E20" w15:paraIdParent="49981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7002" w16cex:dateUtc="2022-12-02T17:37:00Z"/>
  <w16cex:commentExtensible w16cex:durableId="27347015" w16cex:dateUtc="2022-12-0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981B2C" w16cid:durableId="27347002"/>
  <w16cid:commentId w16cid:paraId="6B573E20" w16cid:durableId="27347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858E" w14:textId="77777777" w:rsidR="00C96C65" w:rsidRDefault="00C96C65" w:rsidP="002A7177">
      <w:r>
        <w:separator/>
      </w:r>
    </w:p>
  </w:endnote>
  <w:endnote w:type="continuationSeparator" w:id="0">
    <w:p w14:paraId="3A35FC23" w14:textId="77777777" w:rsidR="00C96C65" w:rsidRDefault="00C96C65" w:rsidP="002A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F8DC3" w14:textId="77777777" w:rsidR="00C96C65" w:rsidRDefault="00C96C65" w:rsidP="002A7177">
      <w:r>
        <w:separator/>
      </w:r>
    </w:p>
  </w:footnote>
  <w:footnote w:type="continuationSeparator" w:id="0">
    <w:p w14:paraId="305E3894" w14:textId="77777777" w:rsidR="00C96C65" w:rsidRDefault="00C96C65" w:rsidP="002A7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370"/>
    <w:multiLevelType w:val="hybridMultilevel"/>
    <w:tmpl w:val="F870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12FB6"/>
    <w:multiLevelType w:val="hybridMultilevel"/>
    <w:tmpl w:val="3CD2AF80"/>
    <w:lvl w:ilvl="0" w:tplc="73EA7452">
      <w:start w:val="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26EC4"/>
    <w:multiLevelType w:val="hybridMultilevel"/>
    <w:tmpl w:val="7436A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231F2"/>
    <w:multiLevelType w:val="multilevel"/>
    <w:tmpl w:val="BAEC8E3E"/>
    <w:lvl w:ilvl="0">
      <w:start w:val="4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E53CC"/>
    <w:multiLevelType w:val="hybridMultilevel"/>
    <w:tmpl w:val="307A3094"/>
    <w:lvl w:ilvl="0" w:tplc="710C7740">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86BA9"/>
    <w:multiLevelType w:val="hybridMultilevel"/>
    <w:tmpl w:val="F7925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C2475"/>
    <w:multiLevelType w:val="multilevel"/>
    <w:tmpl w:val="856E43C4"/>
    <w:lvl w:ilvl="0">
      <w:start w:val="5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264F7"/>
    <w:multiLevelType w:val="hybridMultilevel"/>
    <w:tmpl w:val="D71A8A96"/>
    <w:lvl w:ilvl="0" w:tplc="EE5492D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B32C0"/>
    <w:multiLevelType w:val="hybridMultilevel"/>
    <w:tmpl w:val="7494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3627D"/>
    <w:multiLevelType w:val="hybridMultilevel"/>
    <w:tmpl w:val="60ECC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997581"/>
    <w:multiLevelType w:val="hybridMultilevel"/>
    <w:tmpl w:val="65AA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E73BB"/>
    <w:multiLevelType w:val="hybridMultilevel"/>
    <w:tmpl w:val="385A3938"/>
    <w:lvl w:ilvl="0" w:tplc="8C76175A">
      <w:start w:val="1"/>
      <w:numFmt w:val="bullet"/>
      <w:lvlText w:val="•"/>
      <w:lvlJc w:val="left"/>
      <w:pPr>
        <w:tabs>
          <w:tab w:val="num" w:pos="720"/>
        </w:tabs>
        <w:ind w:left="720" w:hanging="360"/>
      </w:pPr>
      <w:rPr>
        <w:rFonts w:ascii="Arial" w:hAnsi="Arial" w:hint="default"/>
      </w:rPr>
    </w:lvl>
    <w:lvl w:ilvl="1" w:tplc="5C2208BC" w:tentative="1">
      <w:start w:val="1"/>
      <w:numFmt w:val="bullet"/>
      <w:lvlText w:val="•"/>
      <w:lvlJc w:val="left"/>
      <w:pPr>
        <w:tabs>
          <w:tab w:val="num" w:pos="1440"/>
        </w:tabs>
        <w:ind w:left="1440" w:hanging="360"/>
      </w:pPr>
      <w:rPr>
        <w:rFonts w:ascii="Arial" w:hAnsi="Arial" w:hint="default"/>
      </w:rPr>
    </w:lvl>
    <w:lvl w:ilvl="2" w:tplc="6AC2FD58" w:tentative="1">
      <w:start w:val="1"/>
      <w:numFmt w:val="bullet"/>
      <w:lvlText w:val="•"/>
      <w:lvlJc w:val="left"/>
      <w:pPr>
        <w:tabs>
          <w:tab w:val="num" w:pos="2160"/>
        </w:tabs>
        <w:ind w:left="2160" w:hanging="360"/>
      </w:pPr>
      <w:rPr>
        <w:rFonts w:ascii="Arial" w:hAnsi="Arial" w:hint="default"/>
      </w:rPr>
    </w:lvl>
    <w:lvl w:ilvl="3" w:tplc="B0BEE404" w:tentative="1">
      <w:start w:val="1"/>
      <w:numFmt w:val="bullet"/>
      <w:lvlText w:val="•"/>
      <w:lvlJc w:val="left"/>
      <w:pPr>
        <w:tabs>
          <w:tab w:val="num" w:pos="2880"/>
        </w:tabs>
        <w:ind w:left="2880" w:hanging="360"/>
      </w:pPr>
      <w:rPr>
        <w:rFonts w:ascii="Arial" w:hAnsi="Arial" w:hint="default"/>
      </w:rPr>
    </w:lvl>
    <w:lvl w:ilvl="4" w:tplc="06ECC5BA" w:tentative="1">
      <w:start w:val="1"/>
      <w:numFmt w:val="bullet"/>
      <w:lvlText w:val="•"/>
      <w:lvlJc w:val="left"/>
      <w:pPr>
        <w:tabs>
          <w:tab w:val="num" w:pos="3600"/>
        </w:tabs>
        <w:ind w:left="3600" w:hanging="360"/>
      </w:pPr>
      <w:rPr>
        <w:rFonts w:ascii="Arial" w:hAnsi="Arial" w:hint="default"/>
      </w:rPr>
    </w:lvl>
    <w:lvl w:ilvl="5" w:tplc="2A58FCD8" w:tentative="1">
      <w:start w:val="1"/>
      <w:numFmt w:val="bullet"/>
      <w:lvlText w:val="•"/>
      <w:lvlJc w:val="left"/>
      <w:pPr>
        <w:tabs>
          <w:tab w:val="num" w:pos="4320"/>
        </w:tabs>
        <w:ind w:left="4320" w:hanging="360"/>
      </w:pPr>
      <w:rPr>
        <w:rFonts w:ascii="Arial" w:hAnsi="Arial" w:hint="default"/>
      </w:rPr>
    </w:lvl>
    <w:lvl w:ilvl="6" w:tplc="8C680104" w:tentative="1">
      <w:start w:val="1"/>
      <w:numFmt w:val="bullet"/>
      <w:lvlText w:val="•"/>
      <w:lvlJc w:val="left"/>
      <w:pPr>
        <w:tabs>
          <w:tab w:val="num" w:pos="5040"/>
        </w:tabs>
        <w:ind w:left="5040" w:hanging="360"/>
      </w:pPr>
      <w:rPr>
        <w:rFonts w:ascii="Arial" w:hAnsi="Arial" w:hint="default"/>
      </w:rPr>
    </w:lvl>
    <w:lvl w:ilvl="7" w:tplc="31E0E9D2" w:tentative="1">
      <w:start w:val="1"/>
      <w:numFmt w:val="bullet"/>
      <w:lvlText w:val="•"/>
      <w:lvlJc w:val="left"/>
      <w:pPr>
        <w:tabs>
          <w:tab w:val="num" w:pos="5760"/>
        </w:tabs>
        <w:ind w:left="5760" w:hanging="360"/>
      </w:pPr>
      <w:rPr>
        <w:rFonts w:ascii="Arial" w:hAnsi="Arial" w:hint="default"/>
      </w:rPr>
    </w:lvl>
    <w:lvl w:ilvl="8" w:tplc="BFF25EE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234AA9"/>
    <w:multiLevelType w:val="hybridMultilevel"/>
    <w:tmpl w:val="DAC8D0B6"/>
    <w:lvl w:ilvl="0" w:tplc="8AC66F9A">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40E91"/>
    <w:multiLevelType w:val="multilevel"/>
    <w:tmpl w:val="F1F4E4D0"/>
    <w:lvl w:ilvl="0">
      <w:start w:val="5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811436"/>
    <w:multiLevelType w:val="hybridMultilevel"/>
    <w:tmpl w:val="C9204648"/>
    <w:lvl w:ilvl="0" w:tplc="73EA7452">
      <w:start w:val="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2244A"/>
    <w:multiLevelType w:val="hybridMultilevel"/>
    <w:tmpl w:val="CD2A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E6CE4"/>
    <w:multiLevelType w:val="hybridMultilevel"/>
    <w:tmpl w:val="349A429A"/>
    <w:lvl w:ilvl="0" w:tplc="0F50CAEC">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221683">
    <w:abstractNumId w:val="11"/>
  </w:num>
  <w:num w:numId="2" w16cid:durableId="1264459627">
    <w:abstractNumId w:val="2"/>
  </w:num>
  <w:num w:numId="3" w16cid:durableId="178397844">
    <w:abstractNumId w:val="3"/>
  </w:num>
  <w:num w:numId="4" w16cid:durableId="1184827488">
    <w:abstractNumId w:val="13"/>
  </w:num>
  <w:num w:numId="5" w16cid:durableId="84882">
    <w:abstractNumId w:val="12"/>
  </w:num>
  <w:num w:numId="6" w16cid:durableId="1416853489">
    <w:abstractNumId w:val="6"/>
  </w:num>
  <w:num w:numId="7" w16cid:durableId="561336022">
    <w:abstractNumId w:val="14"/>
  </w:num>
  <w:num w:numId="8" w16cid:durableId="817264070">
    <w:abstractNumId w:val="1"/>
  </w:num>
  <w:num w:numId="9" w16cid:durableId="35739671">
    <w:abstractNumId w:val="4"/>
  </w:num>
  <w:num w:numId="10" w16cid:durableId="769207208">
    <w:abstractNumId w:val="0"/>
  </w:num>
  <w:num w:numId="11" w16cid:durableId="427431041">
    <w:abstractNumId w:val="8"/>
  </w:num>
  <w:num w:numId="12" w16cid:durableId="1052119720">
    <w:abstractNumId w:val="10"/>
  </w:num>
  <w:num w:numId="13" w16cid:durableId="1863083936">
    <w:abstractNumId w:val="16"/>
  </w:num>
  <w:num w:numId="14" w16cid:durableId="532770182">
    <w:abstractNumId w:val="7"/>
  </w:num>
  <w:num w:numId="15" w16cid:durableId="1912502386">
    <w:abstractNumId w:val="9"/>
  </w:num>
  <w:num w:numId="16" w16cid:durableId="220021279">
    <w:abstractNumId w:val="15"/>
  </w:num>
  <w:num w:numId="17" w16cid:durableId="146257525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e LYNN Gottdenker">
    <w15:presenceInfo w15:providerId="None" w15:userId="Nicole LYNN Gottden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F4"/>
    <w:rsid w:val="0000506B"/>
    <w:rsid w:val="00012BA2"/>
    <w:rsid w:val="00033EC7"/>
    <w:rsid w:val="00035400"/>
    <w:rsid w:val="00046F45"/>
    <w:rsid w:val="000517B2"/>
    <w:rsid w:val="00083686"/>
    <w:rsid w:val="00090E80"/>
    <w:rsid w:val="000A7538"/>
    <w:rsid w:val="000C179D"/>
    <w:rsid w:val="000C2C0F"/>
    <w:rsid w:val="000D5B24"/>
    <w:rsid w:val="000E6839"/>
    <w:rsid w:val="000F3769"/>
    <w:rsid w:val="000F6564"/>
    <w:rsid w:val="00100ED2"/>
    <w:rsid w:val="00102C33"/>
    <w:rsid w:val="00124F62"/>
    <w:rsid w:val="00126701"/>
    <w:rsid w:val="00150035"/>
    <w:rsid w:val="00171AB9"/>
    <w:rsid w:val="001817F7"/>
    <w:rsid w:val="00184478"/>
    <w:rsid w:val="00186117"/>
    <w:rsid w:val="001922EA"/>
    <w:rsid w:val="00192383"/>
    <w:rsid w:val="00197467"/>
    <w:rsid w:val="001A41F9"/>
    <w:rsid w:val="001A4E4B"/>
    <w:rsid w:val="001B2071"/>
    <w:rsid w:val="001B73EE"/>
    <w:rsid w:val="001C7EEC"/>
    <w:rsid w:val="001D3054"/>
    <w:rsid w:val="001E15B5"/>
    <w:rsid w:val="001E292A"/>
    <w:rsid w:val="001E694F"/>
    <w:rsid w:val="001F3BF7"/>
    <w:rsid w:val="001F4223"/>
    <w:rsid w:val="001F5DA7"/>
    <w:rsid w:val="00210063"/>
    <w:rsid w:val="002122A2"/>
    <w:rsid w:val="002226BE"/>
    <w:rsid w:val="00223179"/>
    <w:rsid w:val="00234CA2"/>
    <w:rsid w:val="0023733B"/>
    <w:rsid w:val="00244025"/>
    <w:rsid w:val="00252623"/>
    <w:rsid w:val="00256D89"/>
    <w:rsid w:val="002663D4"/>
    <w:rsid w:val="0027093F"/>
    <w:rsid w:val="00271CC8"/>
    <w:rsid w:val="00277E0B"/>
    <w:rsid w:val="00283EB3"/>
    <w:rsid w:val="002841AD"/>
    <w:rsid w:val="002864C8"/>
    <w:rsid w:val="00286ACF"/>
    <w:rsid w:val="00293F1D"/>
    <w:rsid w:val="0029709F"/>
    <w:rsid w:val="00297C75"/>
    <w:rsid w:val="002A239D"/>
    <w:rsid w:val="002A7177"/>
    <w:rsid w:val="002A7D73"/>
    <w:rsid w:val="002B2DF2"/>
    <w:rsid w:val="002C5F3E"/>
    <w:rsid w:val="002C64B1"/>
    <w:rsid w:val="002C7398"/>
    <w:rsid w:val="002E1FAB"/>
    <w:rsid w:val="002E3C06"/>
    <w:rsid w:val="002E5040"/>
    <w:rsid w:val="002F490B"/>
    <w:rsid w:val="002F4EE8"/>
    <w:rsid w:val="00300E0F"/>
    <w:rsid w:val="00303FAC"/>
    <w:rsid w:val="00305423"/>
    <w:rsid w:val="00307121"/>
    <w:rsid w:val="00312E64"/>
    <w:rsid w:val="00313C4A"/>
    <w:rsid w:val="00325D84"/>
    <w:rsid w:val="00347515"/>
    <w:rsid w:val="00351F61"/>
    <w:rsid w:val="00353B78"/>
    <w:rsid w:val="00355F03"/>
    <w:rsid w:val="0036026C"/>
    <w:rsid w:val="003611BE"/>
    <w:rsid w:val="00361EA3"/>
    <w:rsid w:val="003637BC"/>
    <w:rsid w:val="00363FC5"/>
    <w:rsid w:val="00366ADF"/>
    <w:rsid w:val="00370D18"/>
    <w:rsid w:val="00372E04"/>
    <w:rsid w:val="00385609"/>
    <w:rsid w:val="0038730F"/>
    <w:rsid w:val="00390542"/>
    <w:rsid w:val="003935F6"/>
    <w:rsid w:val="003949DC"/>
    <w:rsid w:val="00395FE7"/>
    <w:rsid w:val="003A131E"/>
    <w:rsid w:val="003A13BC"/>
    <w:rsid w:val="003A38D3"/>
    <w:rsid w:val="003A47CD"/>
    <w:rsid w:val="003A773B"/>
    <w:rsid w:val="003B1D5D"/>
    <w:rsid w:val="003B3D07"/>
    <w:rsid w:val="003E70E9"/>
    <w:rsid w:val="003F0FDD"/>
    <w:rsid w:val="003F5062"/>
    <w:rsid w:val="0041674F"/>
    <w:rsid w:val="00417AFD"/>
    <w:rsid w:val="00420225"/>
    <w:rsid w:val="00434027"/>
    <w:rsid w:val="00436BBB"/>
    <w:rsid w:val="004370B7"/>
    <w:rsid w:val="004372DD"/>
    <w:rsid w:val="0044089C"/>
    <w:rsid w:val="0044300F"/>
    <w:rsid w:val="00444B8F"/>
    <w:rsid w:val="00447AA8"/>
    <w:rsid w:val="004515B0"/>
    <w:rsid w:val="00464023"/>
    <w:rsid w:val="0047728B"/>
    <w:rsid w:val="00480081"/>
    <w:rsid w:val="00485CCC"/>
    <w:rsid w:val="00492DA7"/>
    <w:rsid w:val="004944D2"/>
    <w:rsid w:val="004A0BE2"/>
    <w:rsid w:val="004A4A7A"/>
    <w:rsid w:val="004A72E7"/>
    <w:rsid w:val="004B1B2F"/>
    <w:rsid w:val="004C651E"/>
    <w:rsid w:val="004D225E"/>
    <w:rsid w:val="004D6759"/>
    <w:rsid w:val="004F6235"/>
    <w:rsid w:val="004F6CBD"/>
    <w:rsid w:val="00507480"/>
    <w:rsid w:val="00510D50"/>
    <w:rsid w:val="00532907"/>
    <w:rsid w:val="00534DEE"/>
    <w:rsid w:val="0054537C"/>
    <w:rsid w:val="005662CD"/>
    <w:rsid w:val="00567E3F"/>
    <w:rsid w:val="00571B6E"/>
    <w:rsid w:val="0057480A"/>
    <w:rsid w:val="00577EB6"/>
    <w:rsid w:val="00580A4E"/>
    <w:rsid w:val="00584C79"/>
    <w:rsid w:val="0059026C"/>
    <w:rsid w:val="00592BC4"/>
    <w:rsid w:val="005B3003"/>
    <w:rsid w:val="005B4DE3"/>
    <w:rsid w:val="005B7244"/>
    <w:rsid w:val="005B73C6"/>
    <w:rsid w:val="005C55A5"/>
    <w:rsid w:val="005D0399"/>
    <w:rsid w:val="005E0610"/>
    <w:rsid w:val="005E6145"/>
    <w:rsid w:val="005E668C"/>
    <w:rsid w:val="00601097"/>
    <w:rsid w:val="00611055"/>
    <w:rsid w:val="00611EF1"/>
    <w:rsid w:val="00617D92"/>
    <w:rsid w:val="00620055"/>
    <w:rsid w:val="00626BC1"/>
    <w:rsid w:val="0064721E"/>
    <w:rsid w:val="00657708"/>
    <w:rsid w:val="00660780"/>
    <w:rsid w:val="0066540C"/>
    <w:rsid w:val="0066681F"/>
    <w:rsid w:val="00673E90"/>
    <w:rsid w:val="006742BC"/>
    <w:rsid w:val="006754E6"/>
    <w:rsid w:val="0067751A"/>
    <w:rsid w:val="00686F5F"/>
    <w:rsid w:val="00692BC6"/>
    <w:rsid w:val="0069431B"/>
    <w:rsid w:val="006A1AD2"/>
    <w:rsid w:val="006A3AA2"/>
    <w:rsid w:val="006A57C2"/>
    <w:rsid w:val="006B47EF"/>
    <w:rsid w:val="006C019B"/>
    <w:rsid w:val="006C32C9"/>
    <w:rsid w:val="006C3389"/>
    <w:rsid w:val="006C6961"/>
    <w:rsid w:val="006C7B7A"/>
    <w:rsid w:val="006D1275"/>
    <w:rsid w:val="006D3438"/>
    <w:rsid w:val="006D6BEB"/>
    <w:rsid w:val="006D7554"/>
    <w:rsid w:val="006E1868"/>
    <w:rsid w:val="006E7323"/>
    <w:rsid w:val="007000E5"/>
    <w:rsid w:val="007004E5"/>
    <w:rsid w:val="0070097B"/>
    <w:rsid w:val="00710506"/>
    <w:rsid w:val="0071095C"/>
    <w:rsid w:val="00715545"/>
    <w:rsid w:val="007157B8"/>
    <w:rsid w:val="00722697"/>
    <w:rsid w:val="0072391B"/>
    <w:rsid w:val="00724930"/>
    <w:rsid w:val="00731C11"/>
    <w:rsid w:val="0074005F"/>
    <w:rsid w:val="00751256"/>
    <w:rsid w:val="007519C0"/>
    <w:rsid w:val="0076266F"/>
    <w:rsid w:val="007671D6"/>
    <w:rsid w:val="00767836"/>
    <w:rsid w:val="00776E34"/>
    <w:rsid w:val="00777112"/>
    <w:rsid w:val="00781B9D"/>
    <w:rsid w:val="007A0A7A"/>
    <w:rsid w:val="007A46A5"/>
    <w:rsid w:val="007B3454"/>
    <w:rsid w:val="007B63AF"/>
    <w:rsid w:val="007C30BD"/>
    <w:rsid w:val="007D1020"/>
    <w:rsid w:val="007D2A71"/>
    <w:rsid w:val="007D420C"/>
    <w:rsid w:val="00802FC2"/>
    <w:rsid w:val="0081365E"/>
    <w:rsid w:val="00815401"/>
    <w:rsid w:val="00824FF9"/>
    <w:rsid w:val="0082533C"/>
    <w:rsid w:val="00830282"/>
    <w:rsid w:val="00831767"/>
    <w:rsid w:val="00833693"/>
    <w:rsid w:val="008619BC"/>
    <w:rsid w:val="00861DC5"/>
    <w:rsid w:val="00867946"/>
    <w:rsid w:val="00872D8A"/>
    <w:rsid w:val="0087654E"/>
    <w:rsid w:val="00893C57"/>
    <w:rsid w:val="00895FA0"/>
    <w:rsid w:val="008A2204"/>
    <w:rsid w:val="008A6F18"/>
    <w:rsid w:val="008B70C7"/>
    <w:rsid w:val="008C08A8"/>
    <w:rsid w:val="008C0D2B"/>
    <w:rsid w:val="008C27A3"/>
    <w:rsid w:val="008C2EAB"/>
    <w:rsid w:val="008D1556"/>
    <w:rsid w:val="008E4DBC"/>
    <w:rsid w:val="008F46A9"/>
    <w:rsid w:val="009141CE"/>
    <w:rsid w:val="00916DAD"/>
    <w:rsid w:val="00923ECF"/>
    <w:rsid w:val="00924ED1"/>
    <w:rsid w:val="00924FE6"/>
    <w:rsid w:val="009351A1"/>
    <w:rsid w:val="00941BF3"/>
    <w:rsid w:val="00954AB9"/>
    <w:rsid w:val="0096694A"/>
    <w:rsid w:val="00983FE3"/>
    <w:rsid w:val="00984829"/>
    <w:rsid w:val="0098521D"/>
    <w:rsid w:val="009859B3"/>
    <w:rsid w:val="009A7450"/>
    <w:rsid w:val="009B52EC"/>
    <w:rsid w:val="009E0D17"/>
    <w:rsid w:val="009E0E37"/>
    <w:rsid w:val="009E11DC"/>
    <w:rsid w:val="009E1DF0"/>
    <w:rsid w:val="009E2BEE"/>
    <w:rsid w:val="009E77C4"/>
    <w:rsid w:val="009F2F29"/>
    <w:rsid w:val="00A02BC1"/>
    <w:rsid w:val="00A04CC6"/>
    <w:rsid w:val="00A07234"/>
    <w:rsid w:val="00A107D9"/>
    <w:rsid w:val="00A16313"/>
    <w:rsid w:val="00A26D46"/>
    <w:rsid w:val="00A33445"/>
    <w:rsid w:val="00A341E9"/>
    <w:rsid w:val="00A53A91"/>
    <w:rsid w:val="00A53C1D"/>
    <w:rsid w:val="00A619E4"/>
    <w:rsid w:val="00A63313"/>
    <w:rsid w:val="00A7222D"/>
    <w:rsid w:val="00A73220"/>
    <w:rsid w:val="00A738AE"/>
    <w:rsid w:val="00A7461E"/>
    <w:rsid w:val="00A75017"/>
    <w:rsid w:val="00A75BF7"/>
    <w:rsid w:val="00A80A6F"/>
    <w:rsid w:val="00A83030"/>
    <w:rsid w:val="00A84C9E"/>
    <w:rsid w:val="00A97516"/>
    <w:rsid w:val="00AB5B0D"/>
    <w:rsid w:val="00AD1516"/>
    <w:rsid w:val="00AD47F1"/>
    <w:rsid w:val="00AE2609"/>
    <w:rsid w:val="00AF7738"/>
    <w:rsid w:val="00B04CCC"/>
    <w:rsid w:val="00B04CE8"/>
    <w:rsid w:val="00B137D2"/>
    <w:rsid w:val="00B213DD"/>
    <w:rsid w:val="00B22D1F"/>
    <w:rsid w:val="00B23D39"/>
    <w:rsid w:val="00B25460"/>
    <w:rsid w:val="00B26737"/>
    <w:rsid w:val="00B336BC"/>
    <w:rsid w:val="00B36D25"/>
    <w:rsid w:val="00B4489C"/>
    <w:rsid w:val="00B4733E"/>
    <w:rsid w:val="00B523EE"/>
    <w:rsid w:val="00B527AC"/>
    <w:rsid w:val="00B53F24"/>
    <w:rsid w:val="00B71258"/>
    <w:rsid w:val="00B73B8B"/>
    <w:rsid w:val="00B76BAF"/>
    <w:rsid w:val="00B80ABA"/>
    <w:rsid w:val="00B95C15"/>
    <w:rsid w:val="00B972F0"/>
    <w:rsid w:val="00BA2E49"/>
    <w:rsid w:val="00BA51F4"/>
    <w:rsid w:val="00BB5B6E"/>
    <w:rsid w:val="00BC04D1"/>
    <w:rsid w:val="00BC2866"/>
    <w:rsid w:val="00BC7802"/>
    <w:rsid w:val="00BD191B"/>
    <w:rsid w:val="00BD25EA"/>
    <w:rsid w:val="00BF10AF"/>
    <w:rsid w:val="00BF300B"/>
    <w:rsid w:val="00BF5FF2"/>
    <w:rsid w:val="00C04C76"/>
    <w:rsid w:val="00C050CE"/>
    <w:rsid w:val="00C05E8D"/>
    <w:rsid w:val="00C0648E"/>
    <w:rsid w:val="00C1129D"/>
    <w:rsid w:val="00C1603E"/>
    <w:rsid w:val="00C22308"/>
    <w:rsid w:val="00C258CB"/>
    <w:rsid w:val="00C3036B"/>
    <w:rsid w:val="00C35017"/>
    <w:rsid w:val="00C3668B"/>
    <w:rsid w:val="00C503D6"/>
    <w:rsid w:val="00C54B74"/>
    <w:rsid w:val="00C659B0"/>
    <w:rsid w:val="00C732AA"/>
    <w:rsid w:val="00C96C65"/>
    <w:rsid w:val="00CA2199"/>
    <w:rsid w:val="00CA6B68"/>
    <w:rsid w:val="00CA7143"/>
    <w:rsid w:val="00CB04D3"/>
    <w:rsid w:val="00CB5253"/>
    <w:rsid w:val="00CC16AA"/>
    <w:rsid w:val="00CD1092"/>
    <w:rsid w:val="00CD6DB2"/>
    <w:rsid w:val="00D03891"/>
    <w:rsid w:val="00D056A4"/>
    <w:rsid w:val="00D0799F"/>
    <w:rsid w:val="00D16018"/>
    <w:rsid w:val="00D33E15"/>
    <w:rsid w:val="00D34F58"/>
    <w:rsid w:val="00D42242"/>
    <w:rsid w:val="00D447AE"/>
    <w:rsid w:val="00D62584"/>
    <w:rsid w:val="00D64227"/>
    <w:rsid w:val="00D643B3"/>
    <w:rsid w:val="00D74C9B"/>
    <w:rsid w:val="00D76F98"/>
    <w:rsid w:val="00D90230"/>
    <w:rsid w:val="00D92AA8"/>
    <w:rsid w:val="00D92CDD"/>
    <w:rsid w:val="00D93EBE"/>
    <w:rsid w:val="00DA3232"/>
    <w:rsid w:val="00DA333E"/>
    <w:rsid w:val="00DB63D5"/>
    <w:rsid w:val="00DB76E3"/>
    <w:rsid w:val="00DC05BF"/>
    <w:rsid w:val="00DC17D1"/>
    <w:rsid w:val="00DC2165"/>
    <w:rsid w:val="00DC2C9F"/>
    <w:rsid w:val="00DC7687"/>
    <w:rsid w:val="00DD1E1F"/>
    <w:rsid w:val="00DD5B92"/>
    <w:rsid w:val="00DF07DF"/>
    <w:rsid w:val="00DF15DB"/>
    <w:rsid w:val="00DF21E2"/>
    <w:rsid w:val="00DF64BF"/>
    <w:rsid w:val="00DF654A"/>
    <w:rsid w:val="00DF70D3"/>
    <w:rsid w:val="00DF7BE4"/>
    <w:rsid w:val="00E011FC"/>
    <w:rsid w:val="00E01AFF"/>
    <w:rsid w:val="00E021C8"/>
    <w:rsid w:val="00E02A27"/>
    <w:rsid w:val="00E06527"/>
    <w:rsid w:val="00E14DFA"/>
    <w:rsid w:val="00E1760A"/>
    <w:rsid w:val="00E17ED6"/>
    <w:rsid w:val="00E27097"/>
    <w:rsid w:val="00E31C2D"/>
    <w:rsid w:val="00E55212"/>
    <w:rsid w:val="00E56593"/>
    <w:rsid w:val="00E56A70"/>
    <w:rsid w:val="00E61F2D"/>
    <w:rsid w:val="00E6494F"/>
    <w:rsid w:val="00E66AB7"/>
    <w:rsid w:val="00E749A5"/>
    <w:rsid w:val="00E92DDE"/>
    <w:rsid w:val="00E96B80"/>
    <w:rsid w:val="00EA0181"/>
    <w:rsid w:val="00EA7211"/>
    <w:rsid w:val="00EA7DEE"/>
    <w:rsid w:val="00EB2C7F"/>
    <w:rsid w:val="00EB511D"/>
    <w:rsid w:val="00EB6549"/>
    <w:rsid w:val="00EB6FEA"/>
    <w:rsid w:val="00EC3641"/>
    <w:rsid w:val="00EC3894"/>
    <w:rsid w:val="00ED270B"/>
    <w:rsid w:val="00ED3596"/>
    <w:rsid w:val="00ED35E3"/>
    <w:rsid w:val="00ED526B"/>
    <w:rsid w:val="00EE20C2"/>
    <w:rsid w:val="00EE7966"/>
    <w:rsid w:val="00EF22BA"/>
    <w:rsid w:val="00EF4635"/>
    <w:rsid w:val="00EF5B62"/>
    <w:rsid w:val="00F42E8D"/>
    <w:rsid w:val="00F4633E"/>
    <w:rsid w:val="00F5397C"/>
    <w:rsid w:val="00F60D16"/>
    <w:rsid w:val="00F65862"/>
    <w:rsid w:val="00F7029D"/>
    <w:rsid w:val="00F73F91"/>
    <w:rsid w:val="00F7780D"/>
    <w:rsid w:val="00F80E8A"/>
    <w:rsid w:val="00F84FBA"/>
    <w:rsid w:val="00F907AD"/>
    <w:rsid w:val="00F93171"/>
    <w:rsid w:val="00FA5F9F"/>
    <w:rsid w:val="00FC1579"/>
    <w:rsid w:val="00FC175E"/>
    <w:rsid w:val="00FD07E9"/>
    <w:rsid w:val="00FD2FE3"/>
    <w:rsid w:val="00FD4C01"/>
    <w:rsid w:val="00FD52AE"/>
    <w:rsid w:val="00FD7BA5"/>
    <w:rsid w:val="00FE310A"/>
    <w:rsid w:val="00FE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E115C"/>
  <w14:defaultImageDpi w14:val="32767"/>
  <w15:chartTrackingRefBased/>
  <w15:docId w15:val="{CE49059E-A32A-3C46-BA4A-483C9E2F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A51F4"/>
  </w:style>
  <w:style w:type="paragraph" w:styleId="Heading1">
    <w:name w:val="heading 1"/>
    <w:basedOn w:val="Normal"/>
    <w:next w:val="Normal"/>
    <w:link w:val="Heading1Char"/>
    <w:uiPriority w:val="9"/>
    <w:qFormat/>
    <w:rsid w:val="00BA51F4"/>
    <w:pPr>
      <w:keepNext/>
      <w:keepLines/>
      <w:spacing w:before="480" w:after="120"/>
      <w:outlineLvl w:val="0"/>
    </w:pPr>
    <w:rPr>
      <w:rFonts w:eastAsia="Times New Roman" w:cs="Times New Roman"/>
      <w:b/>
      <w:sz w:val="48"/>
      <w:szCs w:val="48"/>
    </w:rPr>
  </w:style>
  <w:style w:type="paragraph" w:styleId="Heading2">
    <w:name w:val="heading 2"/>
    <w:basedOn w:val="Normal"/>
    <w:next w:val="Normal"/>
    <w:link w:val="Heading2Char"/>
    <w:uiPriority w:val="9"/>
    <w:semiHidden/>
    <w:unhideWhenUsed/>
    <w:qFormat/>
    <w:rsid w:val="00BA51F4"/>
    <w:pPr>
      <w:keepNext/>
      <w:keepLines/>
      <w:spacing w:before="360" w:after="80"/>
      <w:outlineLvl w:val="1"/>
    </w:pPr>
    <w:rPr>
      <w:rFonts w:eastAsia="Times New Roman" w:cs="Times New Roman"/>
      <w:b/>
      <w:sz w:val="36"/>
      <w:szCs w:val="36"/>
    </w:rPr>
  </w:style>
  <w:style w:type="paragraph" w:styleId="Heading3">
    <w:name w:val="heading 3"/>
    <w:basedOn w:val="Normal"/>
    <w:next w:val="Normal"/>
    <w:link w:val="Heading3Char"/>
    <w:uiPriority w:val="9"/>
    <w:semiHidden/>
    <w:unhideWhenUsed/>
    <w:qFormat/>
    <w:rsid w:val="00BA51F4"/>
    <w:pPr>
      <w:keepNext/>
      <w:keepLines/>
      <w:spacing w:before="280" w:after="80"/>
      <w:outlineLvl w:val="2"/>
    </w:pPr>
    <w:rPr>
      <w:rFonts w:eastAsia="Times New Roman" w:cs="Times New Roman"/>
      <w:b/>
      <w:sz w:val="28"/>
      <w:szCs w:val="28"/>
    </w:rPr>
  </w:style>
  <w:style w:type="paragraph" w:styleId="Heading4">
    <w:name w:val="heading 4"/>
    <w:basedOn w:val="Normal"/>
    <w:next w:val="Normal"/>
    <w:link w:val="Heading4Char"/>
    <w:uiPriority w:val="9"/>
    <w:semiHidden/>
    <w:unhideWhenUsed/>
    <w:qFormat/>
    <w:rsid w:val="00BA51F4"/>
    <w:pPr>
      <w:keepNext/>
      <w:keepLines/>
      <w:spacing w:before="240" w:after="40"/>
      <w:outlineLvl w:val="3"/>
    </w:pPr>
    <w:rPr>
      <w:rFonts w:eastAsia="Times New Roman" w:cs="Times New Roman"/>
      <w:b/>
    </w:rPr>
  </w:style>
  <w:style w:type="paragraph" w:styleId="Heading5">
    <w:name w:val="heading 5"/>
    <w:basedOn w:val="Normal"/>
    <w:next w:val="Normal"/>
    <w:link w:val="Heading5Char"/>
    <w:uiPriority w:val="9"/>
    <w:semiHidden/>
    <w:unhideWhenUsed/>
    <w:qFormat/>
    <w:rsid w:val="00BA51F4"/>
    <w:pPr>
      <w:keepNext/>
      <w:keepLines/>
      <w:spacing w:before="220" w:after="40"/>
      <w:outlineLvl w:val="4"/>
    </w:pPr>
    <w:rPr>
      <w:rFonts w:eastAsia="Times New Roman" w:cs="Times New Roman"/>
      <w:b/>
      <w:sz w:val="22"/>
      <w:szCs w:val="22"/>
    </w:rPr>
  </w:style>
  <w:style w:type="paragraph" w:styleId="Heading6">
    <w:name w:val="heading 6"/>
    <w:basedOn w:val="Normal"/>
    <w:next w:val="Normal"/>
    <w:link w:val="Heading6Char"/>
    <w:uiPriority w:val="9"/>
    <w:semiHidden/>
    <w:unhideWhenUsed/>
    <w:qFormat/>
    <w:rsid w:val="00BA51F4"/>
    <w:pPr>
      <w:keepNext/>
      <w:keepLines/>
      <w:spacing w:before="200" w:after="40"/>
      <w:outlineLvl w:val="5"/>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1F4"/>
    <w:rPr>
      <w:rFonts w:eastAsia="Times New Roman" w:cs="Times New Roman"/>
      <w:b/>
      <w:sz w:val="48"/>
      <w:szCs w:val="48"/>
    </w:rPr>
  </w:style>
  <w:style w:type="character" w:customStyle="1" w:styleId="Heading2Char">
    <w:name w:val="Heading 2 Char"/>
    <w:basedOn w:val="DefaultParagraphFont"/>
    <w:link w:val="Heading2"/>
    <w:uiPriority w:val="9"/>
    <w:semiHidden/>
    <w:rsid w:val="00BA51F4"/>
    <w:rPr>
      <w:rFonts w:eastAsia="Times New Roman" w:cs="Times New Roman"/>
      <w:b/>
      <w:sz w:val="36"/>
      <w:szCs w:val="36"/>
    </w:rPr>
  </w:style>
  <w:style w:type="character" w:customStyle="1" w:styleId="Heading3Char">
    <w:name w:val="Heading 3 Char"/>
    <w:basedOn w:val="DefaultParagraphFont"/>
    <w:link w:val="Heading3"/>
    <w:uiPriority w:val="9"/>
    <w:semiHidden/>
    <w:rsid w:val="00BA51F4"/>
    <w:rPr>
      <w:rFonts w:eastAsia="Times New Roman" w:cs="Times New Roman"/>
      <w:b/>
      <w:sz w:val="28"/>
      <w:szCs w:val="28"/>
    </w:rPr>
  </w:style>
  <w:style w:type="character" w:customStyle="1" w:styleId="Heading4Char">
    <w:name w:val="Heading 4 Char"/>
    <w:basedOn w:val="DefaultParagraphFont"/>
    <w:link w:val="Heading4"/>
    <w:uiPriority w:val="9"/>
    <w:semiHidden/>
    <w:rsid w:val="00BA51F4"/>
    <w:rPr>
      <w:rFonts w:eastAsia="Times New Roman" w:cs="Times New Roman"/>
      <w:b/>
    </w:rPr>
  </w:style>
  <w:style w:type="character" w:customStyle="1" w:styleId="Heading5Char">
    <w:name w:val="Heading 5 Char"/>
    <w:basedOn w:val="DefaultParagraphFont"/>
    <w:link w:val="Heading5"/>
    <w:uiPriority w:val="9"/>
    <w:semiHidden/>
    <w:rsid w:val="00BA51F4"/>
    <w:rPr>
      <w:rFonts w:eastAsia="Times New Roman" w:cs="Times New Roman"/>
      <w:b/>
      <w:sz w:val="22"/>
      <w:szCs w:val="22"/>
    </w:rPr>
  </w:style>
  <w:style w:type="character" w:customStyle="1" w:styleId="Heading6Char">
    <w:name w:val="Heading 6 Char"/>
    <w:basedOn w:val="DefaultParagraphFont"/>
    <w:link w:val="Heading6"/>
    <w:uiPriority w:val="9"/>
    <w:semiHidden/>
    <w:rsid w:val="00BA51F4"/>
    <w:rPr>
      <w:rFonts w:eastAsia="Times New Roman" w:cs="Times New Roman"/>
      <w:b/>
      <w:sz w:val="20"/>
      <w:szCs w:val="20"/>
    </w:rPr>
  </w:style>
  <w:style w:type="paragraph" w:styleId="NormalWeb">
    <w:name w:val="Normal (Web)"/>
    <w:basedOn w:val="Normal"/>
    <w:uiPriority w:val="99"/>
    <w:unhideWhenUsed/>
    <w:rsid w:val="00BA51F4"/>
    <w:pPr>
      <w:spacing w:before="100" w:beforeAutospacing="1" w:after="100" w:afterAutospacing="1"/>
    </w:pPr>
    <w:rPr>
      <w:rFonts w:eastAsia="Times New Roman" w:cs="Times New Roman"/>
    </w:rPr>
  </w:style>
  <w:style w:type="paragraph" w:styleId="Bibliography">
    <w:name w:val="Bibliography"/>
    <w:basedOn w:val="Normal"/>
    <w:next w:val="Normal"/>
    <w:uiPriority w:val="37"/>
    <w:unhideWhenUsed/>
    <w:rsid w:val="00BA51F4"/>
    <w:pPr>
      <w:tabs>
        <w:tab w:val="left" w:pos="380"/>
      </w:tabs>
      <w:spacing w:line="480" w:lineRule="auto"/>
      <w:ind w:left="384" w:hanging="384"/>
    </w:pPr>
  </w:style>
  <w:style w:type="character" w:customStyle="1" w:styleId="None">
    <w:name w:val="None"/>
    <w:rsid w:val="00BA51F4"/>
  </w:style>
  <w:style w:type="character" w:customStyle="1" w:styleId="Hyperlink0">
    <w:name w:val="Hyperlink.0"/>
    <w:basedOn w:val="None"/>
    <w:rsid w:val="00BA51F4"/>
    <w:rPr>
      <w:rFonts w:ascii="Times New Roman" w:eastAsia="Times New Roman" w:hAnsi="Times New Roman" w:cs="Times New Roman"/>
      <w:i/>
      <w:iCs/>
    </w:rPr>
  </w:style>
  <w:style w:type="paragraph" w:styleId="ListParagraph">
    <w:name w:val="List Paragraph"/>
    <w:basedOn w:val="Normal"/>
    <w:uiPriority w:val="34"/>
    <w:qFormat/>
    <w:rsid w:val="00BA51F4"/>
    <w:pPr>
      <w:ind w:left="720"/>
      <w:contextualSpacing/>
    </w:pPr>
  </w:style>
  <w:style w:type="character" w:styleId="CommentReference">
    <w:name w:val="annotation reference"/>
    <w:basedOn w:val="DefaultParagraphFont"/>
    <w:uiPriority w:val="99"/>
    <w:unhideWhenUsed/>
    <w:rsid w:val="00BA51F4"/>
    <w:rPr>
      <w:sz w:val="16"/>
      <w:szCs w:val="16"/>
    </w:rPr>
  </w:style>
  <w:style w:type="paragraph" w:styleId="CommentText">
    <w:name w:val="annotation text"/>
    <w:basedOn w:val="Normal"/>
    <w:link w:val="CommentTextChar"/>
    <w:uiPriority w:val="99"/>
    <w:unhideWhenUsed/>
    <w:rsid w:val="00BA51F4"/>
    <w:rPr>
      <w:sz w:val="20"/>
      <w:szCs w:val="20"/>
    </w:rPr>
  </w:style>
  <w:style w:type="character" w:customStyle="1" w:styleId="CommentTextChar">
    <w:name w:val="Comment Text Char"/>
    <w:basedOn w:val="DefaultParagraphFont"/>
    <w:link w:val="CommentText"/>
    <w:uiPriority w:val="99"/>
    <w:rsid w:val="00BA51F4"/>
    <w:rPr>
      <w:sz w:val="20"/>
      <w:szCs w:val="20"/>
    </w:rPr>
  </w:style>
  <w:style w:type="paragraph" w:styleId="Revision">
    <w:name w:val="Revision"/>
    <w:hidden/>
    <w:uiPriority w:val="99"/>
    <w:semiHidden/>
    <w:rsid w:val="00BA51F4"/>
  </w:style>
  <w:style w:type="character" w:styleId="LineNumber">
    <w:name w:val="line number"/>
    <w:basedOn w:val="DefaultParagraphFont"/>
    <w:uiPriority w:val="99"/>
    <w:semiHidden/>
    <w:unhideWhenUsed/>
    <w:rsid w:val="00BA51F4"/>
  </w:style>
  <w:style w:type="paragraph" w:styleId="Title">
    <w:name w:val="Title"/>
    <w:basedOn w:val="Normal"/>
    <w:next w:val="Normal"/>
    <w:link w:val="TitleChar"/>
    <w:uiPriority w:val="10"/>
    <w:qFormat/>
    <w:rsid w:val="00BA51F4"/>
    <w:pPr>
      <w:keepNext/>
      <w:keepLines/>
      <w:spacing w:before="480" w:after="120"/>
    </w:pPr>
    <w:rPr>
      <w:rFonts w:eastAsia="Times New Roman" w:cs="Times New Roman"/>
      <w:b/>
      <w:sz w:val="72"/>
      <w:szCs w:val="72"/>
    </w:rPr>
  </w:style>
  <w:style w:type="character" w:customStyle="1" w:styleId="TitleChar">
    <w:name w:val="Title Char"/>
    <w:basedOn w:val="DefaultParagraphFont"/>
    <w:link w:val="Title"/>
    <w:uiPriority w:val="10"/>
    <w:rsid w:val="00BA51F4"/>
    <w:rPr>
      <w:rFonts w:eastAsia="Times New Roman" w:cs="Times New Roman"/>
      <w:b/>
      <w:sz w:val="72"/>
      <w:szCs w:val="72"/>
    </w:rPr>
  </w:style>
  <w:style w:type="paragraph" w:styleId="Caption">
    <w:name w:val="caption"/>
    <w:basedOn w:val="Normal"/>
    <w:next w:val="Normal"/>
    <w:uiPriority w:val="35"/>
    <w:unhideWhenUsed/>
    <w:qFormat/>
    <w:rsid w:val="00BA51F4"/>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BA51F4"/>
    <w:rPr>
      <w:rFonts w:eastAsia="Times New Roman" w:cs="Times New Roman"/>
      <w:b/>
      <w:bCs/>
    </w:rPr>
  </w:style>
  <w:style w:type="character" w:customStyle="1" w:styleId="CommentSubjectChar">
    <w:name w:val="Comment Subject Char"/>
    <w:basedOn w:val="CommentTextChar"/>
    <w:link w:val="CommentSubject"/>
    <w:uiPriority w:val="99"/>
    <w:semiHidden/>
    <w:rsid w:val="00BA51F4"/>
    <w:rPr>
      <w:rFonts w:eastAsia="Times New Roman" w:cs="Times New Roman"/>
      <w:b/>
      <w:bCs/>
      <w:sz w:val="20"/>
      <w:szCs w:val="20"/>
    </w:rPr>
  </w:style>
  <w:style w:type="paragraph" w:styleId="Subtitle">
    <w:name w:val="Subtitle"/>
    <w:basedOn w:val="Normal"/>
    <w:next w:val="Normal"/>
    <w:link w:val="SubtitleChar"/>
    <w:uiPriority w:val="11"/>
    <w:qFormat/>
    <w:rsid w:val="00BA51F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BA51F4"/>
    <w:rPr>
      <w:rFonts w:ascii="Georgia" w:eastAsia="Georgia" w:hAnsi="Georgia" w:cs="Georgia"/>
      <w:i/>
      <w:color w:val="666666"/>
      <w:sz w:val="48"/>
      <w:szCs w:val="48"/>
    </w:rPr>
  </w:style>
  <w:style w:type="character" w:styleId="Hyperlink">
    <w:name w:val="Hyperlink"/>
    <w:basedOn w:val="DefaultParagraphFont"/>
    <w:uiPriority w:val="99"/>
    <w:unhideWhenUsed/>
    <w:rsid w:val="00BA51F4"/>
    <w:rPr>
      <w:color w:val="0000FF"/>
      <w:u w:val="single"/>
    </w:rPr>
  </w:style>
  <w:style w:type="paragraph" w:styleId="Header">
    <w:name w:val="header"/>
    <w:basedOn w:val="Normal"/>
    <w:link w:val="HeaderChar"/>
    <w:uiPriority w:val="99"/>
    <w:unhideWhenUsed/>
    <w:rsid w:val="00BA51F4"/>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BA51F4"/>
    <w:rPr>
      <w:rFonts w:eastAsia="Times New Roman" w:cs="Times New Roman"/>
    </w:rPr>
  </w:style>
  <w:style w:type="paragraph" w:styleId="Footer">
    <w:name w:val="footer"/>
    <w:basedOn w:val="Normal"/>
    <w:link w:val="FooterChar"/>
    <w:uiPriority w:val="99"/>
    <w:unhideWhenUsed/>
    <w:rsid w:val="00BA51F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BA51F4"/>
    <w:rPr>
      <w:rFonts w:eastAsia="Times New Roman" w:cs="Times New Roman"/>
    </w:rPr>
  </w:style>
  <w:style w:type="table" w:styleId="TableGrid">
    <w:name w:val="Table Grid"/>
    <w:basedOn w:val="TableNormal"/>
    <w:uiPriority w:val="39"/>
    <w:rsid w:val="00BA51F4"/>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BA51F4"/>
    <w:rPr>
      <w:color w:val="605E5C"/>
      <w:shd w:val="clear" w:color="auto" w:fill="E1DFDD"/>
    </w:rPr>
  </w:style>
  <w:style w:type="character" w:styleId="PageNumber">
    <w:name w:val="page number"/>
    <w:basedOn w:val="DefaultParagraphFont"/>
    <w:uiPriority w:val="99"/>
    <w:semiHidden/>
    <w:unhideWhenUsed/>
    <w:rsid w:val="00BA51F4"/>
  </w:style>
  <w:style w:type="character" w:styleId="FollowedHyperlink">
    <w:name w:val="FollowedHyperlink"/>
    <w:basedOn w:val="DefaultParagraphFont"/>
    <w:uiPriority w:val="99"/>
    <w:semiHidden/>
    <w:unhideWhenUsed/>
    <w:rsid w:val="00BA51F4"/>
    <w:rPr>
      <w:color w:val="954F72" w:themeColor="followedHyperlink"/>
      <w:u w:val="single"/>
    </w:rPr>
  </w:style>
  <w:style w:type="character" w:styleId="Emphasis">
    <w:name w:val="Emphasis"/>
    <w:basedOn w:val="DefaultParagraphFont"/>
    <w:uiPriority w:val="20"/>
    <w:qFormat/>
    <w:rsid w:val="00BA51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821">
      <w:bodyDiv w:val="1"/>
      <w:marLeft w:val="0"/>
      <w:marRight w:val="0"/>
      <w:marTop w:val="0"/>
      <w:marBottom w:val="0"/>
      <w:divBdr>
        <w:top w:val="none" w:sz="0" w:space="0" w:color="auto"/>
        <w:left w:val="none" w:sz="0" w:space="0" w:color="auto"/>
        <w:bottom w:val="none" w:sz="0" w:space="0" w:color="auto"/>
        <w:right w:val="none" w:sz="0" w:space="0" w:color="auto"/>
      </w:divBdr>
    </w:div>
    <w:div w:id="35204333">
      <w:bodyDiv w:val="1"/>
      <w:marLeft w:val="0"/>
      <w:marRight w:val="0"/>
      <w:marTop w:val="0"/>
      <w:marBottom w:val="0"/>
      <w:divBdr>
        <w:top w:val="none" w:sz="0" w:space="0" w:color="auto"/>
        <w:left w:val="none" w:sz="0" w:space="0" w:color="auto"/>
        <w:bottom w:val="none" w:sz="0" w:space="0" w:color="auto"/>
        <w:right w:val="none" w:sz="0" w:space="0" w:color="auto"/>
      </w:divBdr>
    </w:div>
    <w:div w:id="43526344">
      <w:bodyDiv w:val="1"/>
      <w:marLeft w:val="0"/>
      <w:marRight w:val="0"/>
      <w:marTop w:val="0"/>
      <w:marBottom w:val="0"/>
      <w:divBdr>
        <w:top w:val="none" w:sz="0" w:space="0" w:color="auto"/>
        <w:left w:val="none" w:sz="0" w:space="0" w:color="auto"/>
        <w:bottom w:val="none" w:sz="0" w:space="0" w:color="auto"/>
        <w:right w:val="none" w:sz="0" w:space="0" w:color="auto"/>
      </w:divBdr>
    </w:div>
    <w:div w:id="112142551">
      <w:bodyDiv w:val="1"/>
      <w:marLeft w:val="0"/>
      <w:marRight w:val="0"/>
      <w:marTop w:val="0"/>
      <w:marBottom w:val="0"/>
      <w:divBdr>
        <w:top w:val="none" w:sz="0" w:space="0" w:color="auto"/>
        <w:left w:val="none" w:sz="0" w:space="0" w:color="auto"/>
        <w:bottom w:val="none" w:sz="0" w:space="0" w:color="auto"/>
        <w:right w:val="none" w:sz="0" w:space="0" w:color="auto"/>
      </w:divBdr>
    </w:div>
    <w:div w:id="119610299">
      <w:bodyDiv w:val="1"/>
      <w:marLeft w:val="0"/>
      <w:marRight w:val="0"/>
      <w:marTop w:val="0"/>
      <w:marBottom w:val="0"/>
      <w:divBdr>
        <w:top w:val="none" w:sz="0" w:space="0" w:color="auto"/>
        <w:left w:val="none" w:sz="0" w:space="0" w:color="auto"/>
        <w:bottom w:val="none" w:sz="0" w:space="0" w:color="auto"/>
        <w:right w:val="none" w:sz="0" w:space="0" w:color="auto"/>
      </w:divBdr>
    </w:div>
    <w:div w:id="154927953">
      <w:bodyDiv w:val="1"/>
      <w:marLeft w:val="0"/>
      <w:marRight w:val="0"/>
      <w:marTop w:val="0"/>
      <w:marBottom w:val="0"/>
      <w:divBdr>
        <w:top w:val="none" w:sz="0" w:space="0" w:color="auto"/>
        <w:left w:val="none" w:sz="0" w:space="0" w:color="auto"/>
        <w:bottom w:val="none" w:sz="0" w:space="0" w:color="auto"/>
        <w:right w:val="none" w:sz="0" w:space="0" w:color="auto"/>
      </w:divBdr>
    </w:div>
    <w:div w:id="160313963">
      <w:bodyDiv w:val="1"/>
      <w:marLeft w:val="0"/>
      <w:marRight w:val="0"/>
      <w:marTop w:val="0"/>
      <w:marBottom w:val="0"/>
      <w:divBdr>
        <w:top w:val="none" w:sz="0" w:space="0" w:color="auto"/>
        <w:left w:val="none" w:sz="0" w:space="0" w:color="auto"/>
        <w:bottom w:val="none" w:sz="0" w:space="0" w:color="auto"/>
        <w:right w:val="none" w:sz="0" w:space="0" w:color="auto"/>
      </w:divBdr>
    </w:div>
    <w:div w:id="163479536">
      <w:bodyDiv w:val="1"/>
      <w:marLeft w:val="0"/>
      <w:marRight w:val="0"/>
      <w:marTop w:val="0"/>
      <w:marBottom w:val="0"/>
      <w:divBdr>
        <w:top w:val="none" w:sz="0" w:space="0" w:color="auto"/>
        <w:left w:val="none" w:sz="0" w:space="0" w:color="auto"/>
        <w:bottom w:val="none" w:sz="0" w:space="0" w:color="auto"/>
        <w:right w:val="none" w:sz="0" w:space="0" w:color="auto"/>
      </w:divBdr>
    </w:div>
    <w:div w:id="192697452">
      <w:bodyDiv w:val="1"/>
      <w:marLeft w:val="0"/>
      <w:marRight w:val="0"/>
      <w:marTop w:val="0"/>
      <w:marBottom w:val="0"/>
      <w:divBdr>
        <w:top w:val="none" w:sz="0" w:space="0" w:color="auto"/>
        <w:left w:val="none" w:sz="0" w:space="0" w:color="auto"/>
        <w:bottom w:val="none" w:sz="0" w:space="0" w:color="auto"/>
        <w:right w:val="none" w:sz="0" w:space="0" w:color="auto"/>
      </w:divBdr>
    </w:div>
    <w:div w:id="318773603">
      <w:bodyDiv w:val="1"/>
      <w:marLeft w:val="0"/>
      <w:marRight w:val="0"/>
      <w:marTop w:val="0"/>
      <w:marBottom w:val="0"/>
      <w:divBdr>
        <w:top w:val="none" w:sz="0" w:space="0" w:color="auto"/>
        <w:left w:val="none" w:sz="0" w:space="0" w:color="auto"/>
        <w:bottom w:val="none" w:sz="0" w:space="0" w:color="auto"/>
        <w:right w:val="none" w:sz="0" w:space="0" w:color="auto"/>
      </w:divBdr>
    </w:div>
    <w:div w:id="350180852">
      <w:bodyDiv w:val="1"/>
      <w:marLeft w:val="0"/>
      <w:marRight w:val="0"/>
      <w:marTop w:val="0"/>
      <w:marBottom w:val="0"/>
      <w:divBdr>
        <w:top w:val="none" w:sz="0" w:space="0" w:color="auto"/>
        <w:left w:val="none" w:sz="0" w:space="0" w:color="auto"/>
        <w:bottom w:val="none" w:sz="0" w:space="0" w:color="auto"/>
        <w:right w:val="none" w:sz="0" w:space="0" w:color="auto"/>
      </w:divBdr>
    </w:div>
    <w:div w:id="361249766">
      <w:bodyDiv w:val="1"/>
      <w:marLeft w:val="0"/>
      <w:marRight w:val="0"/>
      <w:marTop w:val="0"/>
      <w:marBottom w:val="0"/>
      <w:divBdr>
        <w:top w:val="none" w:sz="0" w:space="0" w:color="auto"/>
        <w:left w:val="none" w:sz="0" w:space="0" w:color="auto"/>
        <w:bottom w:val="none" w:sz="0" w:space="0" w:color="auto"/>
        <w:right w:val="none" w:sz="0" w:space="0" w:color="auto"/>
      </w:divBdr>
    </w:div>
    <w:div w:id="363943515">
      <w:bodyDiv w:val="1"/>
      <w:marLeft w:val="0"/>
      <w:marRight w:val="0"/>
      <w:marTop w:val="0"/>
      <w:marBottom w:val="0"/>
      <w:divBdr>
        <w:top w:val="none" w:sz="0" w:space="0" w:color="auto"/>
        <w:left w:val="none" w:sz="0" w:space="0" w:color="auto"/>
        <w:bottom w:val="none" w:sz="0" w:space="0" w:color="auto"/>
        <w:right w:val="none" w:sz="0" w:space="0" w:color="auto"/>
      </w:divBdr>
    </w:div>
    <w:div w:id="431583873">
      <w:bodyDiv w:val="1"/>
      <w:marLeft w:val="0"/>
      <w:marRight w:val="0"/>
      <w:marTop w:val="0"/>
      <w:marBottom w:val="0"/>
      <w:divBdr>
        <w:top w:val="none" w:sz="0" w:space="0" w:color="auto"/>
        <w:left w:val="none" w:sz="0" w:space="0" w:color="auto"/>
        <w:bottom w:val="none" w:sz="0" w:space="0" w:color="auto"/>
        <w:right w:val="none" w:sz="0" w:space="0" w:color="auto"/>
      </w:divBdr>
    </w:div>
    <w:div w:id="519855659">
      <w:bodyDiv w:val="1"/>
      <w:marLeft w:val="0"/>
      <w:marRight w:val="0"/>
      <w:marTop w:val="0"/>
      <w:marBottom w:val="0"/>
      <w:divBdr>
        <w:top w:val="none" w:sz="0" w:space="0" w:color="auto"/>
        <w:left w:val="none" w:sz="0" w:space="0" w:color="auto"/>
        <w:bottom w:val="none" w:sz="0" w:space="0" w:color="auto"/>
        <w:right w:val="none" w:sz="0" w:space="0" w:color="auto"/>
      </w:divBdr>
    </w:div>
    <w:div w:id="527182240">
      <w:bodyDiv w:val="1"/>
      <w:marLeft w:val="0"/>
      <w:marRight w:val="0"/>
      <w:marTop w:val="0"/>
      <w:marBottom w:val="0"/>
      <w:divBdr>
        <w:top w:val="none" w:sz="0" w:space="0" w:color="auto"/>
        <w:left w:val="none" w:sz="0" w:space="0" w:color="auto"/>
        <w:bottom w:val="none" w:sz="0" w:space="0" w:color="auto"/>
        <w:right w:val="none" w:sz="0" w:space="0" w:color="auto"/>
      </w:divBdr>
    </w:div>
    <w:div w:id="543641901">
      <w:bodyDiv w:val="1"/>
      <w:marLeft w:val="0"/>
      <w:marRight w:val="0"/>
      <w:marTop w:val="0"/>
      <w:marBottom w:val="0"/>
      <w:divBdr>
        <w:top w:val="none" w:sz="0" w:space="0" w:color="auto"/>
        <w:left w:val="none" w:sz="0" w:space="0" w:color="auto"/>
        <w:bottom w:val="none" w:sz="0" w:space="0" w:color="auto"/>
        <w:right w:val="none" w:sz="0" w:space="0" w:color="auto"/>
      </w:divBdr>
    </w:div>
    <w:div w:id="560023962">
      <w:bodyDiv w:val="1"/>
      <w:marLeft w:val="0"/>
      <w:marRight w:val="0"/>
      <w:marTop w:val="0"/>
      <w:marBottom w:val="0"/>
      <w:divBdr>
        <w:top w:val="none" w:sz="0" w:space="0" w:color="auto"/>
        <w:left w:val="none" w:sz="0" w:space="0" w:color="auto"/>
        <w:bottom w:val="none" w:sz="0" w:space="0" w:color="auto"/>
        <w:right w:val="none" w:sz="0" w:space="0" w:color="auto"/>
      </w:divBdr>
    </w:div>
    <w:div w:id="582571284">
      <w:bodyDiv w:val="1"/>
      <w:marLeft w:val="0"/>
      <w:marRight w:val="0"/>
      <w:marTop w:val="0"/>
      <w:marBottom w:val="0"/>
      <w:divBdr>
        <w:top w:val="none" w:sz="0" w:space="0" w:color="auto"/>
        <w:left w:val="none" w:sz="0" w:space="0" w:color="auto"/>
        <w:bottom w:val="none" w:sz="0" w:space="0" w:color="auto"/>
        <w:right w:val="none" w:sz="0" w:space="0" w:color="auto"/>
      </w:divBdr>
    </w:div>
    <w:div w:id="683289238">
      <w:bodyDiv w:val="1"/>
      <w:marLeft w:val="0"/>
      <w:marRight w:val="0"/>
      <w:marTop w:val="0"/>
      <w:marBottom w:val="0"/>
      <w:divBdr>
        <w:top w:val="none" w:sz="0" w:space="0" w:color="auto"/>
        <w:left w:val="none" w:sz="0" w:space="0" w:color="auto"/>
        <w:bottom w:val="none" w:sz="0" w:space="0" w:color="auto"/>
        <w:right w:val="none" w:sz="0" w:space="0" w:color="auto"/>
      </w:divBdr>
    </w:div>
    <w:div w:id="697658436">
      <w:bodyDiv w:val="1"/>
      <w:marLeft w:val="0"/>
      <w:marRight w:val="0"/>
      <w:marTop w:val="0"/>
      <w:marBottom w:val="0"/>
      <w:divBdr>
        <w:top w:val="none" w:sz="0" w:space="0" w:color="auto"/>
        <w:left w:val="none" w:sz="0" w:space="0" w:color="auto"/>
        <w:bottom w:val="none" w:sz="0" w:space="0" w:color="auto"/>
        <w:right w:val="none" w:sz="0" w:space="0" w:color="auto"/>
      </w:divBdr>
    </w:div>
    <w:div w:id="712581152">
      <w:bodyDiv w:val="1"/>
      <w:marLeft w:val="0"/>
      <w:marRight w:val="0"/>
      <w:marTop w:val="0"/>
      <w:marBottom w:val="0"/>
      <w:divBdr>
        <w:top w:val="none" w:sz="0" w:space="0" w:color="auto"/>
        <w:left w:val="none" w:sz="0" w:space="0" w:color="auto"/>
        <w:bottom w:val="none" w:sz="0" w:space="0" w:color="auto"/>
        <w:right w:val="none" w:sz="0" w:space="0" w:color="auto"/>
      </w:divBdr>
    </w:div>
    <w:div w:id="780951887">
      <w:bodyDiv w:val="1"/>
      <w:marLeft w:val="0"/>
      <w:marRight w:val="0"/>
      <w:marTop w:val="0"/>
      <w:marBottom w:val="0"/>
      <w:divBdr>
        <w:top w:val="none" w:sz="0" w:space="0" w:color="auto"/>
        <w:left w:val="none" w:sz="0" w:space="0" w:color="auto"/>
        <w:bottom w:val="none" w:sz="0" w:space="0" w:color="auto"/>
        <w:right w:val="none" w:sz="0" w:space="0" w:color="auto"/>
      </w:divBdr>
    </w:div>
    <w:div w:id="820850110">
      <w:bodyDiv w:val="1"/>
      <w:marLeft w:val="0"/>
      <w:marRight w:val="0"/>
      <w:marTop w:val="0"/>
      <w:marBottom w:val="0"/>
      <w:divBdr>
        <w:top w:val="none" w:sz="0" w:space="0" w:color="auto"/>
        <w:left w:val="none" w:sz="0" w:space="0" w:color="auto"/>
        <w:bottom w:val="none" w:sz="0" w:space="0" w:color="auto"/>
        <w:right w:val="none" w:sz="0" w:space="0" w:color="auto"/>
      </w:divBdr>
    </w:div>
    <w:div w:id="851650783">
      <w:bodyDiv w:val="1"/>
      <w:marLeft w:val="0"/>
      <w:marRight w:val="0"/>
      <w:marTop w:val="0"/>
      <w:marBottom w:val="0"/>
      <w:divBdr>
        <w:top w:val="none" w:sz="0" w:space="0" w:color="auto"/>
        <w:left w:val="none" w:sz="0" w:space="0" w:color="auto"/>
        <w:bottom w:val="none" w:sz="0" w:space="0" w:color="auto"/>
        <w:right w:val="none" w:sz="0" w:space="0" w:color="auto"/>
      </w:divBdr>
    </w:div>
    <w:div w:id="868568052">
      <w:bodyDiv w:val="1"/>
      <w:marLeft w:val="0"/>
      <w:marRight w:val="0"/>
      <w:marTop w:val="0"/>
      <w:marBottom w:val="0"/>
      <w:divBdr>
        <w:top w:val="none" w:sz="0" w:space="0" w:color="auto"/>
        <w:left w:val="none" w:sz="0" w:space="0" w:color="auto"/>
        <w:bottom w:val="none" w:sz="0" w:space="0" w:color="auto"/>
        <w:right w:val="none" w:sz="0" w:space="0" w:color="auto"/>
      </w:divBdr>
    </w:div>
    <w:div w:id="892960149">
      <w:bodyDiv w:val="1"/>
      <w:marLeft w:val="0"/>
      <w:marRight w:val="0"/>
      <w:marTop w:val="0"/>
      <w:marBottom w:val="0"/>
      <w:divBdr>
        <w:top w:val="none" w:sz="0" w:space="0" w:color="auto"/>
        <w:left w:val="none" w:sz="0" w:space="0" w:color="auto"/>
        <w:bottom w:val="none" w:sz="0" w:space="0" w:color="auto"/>
        <w:right w:val="none" w:sz="0" w:space="0" w:color="auto"/>
      </w:divBdr>
    </w:div>
    <w:div w:id="909579531">
      <w:bodyDiv w:val="1"/>
      <w:marLeft w:val="0"/>
      <w:marRight w:val="0"/>
      <w:marTop w:val="0"/>
      <w:marBottom w:val="0"/>
      <w:divBdr>
        <w:top w:val="none" w:sz="0" w:space="0" w:color="auto"/>
        <w:left w:val="none" w:sz="0" w:space="0" w:color="auto"/>
        <w:bottom w:val="none" w:sz="0" w:space="0" w:color="auto"/>
        <w:right w:val="none" w:sz="0" w:space="0" w:color="auto"/>
      </w:divBdr>
    </w:div>
    <w:div w:id="953094158">
      <w:bodyDiv w:val="1"/>
      <w:marLeft w:val="0"/>
      <w:marRight w:val="0"/>
      <w:marTop w:val="0"/>
      <w:marBottom w:val="0"/>
      <w:divBdr>
        <w:top w:val="none" w:sz="0" w:space="0" w:color="auto"/>
        <w:left w:val="none" w:sz="0" w:space="0" w:color="auto"/>
        <w:bottom w:val="none" w:sz="0" w:space="0" w:color="auto"/>
        <w:right w:val="none" w:sz="0" w:space="0" w:color="auto"/>
      </w:divBdr>
    </w:div>
    <w:div w:id="1007633978">
      <w:bodyDiv w:val="1"/>
      <w:marLeft w:val="0"/>
      <w:marRight w:val="0"/>
      <w:marTop w:val="0"/>
      <w:marBottom w:val="0"/>
      <w:divBdr>
        <w:top w:val="none" w:sz="0" w:space="0" w:color="auto"/>
        <w:left w:val="none" w:sz="0" w:space="0" w:color="auto"/>
        <w:bottom w:val="none" w:sz="0" w:space="0" w:color="auto"/>
        <w:right w:val="none" w:sz="0" w:space="0" w:color="auto"/>
      </w:divBdr>
    </w:div>
    <w:div w:id="1035807472">
      <w:bodyDiv w:val="1"/>
      <w:marLeft w:val="0"/>
      <w:marRight w:val="0"/>
      <w:marTop w:val="0"/>
      <w:marBottom w:val="0"/>
      <w:divBdr>
        <w:top w:val="none" w:sz="0" w:space="0" w:color="auto"/>
        <w:left w:val="none" w:sz="0" w:space="0" w:color="auto"/>
        <w:bottom w:val="none" w:sz="0" w:space="0" w:color="auto"/>
        <w:right w:val="none" w:sz="0" w:space="0" w:color="auto"/>
      </w:divBdr>
    </w:div>
    <w:div w:id="1137071545">
      <w:bodyDiv w:val="1"/>
      <w:marLeft w:val="0"/>
      <w:marRight w:val="0"/>
      <w:marTop w:val="0"/>
      <w:marBottom w:val="0"/>
      <w:divBdr>
        <w:top w:val="none" w:sz="0" w:space="0" w:color="auto"/>
        <w:left w:val="none" w:sz="0" w:space="0" w:color="auto"/>
        <w:bottom w:val="none" w:sz="0" w:space="0" w:color="auto"/>
        <w:right w:val="none" w:sz="0" w:space="0" w:color="auto"/>
      </w:divBdr>
    </w:div>
    <w:div w:id="1142429561">
      <w:bodyDiv w:val="1"/>
      <w:marLeft w:val="0"/>
      <w:marRight w:val="0"/>
      <w:marTop w:val="0"/>
      <w:marBottom w:val="0"/>
      <w:divBdr>
        <w:top w:val="none" w:sz="0" w:space="0" w:color="auto"/>
        <w:left w:val="none" w:sz="0" w:space="0" w:color="auto"/>
        <w:bottom w:val="none" w:sz="0" w:space="0" w:color="auto"/>
        <w:right w:val="none" w:sz="0" w:space="0" w:color="auto"/>
      </w:divBdr>
    </w:div>
    <w:div w:id="1222253150">
      <w:bodyDiv w:val="1"/>
      <w:marLeft w:val="0"/>
      <w:marRight w:val="0"/>
      <w:marTop w:val="0"/>
      <w:marBottom w:val="0"/>
      <w:divBdr>
        <w:top w:val="none" w:sz="0" w:space="0" w:color="auto"/>
        <w:left w:val="none" w:sz="0" w:space="0" w:color="auto"/>
        <w:bottom w:val="none" w:sz="0" w:space="0" w:color="auto"/>
        <w:right w:val="none" w:sz="0" w:space="0" w:color="auto"/>
      </w:divBdr>
    </w:div>
    <w:div w:id="1247685815">
      <w:bodyDiv w:val="1"/>
      <w:marLeft w:val="0"/>
      <w:marRight w:val="0"/>
      <w:marTop w:val="0"/>
      <w:marBottom w:val="0"/>
      <w:divBdr>
        <w:top w:val="none" w:sz="0" w:space="0" w:color="auto"/>
        <w:left w:val="none" w:sz="0" w:space="0" w:color="auto"/>
        <w:bottom w:val="none" w:sz="0" w:space="0" w:color="auto"/>
        <w:right w:val="none" w:sz="0" w:space="0" w:color="auto"/>
      </w:divBdr>
    </w:div>
    <w:div w:id="1250775454">
      <w:bodyDiv w:val="1"/>
      <w:marLeft w:val="0"/>
      <w:marRight w:val="0"/>
      <w:marTop w:val="0"/>
      <w:marBottom w:val="0"/>
      <w:divBdr>
        <w:top w:val="none" w:sz="0" w:space="0" w:color="auto"/>
        <w:left w:val="none" w:sz="0" w:space="0" w:color="auto"/>
        <w:bottom w:val="none" w:sz="0" w:space="0" w:color="auto"/>
        <w:right w:val="none" w:sz="0" w:space="0" w:color="auto"/>
      </w:divBdr>
    </w:div>
    <w:div w:id="1292248868">
      <w:bodyDiv w:val="1"/>
      <w:marLeft w:val="0"/>
      <w:marRight w:val="0"/>
      <w:marTop w:val="0"/>
      <w:marBottom w:val="0"/>
      <w:divBdr>
        <w:top w:val="none" w:sz="0" w:space="0" w:color="auto"/>
        <w:left w:val="none" w:sz="0" w:space="0" w:color="auto"/>
        <w:bottom w:val="none" w:sz="0" w:space="0" w:color="auto"/>
        <w:right w:val="none" w:sz="0" w:space="0" w:color="auto"/>
      </w:divBdr>
    </w:div>
    <w:div w:id="1367439648">
      <w:bodyDiv w:val="1"/>
      <w:marLeft w:val="0"/>
      <w:marRight w:val="0"/>
      <w:marTop w:val="0"/>
      <w:marBottom w:val="0"/>
      <w:divBdr>
        <w:top w:val="none" w:sz="0" w:space="0" w:color="auto"/>
        <w:left w:val="none" w:sz="0" w:space="0" w:color="auto"/>
        <w:bottom w:val="none" w:sz="0" w:space="0" w:color="auto"/>
        <w:right w:val="none" w:sz="0" w:space="0" w:color="auto"/>
      </w:divBdr>
    </w:div>
    <w:div w:id="1373380630">
      <w:bodyDiv w:val="1"/>
      <w:marLeft w:val="0"/>
      <w:marRight w:val="0"/>
      <w:marTop w:val="0"/>
      <w:marBottom w:val="0"/>
      <w:divBdr>
        <w:top w:val="none" w:sz="0" w:space="0" w:color="auto"/>
        <w:left w:val="none" w:sz="0" w:space="0" w:color="auto"/>
        <w:bottom w:val="none" w:sz="0" w:space="0" w:color="auto"/>
        <w:right w:val="none" w:sz="0" w:space="0" w:color="auto"/>
      </w:divBdr>
    </w:div>
    <w:div w:id="1380662057">
      <w:bodyDiv w:val="1"/>
      <w:marLeft w:val="0"/>
      <w:marRight w:val="0"/>
      <w:marTop w:val="0"/>
      <w:marBottom w:val="0"/>
      <w:divBdr>
        <w:top w:val="none" w:sz="0" w:space="0" w:color="auto"/>
        <w:left w:val="none" w:sz="0" w:space="0" w:color="auto"/>
        <w:bottom w:val="none" w:sz="0" w:space="0" w:color="auto"/>
        <w:right w:val="none" w:sz="0" w:space="0" w:color="auto"/>
      </w:divBdr>
    </w:div>
    <w:div w:id="1382821286">
      <w:bodyDiv w:val="1"/>
      <w:marLeft w:val="0"/>
      <w:marRight w:val="0"/>
      <w:marTop w:val="0"/>
      <w:marBottom w:val="0"/>
      <w:divBdr>
        <w:top w:val="none" w:sz="0" w:space="0" w:color="auto"/>
        <w:left w:val="none" w:sz="0" w:space="0" w:color="auto"/>
        <w:bottom w:val="none" w:sz="0" w:space="0" w:color="auto"/>
        <w:right w:val="none" w:sz="0" w:space="0" w:color="auto"/>
      </w:divBdr>
    </w:div>
    <w:div w:id="1441333646">
      <w:bodyDiv w:val="1"/>
      <w:marLeft w:val="0"/>
      <w:marRight w:val="0"/>
      <w:marTop w:val="0"/>
      <w:marBottom w:val="0"/>
      <w:divBdr>
        <w:top w:val="none" w:sz="0" w:space="0" w:color="auto"/>
        <w:left w:val="none" w:sz="0" w:space="0" w:color="auto"/>
        <w:bottom w:val="none" w:sz="0" w:space="0" w:color="auto"/>
        <w:right w:val="none" w:sz="0" w:space="0" w:color="auto"/>
      </w:divBdr>
    </w:div>
    <w:div w:id="1451439266">
      <w:bodyDiv w:val="1"/>
      <w:marLeft w:val="0"/>
      <w:marRight w:val="0"/>
      <w:marTop w:val="0"/>
      <w:marBottom w:val="0"/>
      <w:divBdr>
        <w:top w:val="none" w:sz="0" w:space="0" w:color="auto"/>
        <w:left w:val="none" w:sz="0" w:space="0" w:color="auto"/>
        <w:bottom w:val="none" w:sz="0" w:space="0" w:color="auto"/>
        <w:right w:val="none" w:sz="0" w:space="0" w:color="auto"/>
      </w:divBdr>
    </w:div>
    <w:div w:id="1455172136">
      <w:bodyDiv w:val="1"/>
      <w:marLeft w:val="0"/>
      <w:marRight w:val="0"/>
      <w:marTop w:val="0"/>
      <w:marBottom w:val="0"/>
      <w:divBdr>
        <w:top w:val="none" w:sz="0" w:space="0" w:color="auto"/>
        <w:left w:val="none" w:sz="0" w:space="0" w:color="auto"/>
        <w:bottom w:val="none" w:sz="0" w:space="0" w:color="auto"/>
        <w:right w:val="none" w:sz="0" w:space="0" w:color="auto"/>
      </w:divBdr>
    </w:div>
    <w:div w:id="1480003428">
      <w:bodyDiv w:val="1"/>
      <w:marLeft w:val="0"/>
      <w:marRight w:val="0"/>
      <w:marTop w:val="0"/>
      <w:marBottom w:val="0"/>
      <w:divBdr>
        <w:top w:val="none" w:sz="0" w:space="0" w:color="auto"/>
        <w:left w:val="none" w:sz="0" w:space="0" w:color="auto"/>
        <w:bottom w:val="none" w:sz="0" w:space="0" w:color="auto"/>
        <w:right w:val="none" w:sz="0" w:space="0" w:color="auto"/>
      </w:divBdr>
    </w:div>
    <w:div w:id="1540167508">
      <w:bodyDiv w:val="1"/>
      <w:marLeft w:val="0"/>
      <w:marRight w:val="0"/>
      <w:marTop w:val="0"/>
      <w:marBottom w:val="0"/>
      <w:divBdr>
        <w:top w:val="none" w:sz="0" w:space="0" w:color="auto"/>
        <w:left w:val="none" w:sz="0" w:space="0" w:color="auto"/>
        <w:bottom w:val="none" w:sz="0" w:space="0" w:color="auto"/>
        <w:right w:val="none" w:sz="0" w:space="0" w:color="auto"/>
      </w:divBdr>
    </w:div>
    <w:div w:id="1688167659">
      <w:bodyDiv w:val="1"/>
      <w:marLeft w:val="0"/>
      <w:marRight w:val="0"/>
      <w:marTop w:val="0"/>
      <w:marBottom w:val="0"/>
      <w:divBdr>
        <w:top w:val="none" w:sz="0" w:space="0" w:color="auto"/>
        <w:left w:val="none" w:sz="0" w:space="0" w:color="auto"/>
        <w:bottom w:val="none" w:sz="0" w:space="0" w:color="auto"/>
        <w:right w:val="none" w:sz="0" w:space="0" w:color="auto"/>
      </w:divBdr>
    </w:div>
    <w:div w:id="1694262493">
      <w:bodyDiv w:val="1"/>
      <w:marLeft w:val="0"/>
      <w:marRight w:val="0"/>
      <w:marTop w:val="0"/>
      <w:marBottom w:val="0"/>
      <w:divBdr>
        <w:top w:val="none" w:sz="0" w:space="0" w:color="auto"/>
        <w:left w:val="none" w:sz="0" w:space="0" w:color="auto"/>
        <w:bottom w:val="none" w:sz="0" w:space="0" w:color="auto"/>
        <w:right w:val="none" w:sz="0" w:space="0" w:color="auto"/>
      </w:divBdr>
    </w:div>
    <w:div w:id="1729958650">
      <w:bodyDiv w:val="1"/>
      <w:marLeft w:val="0"/>
      <w:marRight w:val="0"/>
      <w:marTop w:val="0"/>
      <w:marBottom w:val="0"/>
      <w:divBdr>
        <w:top w:val="none" w:sz="0" w:space="0" w:color="auto"/>
        <w:left w:val="none" w:sz="0" w:space="0" w:color="auto"/>
        <w:bottom w:val="none" w:sz="0" w:space="0" w:color="auto"/>
        <w:right w:val="none" w:sz="0" w:space="0" w:color="auto"/>
      </w:divBdr>
    </w:div>
    <w:div w:id="1759592846">
      <w:bodyDiv w:val="1"/>
      <w:marLeft w:val="0"/>
      <w:marRight w:val="0"/>
      <w:marTop w:val="0"/>
      <w:marBottom w:val="0"/>
      <w:divBdr>
        <w:top w:val="none" w:sz="0" w:space="0" w:color="auto"/>
        <w:left w:val="none" w:sz="0" w:space="0" w:color="auto"/>
        <w:bottom w:val="none" w:sz="0" w:space="0" w:color="auto"/>
        <w:right w:val="none" w:sz="0" w:space="0" w:color="auto"/>
      </w:divBdr>
    </w:div>
    <w:div w:id="1762488189">
      <w:bodyDiv w:val="1"/>
      <w:marLeft w:val="0"/>
      <w:marRight w:val="0"/>
      <w:marTop w:val="0"/>
      <w:marBottom w:val="0"/>
      <w:divBdr>
        <w:top w:val="none" w:sz="0" w:space="0" w:color="auto"/>
        <w:left w:val="none" w:sz="0" w:space="0" w:color="auto"/>
        <w:bottom w:val="none" w:sz="0" w:space="0" w:color="auto"/>
        <w:right w:val="none" w:sz="0" w:space="0" w:color="auto"/>
      </w:divBdr>
    </w:div>
    <w:div w:id="1775512225">
      <w:bodyDiv w:val="1"/>
      <w:marLeft w:val="0"/>
      <w:marRight w:val="0"/>
      <w:marTop w:val="0"/>
      <w:marBottom w:val="0"/>
      <w:divBdr>
        <w:top w:val="none" w:sz="0" w:space="0" w:color="auto"/>
        <w:left w:val="none" w:sz="0" w:space="0" w:color="auto"/>
        <w:bottom w:val="none" w:sz="0" w:space="0" w:color="auto"/>
        <w:right w:val="none" w:sz="0" w:space="0" w:color="auto"/>
      </w:divBdr>
    </w:div>
    <w:div w:id="1787579283">
      <w:bodyDiv w:val="1"/>
      <w:marLeft w:val="0"/>
      <w:marRight w:val="0"/>
      <w:marTop w:val="0"/>
      <w:marBottom w:val="0"/>
      <w:divBdr>
        <w:top w:val="none" w:sz="0" w:space="0" w:color="auto"/>
        <w:left w:val="none" w:sz="0" w:space="0" w:color="auto"/>
        <w:bottom w:val="none" w:sz="0" w:space="0" w:color="auto"/>
        <w:right w:val="none" w:sz="0" w:space="0" w:color="auto"/>
      </w:divBdr>
    </w:div>
    <w:div w:id="1893078780">
      <w:bodyDiv w:val="1"/>
      <w:marLeft w:val="0"/>
      <w:marRight w:val="0"/>
      <w:marTop w:val="0"/>
      <w:marBottom w:val="0"/>
      <w:divBdr>
        <w:top w:val="none" w:sz="0" w:space="0" w:color="auto"/>
        <w:left w:val="none" w:sz="0" w:space="0" w:color="auto"/>
        <w:bottom w:val="none" w:sz="0" w:space="0" w:color="auto"/>
        <w:right w:val="none" w:sz="0" w:space="0" w:color="auto"/>
      </w:divBdr>
    </w:div>
    <w:div w:id="1997805000">
      <w:bodyDiv w:val="1"/>
      <w:marLeft w:val="0"/>
      <w:marRight w:val="0"/>
      <w:marTop w:val="0"/>
      <w:marBottom w:val="0"/>
      <w:divBdr>
        <w:top w:val="none" w:sz="0" w:space="0" w:color="auto"/>
        <w:left w:val="none" w:sz="0" w:space="0" w:color="auto"/>
        <w:bottom w:val="none" w:sz="0" w:space="0" w:color="auto"/>
        <w:right w:val="none" w:sz="0" w:space="0" w:color="auto"/>
      </w:divBdr>
    </w:div>
    <w:div w:id="2018845958">
      <w:bodyDiv w:val="1"/>
      <w:marLeft w:val="0"/>
      <w:marRight w:val="0"/>
      <w:marTop w:val="0"/>
      <w:marBottom w:val="0"/>
      <w:divBdr>
        <w:top w:val="none" w:sz="0" w:space="0" w:color="auto"/>
        <w:left w:val="none" w:sz="0" w:space="0" w:color="auto"/>
        <w:bottom w:val="none" w:sz="0" w:space="0" w:color="auto"/>
        <w:right w:val="none" w:sz="0" w:space="0" w:color="auto"/>
      </w:divBdr>
    </w:div>
    <w:div w:id="2025327443">
      <w:bodyDiv w:val="1"/>
      <w:marLeft w:val="0"/>
      <w:marRight w:val="0"/>
      <w:marTop w:val="0"/>
      <w:marBottom w:val="0"/>
      <w:divBdr>
        <w:top w:val="none" w:sz="0" w:space="0" w:color="auto"/>
        <w:left w:val="none" w:sz="0" w:space="0" w:color="auto"/>
        <w:bottom w:val="none" w:sz="0" w:space="0" w:color="auto"/>
        <w:right w:val="none" w:sz="0" w:space="0" w:color="auto"/>
      </w:divBdr>
    </w:div>
    <w:div w:id="2063285177">
      <w:bodyDiv w:val="1"/>
      <w:marLeft w:val="0"/>
      <w:marRight w:val="0"/>
      <w:marTop w:val="0"/>
      <w:marBottom w:val="0"/>
      <w:divBdr>
        <w:top w:val="none" w:sz="0" w:space="0" w:color="auto"/>
        <w:left w:val="none" w:sz="0" w:space="0" w:color="auto"/>
        <w:bottom w:val="none" w:sz="0" w:space="0" w:color="auto"/>
        <w:right w:val="none" w:sz="0" w:space="0" w:color="auto"/>
      </w:divBdr>
    </w:div>
    <w:div w:id="2118140537">
      <w:bodyDiv w:val="1"/>
      <w:marLeft w:val="0"/>
      <w:marRight w:val="0"/>
      <w:marTop w:val="0"/>
      <w:marBottom w:val="0"/>
      <w:divBdr>
        <w:top w:val="none" w:sz="0" w:space="0" w:color="auto"/>
        <w:left w:val="none" w:sz="0" w:space="0" w:color="auto"/>
        <w:bottom w:val="none" w:sz="0" w:space="0" w:color="auto"/>
        <w:right w:val="none" w:sz="0" w:space="0" w:color="auto"/>
      </w:divBdr>
    </w:div>
    <w:div w:id="213791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jpe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4A65CA0098A846B54D810B49DD4210"/>
        <w:category>
          <w:name w:val="General"/>
          <w:gallery w:val="placeholder"/>
        </w:category>
        <w:types>
          <w:type w:val="bbPlcHdr"/>
        </w:types>
        <w:behaviors>
          <w:behavior w:val="content"/>
        </w:behaviors>
        <w:guid w:val="{78401618-0333-DB44-9884-E26A03E925A7}"/>
      </w:docPartPr>
      <w:docPartBody>
        <w:p w:rsidR="00416FE6" w:rsidRDefault="00416FE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E6"/>
    <w:rsid w:val="00216A0D"/>
    <w:rsid w:val="0041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48019</Words>
  <Characters>273713</Characters>
  <Application>Microsoft Office Word</Application>
  <DocSecurity>0</DocSecurity>
  <Lines>2280</Lines>
  <Paragraphs>642</Paragraphs>
  <ScaleCrop>false</ScaleCrop>
  <Company/>
  <LinksUpToDate>false</LinksUpToDate>
  <CharactersWithSpaces>321090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Arnold</dc:creator>
  <cp:keywords/>
  <dc:description/>
  <cp:lastModifiedBy>Kaylee  Arnold</cp:lastModifiedBy>
  <cp:revision>2</cp:revision>
  <dcterms:created xsi:type="dcterms:W3CDTF">2023-05-16T01:03:00Z</dcterms:created>
  <dcterms:modified xsi:type="dcterms:W3CDTF">2023-05-16T01:03:00Z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id="ONd8KtG4"/&gt;&lt;style id="http://www.zotero.org/styles/nature" hasBibliography="1" bibliographyStyleHasBeenSet="1"/&gt;&lt;prefs&gt;&lt;pref name="fieldType" value="Field"/&gt;&lt;/prefs&gt;&lt;/data&gt;</vt:lpwstr>
  </property>
</Properties>
</file>