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1 - Critical Framing: Ratings (Round 1)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1</w:t>
      </w:r>
    </w:p>
    <w:p>
      <w:pPr>
        <w:spacing w:after="40"/>
      </w:pPr>
      <w:r>
        <w:rPr>
          <w:sz w:val="20"/>
          <w:szCs w:val="20"/>
        </w:rPr>
        <w:t xml:space="preserve">Date: Monday, 20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 1 (rating-scale positions)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 (group consensus position on rating scale).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Round 1 of the critical framing exercise asked participants to position each of six existing safety solutions on a rating scale according to how much it contributes to their personal sense of safety.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Strongly contributes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CCTV in public spaces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street lighting</w:t>
      </w:r>
    </w:p>
    <w:p>
      <w:pPr>
        <w:pStyle w:val="Heading2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Walking-home tracking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Neighbourhood-watch WhatsApp group</w:t>
      </w:r>
    </w:p>
    <w:p>
      <w:pPr>
        <w:pStyle w:val="Heading2"/>
      </w:pPr>
      <w:r>
        <w:t xml:space="preserve">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Light Emergency Poles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Safety Jewellery</w:t>
      </w:r>
    </w:p>
    <w:p>
      <w:pPr>
        <w:pStyle w:val="Heading2"/>
      </w:pPr>
      <w:r>
        <w:t xml:space="preserve">Actually makes me feel less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2026-05-10T13:27:24.107Z</dcterms:created>
  <dcterms:modified xsi:type="dcterms:W3CDTF">2026-05-10T13:27:24.107Z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