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Malgun Gothic" w:cs="Malgun Gothic" w:eastAsia="Malgun Gothic" w:hAnsi="Malgun Gothic"/>
          <w:b/>
          <w:bCs/>
          <w:color w:val="0B3B39"/>
          <w:sz w:val="56"/>
          <w:szCs w:val="56"/>
        </w:rPr>
        <w:t xml:space="preserve">NasalMpro · ALBOMB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155E52"/>
          <w:sz w:val="26"/>
          <w:szCs w:val="26"/>
        </w:rPr>
        <w:t xml:space="preserve">Mpro 표적 비강 항바이러스 후보 발굴 + 자율 에이전트 AI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제4회 AI 신약개발 경진대회 (4th JUMP AI) 기술 보고서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팀: 아시아경제교육센터 알파폴드팀 (팀장 국경희)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멘토: 홍성현 ((주)클리켐바이오 대표이사)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color w:val="65736F"/>
          <w:sz w:val="20"/>
          <w:szCs w:val="20"/>
        </w:rPr>
        <w:t xml:space="preserve">주최 보건복지부 · 주관 한국보건산업진흥원(KHIDI)</w:t>
      </w:r>
    </w:p>
    <w:p>
      <w:pPr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라이브 데모: </w:t>
      </w:r>
      <w:hyperlink w:history="1" r:id="rIdppcidvcrepib2unz8xjkp">
        <w:r>
          <w:rPr>
            <w:rStyle w:val="Hyperlink"/>
            <w:rFonts w:ascii="Malgun Gothic" w:cs="Malgun Gothic" w:eastAsia="Malgun Gothic" w:hAnsi="Malgun Gothic"/>
            <w:sz w:val="22"/>
            <w:szCs w:val="22"/>
          </w:rPr>
          <w:t xml:space="preserve">https://mpro.wnffn62.workers.dev</w:t>
        </w:r>
      </w:hyperlink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65736F"/>
          <w:sz w:val="18"/>
          <w:szCs w:val="18"/>
        </w:rPr>
        <w:t xml:space="preserve">오프라인 PWA · 엣지 상시 호스팅 (PC 전원과 무관)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 및 프로젝트 방향 전환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프로젝트는 SARS-CoV-2의 Main Protease(3CLpro, 이하 Mpro)를 표적하는 저해제 후보를 계산으로 선별하고, 이를 비강 스프레이 형태의 국소 항바이러스제 관점에서 평가·최적화하는 자율 에이전트 AI 시스템이다.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초기 방향과 기술적 한계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초기에는 AlphaFold3로 항체-항원 결합 복합체를 예측하려 하였으나, 약 한 달간 seed 수를 높여가며 반복했음에도 항체-항원 복합체 예측 정확도가 다른 복합체 유형 대비 현저히 낮은 구조적 한계를 확인하였다.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전환된 접근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‘코로나바이러스’ 테마는 유지하되, 타겟을 스파이크 단백질에서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Mpro를 표적하는 리간드/저해제 결합 예측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전환하였다. 응용 전망 또한 알부민 중심 접근에서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비강 스프레이 국소 전달 전략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조정하였다. Mpro는 바이러스 폴리단백질 절단에 필수적이며 인간 프로테아제와 상동성이 낮아 선택적 항바이러스 표적으로 검증된 부위이다(Nirmatrelvir, Ensitrelvir 등 승인·임상 저해제 존재).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데이터셋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공개 실측 활성 데이터를 통합하여 학습·검증에 사용하였다. 모든 화합물은 실측 pIC50(= −log10 IC50[M])을 보유한다.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000"/>
        <w:gridCol w:w="346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3B39"/>
                <w:sz w:val="20"/>
                <w:szCs w:val="20"/>
              </w:rPr>
              <w:t xml:space="preserve">출처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3B39"/>
                <w:sz w:val="20"/>
                <w:szCs w:val="20"/>
              </w:rPr>
              <w:t xml:space="preserve">화합물 수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3B39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ChEMBL (CHEMBL4523582)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4,415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SARS-CoV-2 Mpro 저해 활성 assay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COVID Moonshot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1,944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오픈사이언스 신규 합성·측정 데이터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ChEMBL + Moonshot 중복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두 출처 공통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통합 (고유)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6,368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학습·검증 전체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유사도 기준물질로는 실측 강활성 상위 100종을 사용하였다. 데이터는 활성/개발성 지표가 사전 계산된 형태로 앱에 내장되며, 상위 400종은 웹 라이브러리 탐색 UI로 제공된다.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방법론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QSAR 활성 예측 모델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접근은 기준물질과의 Morgan fingerprint Tanimoto 유사도라는 단순 휴리스틱(Spearman ρ≈0.34)에 의존했다. 본 시스템은 이를 넘어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6,368종 실측 pIC50으로 학습한 QSAR 회귀 모델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도입한다.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특징(feature): Morgan fingerprint (radius=2, 2048 bit) + 7개 물성(MW, logP, TPSA, HBD, HBA, RotB, QED) 표준화. 총 2,055차원.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모델 A — RandomForest (서버/로컬 Streamlit): 고정밀 예측용.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모델 B — Ridge 선형 (브라우저): 가중치를 JSON으로 export하여 오프라인 브라우저에서 임의 SMILES를 실시간 예측(RDKit-WASM으로 지문 계산 후 내적).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검증 — Scaffold 기반 교차검증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 데이터에는 서로 유사한 아날로그가 많아, 무작위 분할은 학습/평가 세트에 near-duplicate가 섞여 성능을 과대평가한다. 이를 방지하기 위해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Murcko 골격(generic scaffold) 단위 5-fold GroupKFold</w:t>
      </w:r>
      <w:r>
        <w:rPr>
          <w:rFonts w:ascii="Malgun Gothic" w:cs="Malgun Gothic" w:eastAsia="Malgun Gothic" w:hAnsi="Malgun Gothic"/>
          <w:sz w:val="22"/>
          <w:szCs w:val="22"/>
        </w:rPr>
        <w:t xml:space="preserve"> 교차검증을 사용하였다(1,960개 고유 골격). 아래 지표는 학습에 쓰이지 않은 분자에 대한 out-of-fold 예측 기준의 정직한 일반화 성능이다.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905125"/>
            <wp:effectExtent t="0" r="0" b="0" l="0"/>
            <wp:docPr id="1" name="shot_validation.png" descr="shot_validation.png" title="shot_valid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5736F"/>
          <w:sz w:val="18"/>
          <w:szCs w:val="18"/>
        </w:rPr>
        <w:t xml:space="preserve">그림 1. 모델 검증 뷰 — 예측 pIC50 vs 실측 pIC50 (out-of-fold). 대각선에 가까울수록 정확.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자율 에이전트 파이프라인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대회 테마인 ‘신약개발 단계별 특화 에이전틱 AI’에 맞춰, 시드 분자를 입력하면 4개 에이전트가 순차 실행되는 파이프라인을 구현하였다. 전 과정이 브라우저에서 오프라인으로 재현된다.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3B39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3B39"/>
                <w:sz w:val="20"/>
                <w:szCs w:val="20"/>
              </w:rPr>
              <w:t xml:space="preserve">역할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3B39"/>
                <w:sz w:val="20"/>
                <w:szCs w:val="20"/>
              </w:rPr>
              <w:t xml:space="preserve">도구·방법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Agent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가설 생성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Mpro 표적 근거·목적함수 정의(활성·비강·SAR)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Agent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활성·물성 평가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QSAR 예측 pIC50 + 유사도 + Lipinski/Veber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Agent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분자 최적화 루프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실측 라이브러리 아날로그 검색 + ML 스코어 hill-climb 재앵커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Agent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규제·제형 판정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구조알림 스캔 + 비강 전달성·비임상 판정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Agent 3의 최적화 효용은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U = 0.60·정규화 예측활성 + 0.25·비강전달성 + 0.15·SAR 연속성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정의된다. 매 라운드 현재 앵커의 아날로그(지문 유사도 ≥ 0.15) 중 효용 최대 후보로 재앵커하며, 개선이 없으면 수렴한다.</w:t>
      </w:r>
    </w:p>
    <w:p>
      <w:pPr>
        <w:spacing w:after="60" w:before="100"/>
        <w:jc w:val="center"/>
      </w:pPr>
      <w:r>
        <w:drawing>
          <wp:inline distT="0" distB="0" distL="0" distR="0">
            <wp:extent cx="4095750" cy="5219700"/>
            <wp:effectExtent t="0" r="0" b="0" l="0"/>
            <wp:docPr id="1" name="shot_agent.png" descr="shot_agent.png" title="shot_ag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5736F"/>
          <w:sz w:val="18"/>
          <w:szCs w:val="18"/>
        </w:rPr>
        <w:t xml:space="preserve">그림 2. 자율 에이전트 파이프라인 실행 결과 (4개 에이전트 + 최적화 트레이스 + 최종 추천).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결과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모델 성능 (scaffold-CV)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900"/>
        <w:gridCol w:w="1900"/>
        <w:gridCol w:w="2000"/>
      </w:tblGrid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3B39"/>
                <w:sz w:val="20"/>
                <w:szCs w:val="20"/>
              </w:rPr>
              <w:t xml:space="preserve">모델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3B39"/>
                <w:sz w:val="20"/>
                <w:szCs w:val="20"/>
              </w:rPr>
              <w:t xml:space="preserve">Spearman 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3B39"/>
                <w:sz w:val="20"/>
                <w:szCs w:val="20"/>
              </w:rPr>
              <w:t xml:space="preserve">R²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3B39"/>
                <w:sz w:val="20"/>
                <w:szCs w:val="20"/>
              </w:rPr>
              <w:t xml:space="preserve">RMSE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RandomForest (서버)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0.809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0.643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0.727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Ridge 선형 (브라우저)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0.755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0.536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0.828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유사도 베이스라인(기존)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0.338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QSAR 모델은 기존 유사도 대비 순위상관을 </w:t>
      </w:r>
      <w:r>
        <w:rPr>
          <w:rFonts w:ascii="Malgun Gothic" w:cs="Malgun Gothic" w:eastAsia="Malgun Gothic" w:hAnsi="Malgun Gothic"/>
          <w:b/>
          <w:bCs/>
          <w:color w:val="0B3B39"/>
          <w:sz w:val="22"/>
          <w:szCs w:val="22"/>
        </w:rPr>
        <w:t xml:space="preserve">ρ 0.34 → 0.81(RF) / 0.76(Ridge)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약 2.4배 향상시켰으며, 이는 골격 분할 기준의 보수적(정직한) 지표이다.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자율 최적화 사례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GC376(공유결합형 Mpro 저해제)을 시드로 자율 최적화를 실행한 결과, 예측 pIC50 </w:t>
      </w:r>
      <w:r>
        <w:rPr>
          <w:rFonts w:ascii="Malgun Gothic" w:cs="Malgun Gothic" w:eastAsia="Malgun Gothic" w:hAnsi="Malgun Gothic"/>
          <w:b/>
          <w:bCs/>
          <w:color w:val="0B3B39"/>
          <w:sz w:val="22"/>
          <w:szCs w:val="22"/>
        </w:rPr>
        <w:t xml:space="preserve">6.93 → 7.94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아날로그를 2라운드 만에 도출하였다. 트레이스에 함께 표기되는 측정 pIC50(에이전트가 사용하지 않은 검증값)은 도출 후보가 실제 강활성 영역으로 수렴했음을 확인해 준다.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4.3 단일 분자 실시간 평가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임의 SMILES 입력 시 브라우저에서 예측 pIC50(추정 IC50 nM 환산), 개발성 Composite, 비강 전달성, 강활성 유사도, 약물성 지표를 즉시 산출한다.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shot_single.png" descr="shot_single.png" title="shot_sing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5736F"/>
          <w:sz w:val="18"/>
          <w:szCs w:val="18"/>
        </w:rPr>
        <w:t xml:space="preserve">그림 3. 단일 분자 평가 — 예측 pIC50을 헤드라인으로, 물성·유사도·구조를 함께 제시.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시스템 및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구현: 단일 정적 PWA(RDKit MinimalLib WebAssembly) — 서버·빌드 없이 브라우저에서 실행.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오프라인: Service Worker가 앱 셸·모델·라이브러리·WASM을 프리캐시(최초 1회 온라인 후 오프라인 동작).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배포: Cloudflare Worker 엣지 상시 호스팅 — 개발 PC 전원과 무관하게 접속 가능. 고정 주소 https://mpro.wnffn62.workers.dev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 no-code 도구: Streamlit + 실제 RDKit/RandomForest(더블클릭 실행) 병행 제공.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대회 4개 영역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3B39"/>
                <w:sz w:val="20"/>
                <w:szCs w:val="20"/>
              </w:rPr>
              <w:t xml:space="preserve">대회 영역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3B39"/>
                <w:sz w:val="20"/>
                <w:szCs w:val="20"/>
              </w:rPr>
              <w:t xml:space="preserve">본 시스템의 구현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자율 가설생성·검증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Agent 1 가설 + Agent 2 QSAR 활성 검증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도구기반 분자 최적화 루프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Agent 3 아날로그 검색·ML 스코어 hill-climb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규제·지능형 임상 설계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Agent 4 구조알림·비임상·PK/PD 판정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융합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4211F"/>
                <w:sz w:val="20"/>
                <w:szCs w:val="20"/>
              </w:rPr>
              <w:t xml:space="preserve">비강 제형 설계 + 통합 파이프라인 + ALBOMB 연계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6. 연계 플랫폼 — ALBOMB (당화알부민 tPDC)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클리켐바이오의 원천기술인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클릭화학 기반 tPDC 당화알부민 나노플랫폼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동일 웹앱에 통합 배포하였다(</w:t>
      </w:r>
      <w:hyperlink w:history="1" r:id="rIdm8mqhv9efsrm39k9hbivu">
        <w:r>
          <w:rPr>
            <w:rStyle w:val="Hyperlink"/>
            <w:rFonts w:ascii="Malgun Gothic" w:cs="Malgun Gothic" w:eastAsia="Malgun Gothic" w:hAnsi="Malgun Gothic"/>
            <w:sz w:val="22"/>
            <w:szCs w:val="22"/>
          </w:rPr>
          <w:t xml:space="preserve">/albumin.html</w:t>
        </w:r>
      </w:hyperlink>
      <w:r>
        <w:rPr>
          <w:rFonts w:ascii="Malgun Gothic" w:cs="Malgun Gothic" w:eastAsia="Malgun Gothic" w:hAnsi="Malgun Gothic"/>
          <w:sz w:val="22"/>
          <w:szCs w:val="22"/>
        </w:rPr>
        <w:t xml:space="preserve">). 당밀도를 6.8로 정밀 설계하여 간 흡수를 회피하고 신장을 선택적으로 타겟, 급성신장손상(AKI)→만성신부전(CKD) 이행을 M1→M2 마크로파지 전환으로 차단하는 First-in-Class 접근이다. 두 플랫폼은 결합·구조 예측 도구를 공유하며 상호 링크로 연결된다.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한계 및 향후 과제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도구의 pIC50 예측은 리간드 기반 QSAR로, 실제 3D 도킹·결합 자유에너지 계산을 대체하지 않는다. 향후 Mpro 구조 기반 도킹(예: AutoDock Vina) 연동으로 보강 예정.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비강 전달성·독성은 투명한 물성 휴리스틱이며, in vitro/in vivo 실측(점막 투과·체류·자극성)으로 대체·검증되어야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Ridge 브라우저 모델(ρ=0.76)은 경량화를 위한 선형 근사로, 서버 RandomForest(ρ=0.81) 대비 정밀도가 낮다.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최적화 루프의 후보 공간은 현재 실측 라이브러리로 한정되며, 생성모델 기반 de novo 확장이 향후 과제다.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공통 고지: 본 산출물의 모든 수치는 공개 데이터로 학습·검증한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비임상 계산 예측값</w:t>
      </w: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이며, 실험·독성·임상 데이터 또는 품목허가 판단을 대체하지 않는다.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부록 A. 재현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QSAR 학습: python ml/train_qsar.py → ml/qsar_metrics.json, web/qsar_model.json, ml/qsar_rf.pkl, data/mpro_predictions.json 생성.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웹 배포: python deploy_mpro.py → web/ 전체를 엣지 Worker로 업로드.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 앱: app/실행.bat 더블클릭(최초 1회 venv 구성 후 Streamlit 자동 실행).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검증: scaffold 5-fold GroupKFold out-of-fold 예측 기준 Spearman/R²/RMSE.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NasalMpro · ALBOMB 기술보고서 —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7A58F" w:sz="6" w:space="4"/>
      </w:pBdr>
      <w:spacing w:after="160" w:before="300"/>
      <w:outlineLvl w:val="0"/>
    </w:pPr>
    <w:rPr>
      <w:rFonts w:ascii="Malgun Gothic" w:cs="Malgun Gothic" w:eastAsia="Malgun Gothic" w:hAnsi="Malgun Gothic"/>
      <w:b/>
      <w:bCs/>
      <w:color w:val="0B3B3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155E5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pcidvcrepib2unz8xjkp" Type="http://schemas.openxmlformats.org/officeDocument/2006/relationships/hyperlink" Target="https://mpro.wnffn62.workers.dev" TargetMode="External"/><Relationship Id="rIdm8mqhv9efsrm39k9hbivu" Type="http://schemas.openxmlformats.org/officeDocument/2006/relationships/hyperlink" Target="https://mpro.wnffn62.workers.dev/albumin.html" TargetMode="External"/><Relationship Id="rId8" Type="http://schemas.openxmlformats.org/officeDocument/2006/relationships/image" Target="media/c32962b3c4508cc7b7276d004ab0a48f305f9bbd.png"/><Relationship Id="rId9" Type="http://schemas.openxmlformats.org/officeDocument/2006/relationships/image" Target="media/3f01bd349d6d900dfcd0c9af7eefc9f213b874c3.png"/><Relationship Id="rId10" Type="http://schemas.openxmlformats.org/officeDocument/2006/relationships/image" Target="media/49d4c2e6384fe23cd7cac8333fc3ca7c2550a16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2026-07-07T16:45:30.566Z</dcterms:created>
  <dcterms:modified xsi:type="dcterms:W3CDTF">2026-07-07T16:45:30.568Z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