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Overall top and bottom ICBs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and bottom ICBs according to mean prescribing/issuing rates per 1000 population across entire study period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icb_name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mean_per_1000_pop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rank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Northamptonshire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45.84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Birmingham And Solihull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Cornwall And The Isles Of Scilly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Black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Bath And North East Somerset, Swindon And Wiltshire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Bedfordshire, Luton And Milton Keynes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</w:tr>
    </w:tbl>
    <w:p>
      <w:pPr>
        <w:pStyle w:val="Titre2"/>
      </w:pPr>
      <w:r>
        <w:t xml:space="preserve">Top 5 ICBs (years)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ICBs that were in the top 5 according to mean prescribing/issuing rates per 1000 population at least once, with relevant years in brackets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Buckinghamshire, Oxfordshire And Berkshire West(2025)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Bath And North East Somerset, Swindon And Wiltshire(2022-2025)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Bath And North East Somerset, Swindon And Wiltshire(2020-2025)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Cheshire And Merseyside(2022-2025)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Cornwall And The Isles Of Scilly(2021-2025)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Birmingham And Solihull(2023-2025)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Kent And Medway(2016-2024)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Lancashire And South Cumbria(2021-2022)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Cheshire And Merseyside(2020-2021)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Lincolnshire(2016, 2019-2023,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Lincolnshire(2021-2025)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Devon(2025)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Mid And South Essex(2017-2018, 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 Central London(2021, 2023-2025)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Greater Manchester(2022)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Norfolk And Waveney(2016-2021)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 West London(2021-2025)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Hertfordshire And West Essex(2020-2022)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Northamptonshire(2016-2025)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Lancashire And South Cumbria(2020-2024)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Surrey Heartlands(2016-2025)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Lincolnshire(2020-2025)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 Central London(2023)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Nottingham And Nottinghamshire(2024-2025)</w:t>
            </w:r>
          </w:p>
        </w:tc>
      </w:tr>
    </w:tbl>
    <w:p>
      <w:pPr>
        <w:pStyle w:val="Titre2"/>
      </w:pPr>
      <w:r>
        <w:t xml:space="preserve">Bottom 5 ICBs (years)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ICBs that were in the bottom 5 according to mean prescribing/issuing rates per 1000 population at least once, with relevant years in brackets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Bath And North East Somerset, Swindon And Wiltshire(2020)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Black Country(2021-2025)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Bedfordshire, Luton And Milton Keynes(2020-2025)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Birmingham And Solihull(2016-2025)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Derby And Derbyshire(2022-2024)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Black Country(2023-2024)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Cornwall And The Isles Of Scilly(2025)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Herefordshire And Worcestershire(2021)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Cornwall And The Isles Of Scilly(2020-2025)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Coventry And Warwickshire(2017)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Humber And North Yorkshire(2022-2025)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Frimley(2020-2023, 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Humber And North Yorkshire(2018-2025)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Northamptonshire(2021-2022,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Herefordshire And Worcestershire(2020-2022)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 East London(2016, 2019, 2021-2024)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Somerset(2021-2025)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Norfolk And Waveney(2022, 2024-2025)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North West London(2016-2018)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Staffordshire And Stoke-On-Trent(2021, 2023-2025)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Staffordshire And Stoke-On-Trent(2020, 2023, 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Staffordshire And Stoke-On-Trent(2016-2025)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Suffolk And North East Essex(2021)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West Yorkshire(2016-2025)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Surrey Heartlands(2024)</w:t>
            </w:r>
          </w:p>
        </w:tc>
      </w:tr>
    </w:tbl>
    <w:p>
      <w:pPr>
        <w:pStyle w:val="Titre2"/>
      </w:pPr>
      <w:r>
        <w:t xml:space="preserve">Summary stats for first and last years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Median prescribing rate with IQR for the first and last years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end_date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iqr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2016-07-31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items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2025-07-31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19.37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2021-07-31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2025-07-31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ddd_quantity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2025-03-31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ddd_quantity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57.79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2026-05-15T16:13:55Z</dcterms:modified>
  <cp:category/>
</cp:coreProperties>
</file>