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center"/>
      </w:pPr>
      <w:r>
        <w:rPr>
          <w:b/>
          <w:color w:val="9B1C1C"/>
          <w:sz w:val="68"/>
        </w:rPr>
        <w:t>FIAP</w:t>
      </w:r>
    </w:p>
    <w:p>
      <w:pPr>
        <w:pStyle w:val="Subtitle"/>
        <w:jc w:val="center"/>
      </w:pPr>
      <w:r>
        <w:t>SOAT — Software Architecture</w:t>
      </w:r>
    </w:p>
    <w:p>
      <w:pPr>
        <w:pStyle w:val="Title"/>
        <w:jc w:val="center"/>
      </w:pPr>
      <w:r>
        <w:t>TECH CHALLENGE — FASE 1</w:t>
      </w:r>
    </w:p>
    <w:p>
      <w:pPr>
        <w:jc w:val="center"/>
      </w:pPr>
      <w:r>
        <w:rPr>
          <w:b/>
          <w:color w:val="19324D"/>
          <w:sz w:val="44"/>
        </w:rPr>
        <w:t>OFICINATRACK</w:t>
      </w:r>
    </w:p>
    <w:p>
      <w:pPr>
        <w:pStyle w:val="Subtitle"/>
        <w:jc w:val="center"/>
      </w:pPr>
      <w:r>
        <w:t>Sistema Integrado de Atendimento e Execução de Serviços</w:t>
      </w:r>
    </w:p>
    <w:p>
      <w:pPr>
        <w:jc w:val="center"/>
      </w:pPr>
      <w:r>
        <w:rPr>
          <w:b/>
          <w:sz w:val="28"/>
        </w:rPr>
        <w:t>GRUPO 76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4762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170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RM</w:t>
            </w:r>
          </w:p>
        </w:tc>
        <w:tc>
          <w:tcPr>
            <w:tcW w:type="dxa" w:w="2835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Discord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Allan de Lima Carvalho Silva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RM 378457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zonahk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Guilherme Azevedo da Trindade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RM 378112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guilhermetrindade97_75307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Laura Henrique Alves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RM 377327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maflexninja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Lucas de Souza Cancela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RM 377972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lucancela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PENDENTE — nome completo de Kayleigh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PENDENTE — RM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kayleighsz_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b/>
        </w:rPr>
        <w:t>Linguagem e tecnologias</w:t>
        <w:br/>
      </w:r>
      <w:r>
        <w:t>Java 21; Spring Boot 4.1.1; Spring Web MVC; Spring Security e JWT; Spring Data JPA/Hibernate; PostgreSQL; Flyway; OpenAPI/Swagger; Docker e Docker Compose; JUnit 5; Mockito; Testcontainers; JaCoCo.</w:t>
      </w:r>
    </w:p>
    <w:p>
      <w:pPr>
        <w:jc w:val="center"/>
      </w:pPr>
      <w:r>
        <w:t>São Paulo — 2026</w:t>
      </w:r>
    </w:p>
    <w:p>
      <w:r>
        <w:br w:type="page"/>
      </w:r>
    </w:p>
    <w:p>
      <w:pPr>
        <w:pStyle w:val="Heading1"/>
      </w:pPr>
      <w:r>
        <w:t>Controle da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38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7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Curso / fase / grupo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SOAT — Software Architecture / Fase 1 / Grupo 76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Repositório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https://github.com/kayleighszs/oficinatrack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Branch de entrega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master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Commit de referência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02ce391039d5e3616c669e894c05a0fb864416da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Versão do documento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1.0 — 20/10/2026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Vídeo</w:t>
            </w:r>
          </w:p>
        </w:tc>
        <w:tc>
          <w:tcPr>
            <w:tcW w:type="dxa" w:w="69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PENDENTE — inserir URL pública do YouTube</w:t>
            </w:r>
          </w:p>
        </w:tc>
      </w:tr>
    </w:tbl>
    <w:p>
      <w:pPr>
        <w:spacing w:after="20"/>
      </w:pPr>
    </w:p>
    <w:p>
      <w:r>
        <w:rPr>
          <w:b/>
        </w:rPr>
        <w:t xml:space="preserve">Repositório completo: </w:t>
      </w:r>
      <w:hyperlink r:id="rId9">
        <w:r>
          <w:rPr>
            <w:color w:val="2E5D7B"/>
            <w:u w:val="single"/>
          </w:rPr>
          <w:t>https://github.com/kayleighszs/oficinatrack</w:t>
        </w:r>
      </w:hyperlink>
    </w:p>
    <w:p>
      <w:r>
        <w:rPr>
          <w:b/>
        </w:rPr>
        <w:t xml:space="preserve">Versão congelada pelo commit: </w:t>
      </w:r>
      <w:hyperlink r:id="rId10">
        <w:r>
          <w:rPr>
            <w:color w:val="2E5D7B"/>
            <w:u w:val="single"/>
          </w:rPr>
          <w:t>https://github.com/kayleighszs/oficinatrack/tree/02ce391039d5e3616c669e894c05a0fb864416da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BEAE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</w:tcPr>
          <w:p>
            <w:pPr>
              <w:spacing w:after="60"/>
            </w:pPr>
            <w:r>
              <w:rPr>
                <w:b/>
                <w:color w:val="9B1C1C"/>
              </w:rPr>
              <w:t>Bloqueios antes da entrega</w:t>
            </w:r>
          </w:p>
          <w:p>
            <w:pPr>
              <w:spacing w:after="0"/>
            </w:pPr>
            <w:r>
              <w:t>Preencher nome completo e RM de Kayleigh; inserir link público do vídeo; confirmar Miro sem login; anexar resultado da análise de vulnerabilidades; confirmar branch principal protegida e versão final via PR.</w:t>
            </w:r>
          </w:p>
        </w:tc>
      </w:tr>
    </w:tbl>
    <w:p>
      <w:pPr>
        <w:spacing w:after="20"/>
      </w:pPr>
    </w:p>
    <w:p>
      <w:pPr>
        <w:pStyle w:val="Heading1"/>
      </w:pPr>
      <w:r>
        <w:t>Sumário</w:t>
      </w:r>
    </w:p>
    <w:p>
      <w:pPr>
        <w:pStyle w:val="ListBullet"/>
        <w:spacing w:after="60"/>
        <w:ind w:left="369" w:hanging="142"/>
      </w:pPr>
      <w:r>
        <w:t>1. Visão executiva</w:t>
      </w:r>
    </w:p>
    <w:p>
      <w:pPr>
        <w:pStyle w:val="ListBullet"/>
        <w:spacing w:after="60"/>
        <w:ind w:left="369" w:hanging="142"/>
      </w:pPr>
      <w:r>
        <w:t>2. Matriz de aderência ao enunciado</w:t>
      </w:r>
    </w:p>
    <w:p>
      <w:pPr>
        <w:pStyle w:val="ListBullet"/>
        <w:spacing w:after="60"/>
        <w:ind w:left="369" w:hanging="142"/>
      </w:pPr>
      <w:r>
        <w:t>3. Arquitetura e decisões técnicas</w:t>
      </w:r>
    </w:p>
    <w:p>
      <w:pPr>
        <w:pStyle w:val="ListBullet"/>
        <w:spacing w:after="60"/>
        <w:ind w:left="369" w:hanging="142"/>
      </w:pPr>
      <w:r>
        <w:t>4. Domain-Driven Design</w:t>
      </w:r>
    </w:p>
    <w:p>
      <w:pPr>
        <w:pStyle w:val="ListBullet"/>
        <w:spacing w:after="60"/>
        <w:ind w:left="369" w:hanging="142"/>
      </w:pPr>
      <w:r>
        <w:t>5. Fluxos e regras de negócio</w:t>
      </w:r>
    </w:p>
    <w:p>
      <w:pPr>
        <w:pStyle w:val="ListBullet"/>
        <w:spacing w:after="60"/>
        <w:ind w:left="369" w:hanging="142"/>
      </w:pPr>
      <w:r>
        <w:t>6. APIs e segurança</w:t>
      </w:r>
    </w:p>
    <w:p>
      <w:pPr>
        <w:pStyle w:val="ListBullet"/>
        <w:spacing w:after="60"/>
        <w:ind w:left="369" w:hanging="142"/>
      </w:pPr>
      <w:r>
        <w:t>7. Persistência e transações</w:t>
      </w:r>
    </w:p>
    <w:p>
      <w:pPr>
        <w:pStyle w:val="ListBullet"/>
        <w:spacing w:after="60"/>
        <w:ind w:left="369" w:hanging="142"/>
      </w:pPr>
      <w:r>
        <w:t>8. Qualidade e evidências</w:t>
      </w:r>
    </w:p>
    <w:p>
      <w:pPr>
        <w:pStyle w:val="ListBullet"/>
        <w:spacing w:after="60"/>
        <w:ind w:left="369" w:hanging="142"/>
      </w:pPr>
      <w:r>
        <w:t>9. Execução e demonstração</w:t>
      </w:r>
    </w:p>
    <w:p>
      <w:pPr>
        <w:pStyle w:val="ListBullet"/>
        <w:spacing w:after="60"/>
        <w:ind w:left="369" w:hanging="142"/>
      </w:pPr>
      <w:r>
        <w:t>10. Links DDD, roteiro do vídeo e checklist final</w:t>
      </w:r>
    </w:p>
    <w:p>
      <w:pPr>
        <w:pStyle w:val="ListBullet"/>
        <w:spacing w:after="60"/>
        <w:ind w:left="369" w:hanging="142"/>
      </w:pPr>
      <w:r>
        <w:t>Referências</w:t>
      </w:r>
    </w:p>
    <w:p>
      <w:r>
        <w:br w:type="page"/>
      </w:r>
    </w:p>
    <w:p>
      <w:pPr>
        <w:pStyle w:val="Heading1"/>
      </w:pPr>
      <w:r>
        <w:t>1. Visão executiva</w:t>
      </w:r>
    </w:p>
    <w:p>
      <w:r>
        <w:t>O OficinaTrack é um MVP de back-end monolítico para substituir anotações e planilhas no atendimento de uma oficina mecânica. A solução concentra cadastros, ordens de serviço, diagnóstico, orçamento, autorização do cliente, consumo de peças, histórico e indicadores em uma API REST documentada.</w:t>
      </w:r>
    </w:p>
    <w:p>
      <w:pPr>
        <w:pStyle w:val="Heading2"/>
      </w:pPr>
      <w:r>
        <w:t>Problema e resultado esperado</w:t>
      </w:r>
    </w:p>
    <w:p>
      <w:pPr>
        <w:pStyle w:val="ListBullet"/>
        <w:spacing w:after="60"/>
        <w:ind w:left="369" w:hanging="142"/>
      </w:pPr>
      <w:r>
        <w:t>Reduzir erros de priorização e dar rastreabilidade ao status da OS.</w:t>
      </w:r>
    </w:p>
    <w:p>
      <w:pPr>
        <w:pStyle w:val="ListBullet"/>
        <w:spacing w:after="60"/>
        <w:ind w:left="369" w:hanging="142"/>
      </w:pPr>
      <w:r>
        <w:t>Evitar perda de histórico de clientes, veículos, orçamentos e serviços.</w:t>
      </w:r>
    </w:p>
    <w:p>
      <w:pPr>
        <w:pStyle w:val="ListBullet"/>
        <w:spacing w:after="60"/>
        <w:ind w:left="369" w:hanging="142"/>
      </w:pPr>
      <w:r>
        <w:t>Controlar peças e insumos com movimentações auditáveis e baixa atômica.</w:t>
      </w:r>
    </w:p>
    <w:p>
      <w:pPr>
        <w:pStyle w:val="ListBullet"/>
        <w:spacing w:after="60"/>
        <w:ind w:left="369" w:hanging="142"/>
      </w:pPr>
      <w:r>
        <w:t>Permitir aprovação do orçamento pelo cliente sem acesso administrativo.</w:t>
      </w:r>
    </w:p>
    <w:p>
      <w:pPr>
        <w:pStyle w:val="ListBullet"/>
        <w:spacing w:after="60"/>
        <w:ind w:left="369" w:hanging="142"/>
      </w:pPr>
      <w:r>
        <w:t>Proteger operações internas com JWT e perfis de acesso.</w:t>
      </w:r>
    </w:p>
    <w:p>
      <w:pPr>
        <w:pStyle w:val="Heading2"/>
      </w:pPr>
      <w:r>
        <w:t>Escopo entregue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814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7483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Aplicação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88 arquivos Java organizados em nove módulos de negócio/técnicos; 37 endpoints REST.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Banco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PostgreSQL com quatro migrations Flyway e constraints de integridade.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Qualidade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179 testes em 19 classes; build Maven validado; cobertura de linhas de 88,41%.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Operação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Dockerfile, Docker Compose, variáveis de ambiente e Swagger UI.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DDD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Diagramas de domínio, AS IS/TO BE e épicos; quatro quadros Miro; mapeamento código-domínio neste PDF.</w:t>
            </w:r>
          </w:p>
        </w:tc>
      </w:tr>
    </w:tbl>
    <w:p>
      <w:pPr>
        <w:spacing w:after="20"/>
      </w:pPr>
    </w:p>
    <w:p>
      <w:pPr>
        <w:pStyle w:val="Heading1"/>
      </w:pPr>
      <w:r>
        <w:t>2. Matriz de aderência ao enunciado</w:t>
      </w:r>
    </w:p>
    <w:p>
      <w:r>
        <w:t>Status baseado no código e nos artefatos locais em 20/10/2026. Itens pendentes não são apresentados como concluídos.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1928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402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Evidência</w:t>
            </w:r>
          </w:p>
        </w:tc>
        <w:tc>
          <w:tcPr>
            <w:tcW w:type="dxa" w:w="1247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72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Ação/observação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Identificação da entrega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Curso, fase, grupo, integrantes, RMs, Discord e stack na capa.</w:t>
            </w:r>
          </w:p>
        </w:tc>
        <w:tc>
          <w:tcPr>
            <w:tcW w:type="dxa" w:w="1247"/>
            <w:shd w:fill="FFF4C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sz w:val="17"/>
              </w:rPr>
              <w:t>ATENÇÃO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Nome completo e RM de Kayleigh pendentes.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Repositório público e versionado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https://github.com/kayleighszs/oficinatrack — branch master; commit 02ce391039d5e3616c669e894c05a0fb864416da.</w:t>
            </w:r>
          </w:p>
        </w:tc>
        <w:tc>
          <w:tcPr>
            <w:tcW w:type="dxa" w:w="1247"/>
            <w:shd w:fill="FFF4C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sz w:val="17"/>
              </w:rPr>
              <w:t>VALIDAR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Confirmar visibilidade pública e proteção da branch principal durante correção.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README e execução local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README, Dockerfile, docker-compose.yml e .env.example.</w:t>
            </w:r>
          </w:p>
        </w:tc>
        <w:tc>
          <w:tcPr>
            <w:tcW w:type="dxa" w:w="1247"/>
            <w:shd w:fill="FFF4C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sz w:val="17"/>
              </w:rPr>
              <w:t>PARCIAL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README funciona, mas deve receber links do DDD/vídeo e seção arquitetural mais completa.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Vídeo público no YouTube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Demonstração de até 15 minutos vinculada ao commit entregue.</w:t>
            </w:r>
          </w:p>
        </w:tc>
        <w:tc>
          <w:tcPr>
            <w:tcW w:type="dxa" w:w="1247"/>
            <w:shd w:fill="FBEAE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sz w:val="17"/>
              </w:rPr>
              <w:t>PENDENTE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Inserir URL pública antes de exportar versão final.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Documentação DDD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Quatro quadros Miro e três diagramas Excalidraw no diretório docs/.</w:t>
            </w:r>
          </w:p>
        </w:tc>
        <w:tc>
          <w:tcPr>
            <w:tcW w:type="dxa" w:w="1247"/>
            <w:shd w:fill="FFF4C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sz w:val="17"/>
              </w:rPr>
              <w:t>VALIDAR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Confirmar acesso anônimo aos quadros; ideal exportar também para PDF/PNG em docs/ddd/.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Funcionalidades obrigatórias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CRUDs, OS, orçamento, consulta pública, estoque, relatório e histórico presentes.</w:t>
            </w:r>
          </w:p>
        </w:tc>
        <w:tc>
          <w:tcPr>
            <w:tcW w:type="dxa" w:w="1247"/>
            <w:shd w:fill="EAF5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sz w:val="17"/>
              </w:rPr>
              <w:t>ATENDIDO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Evidência mapeada a pacotes e endpoints neste documento.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JWT e validações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Rotas administrativas autenticadas; roles; CPF/CNPJ e placa validados.</w:t>
            </w:r>
          </w:p>
        </w:tc>
        <w:tc>
          <w:tcPr>
            <w:tcW w:type="dxa" w:w="1247"/>
            <w:shd w:fill="EAF5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sz w:val="17"/>
              </w:rPr>
              <w:t>ATENDIDO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JWT HS256, BCrypt, sessão stateless e token público por OS com hash SHA-256.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Testes e cobertura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./mvnw verify: 179 testes; 88,41% de cobertura de linhas no escopo JaCoCo.</w:t>
            </w:r>
          </w:p>
        </w:tc>
        <w:tc>
          <w:tcPr>
            <w:tcW w:type="dxa" w:w="1247"/>
            <w:shd w:fill="EAF5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sz w:val="17"/>
              </w:rPr>
              <w:t>ATENDIDO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Execução validada em 20/10/2026 com PostgreSQL via Testcontainers.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Análise de vulnerabilidades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Nenhum relatório versionado foi localizado.</w:t>
            </w:r>
          </w:p>
        </w:tc>
        <w:tc>
          <w:tcPr>
            <w:tcW w:type="dxa" w:w="1247"/>
            <w:shd w:fill="FBEAE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sz w:val="17"/>
              </w:rPr>
              <w:t>PENDENTE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Executar SCA, revisar achados e incluir relatório/resultado no repositório.</w:t>
            </w:r>
          </w:p>
        </w:tc>
      </w:tr>
      <w:t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PDF único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Este arquivo reúne identificação, links, decisões e evidências.</w:t>
            </w:r>
          </w:p>
        </w:tc>
        <w:tc>
          <w:tcPr>
            <w:tcW w:type="dxa" w:w="1247"/>
            <w:shd w:fill="EAF5E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sz w:val="17"/>
              </w:rPr>
              <w:t>ATENDIDO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Substituir pendências antes do envio oficial.</w:t>
            </w:r>
          </w:p>
        </w:tc>
      </w:tr>
    </w:tbl>
    <w:p>
      <w:pPr>
        <w:spacing w:after="20"/>
      </w:pPr>
    </w:p>
    <w:p>
      <w:pPr>
        <w:pStyle w:val="Heading1"/>
      </w:pPr>
      <w:r>
        <w:t>3. Arquitetura e decisões técnicas</w:t>
      </w:r>
    </w:p>
    <w:p>
      <w:pPr>
        <w:pStyle w:val="Heading2"/>
      </w:pPr>
      <w:r>
        <w:t>3.1 Estilo arquitetural</w:t>
      </w:r>
    </w:p>
    <w:p>
      <w:r>
        <w:t>Monólito modular em camadas. Cada contexto reúne API, aplicação, domínio e infraestrutura. Controllers tratam HTTP; serviços de aplicação demarcam casos de uso e transações; entidades concentram invariantes; repositórios Spring Data isolam persistência. O shared contém validações, tratamento de erros e configuração OpenAPI.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1F5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2E5D7B"/>
              <w:left w:val="single" w:sz="10" w:color="2E5D7B"/>
              <w:bottom w:val="single" w:sz="10" w:color="2E5D7B"/>
              <w:right w:val="single" w:sz="10" w:color="2E5D7B"/>
              <w:insideH w:val="single" w:sz="10" w:color="2E5D7B"/>
              <w:insideV w:val="single" w:sz="10" w:color="2E5D7B"/>
            </w:tcBorders>
          </w:tcPr>
          <w:p>
            <w:pPr>
              <w:spacing w:after="60"/>
            </w:pPr>
            <w:r>
              <w:rPr>
                <w:b/>
                <w:color w:val="2E5D7B"/>
              </w:rPr>
              <w:t>Fluxo de uma requisição</w:t>
            </w:r>
          </w:p>
          <w:p>
            <w:pPr>
              <w:spacing w:after="0"/>
            </w:pPr>
            <w:r>
              <w:t>Cliente HTTP → Controller/DTO → Service transacional → Entidade/agregado → Repository → PostgreSQL. Respostas e erros retornam contratos próprios, sem expor entidades JPA diretamente.</w:t>
            </w:r>
          </w:p>
        </w:tc>
      </w:tr>
    </w:tbl>
    <w:p>
      <w:pPr>
        <w:spacing w:after="20"/>
      </w:pPr>
    </w:p>
    <w:p>
      <w:pPr>
        <w:pStyle w:val="Heading2"/>
      </w:pPr>
      <w:r>
        <w:t>3.2 Módulos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87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Pacote</w:t>
            </w:r>
          </w:p>
        </w:tc>
        <w:tc>
          <w:tcPr>
            <w:tcW w:type="dxa" w:w="3969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458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Camadas principais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auth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Login, JWT, usuários e roles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api / application / domain / infra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cliente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Cadastro e validação de documento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api / application / domain / infra / validation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veiculo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Veículo, vínculo com cliente e placa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api / application / domain / infra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catalogoservicos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Serviços, preço e tempo estimado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api / application / domain / infra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estoque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Peças e movimentações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api / application / domain / infrastructure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ordemservico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Core Domain: OS, itens, orçamento e histórico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api / application / domain / infra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publico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Credencial por OS, consulta e decisão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api / application / domain / infra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relatorios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Indicador de tempo médio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api / application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shared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Erros, configuração e validações comuns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config / exception / validation</w:t>
            </w:r>
          </w:p>
        </w:tc>
      </w:tr>
    </w:tbl>
    <w:p>
      <w:pPr>
        <w:spacing w:after="20"/>
      </w:pPr>
    </w:p>
    <w:p>
      <w:pPr>
        <w:pStyle w:val="Heading2"/>
      </w:pPr>
      <w:r>
        <w:t>3.3 Decisão de banco de dados</w:t>
      </w:r>
    </w:p>
    <w:p>
      <w:r>
        <w:t>PostgreSQL foi escolhido por oferecer transações ACID, constraints, locks de linha e consultas relacionais adequadas ao fluxo. OS, itens, versões de orçamento, histórico e movimentações possuem relações fortes; consistência é mais importante que escalabilidade independente no MVP. Flyway mantém evolução reprodutível do schema. A aprovação carrega a OS e bloqueia as peças em ordem determinística, reduzindo risco de corrida e deadlock.</w:t>
      </w:r>
    </w:p>
    <w:p>
      <w:pPr>
        <w:pStyle w:val="Heading2"/>
      </w:pPr>
      <w:r>
        <w:t>3.4 Tecnologias e justificativas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835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6463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Papel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Java 21 / Spring Boot 4.1.1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Base da API e injeção de dependências.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Spring Web MVC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Controllers REST, validação de entrada e serialização JSON.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Spring Data JPA / Hibernate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Mapeamento relacional, repositories e locking.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Spring Security / JJWT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Autenticação stateless, BCrypt e JWT HS256.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PostgreSQL / Flyway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Persistência transacional e migrations versionadas.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springdoc OpenAPI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Swagger UI e contrato navegável.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Docker / Compose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Ambiente reprodutível para API e banco.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JUnit / Mockito / Testcontainers / JaCoCo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Testes isolados, integração real e cobertura mínima.</w:t>
            </w:r>
          </w:p>
        </w:tc>
      </w:tr>
    </w:tbl>
    <w:p>
      <w:pPr>
        <w:spacing w:after="20"/>
      </w:pPr>
    </w:p>
    <w:p>
      <w:pPr>
        <w:pStyle w:val="Heading1"/>
      </w:pPr>
      <w:r>
        <w:t>4. Domain-Driven Design</w:t>
      </w:r>
    </w:p>
    <w:p>
      <w:pPr>
        <w:pStyle w:val="Heading2"/>
      </w:pPr>
      <w:r>
        <w:t>4.1 Estratégia e Bounded Contexts</w:t>
      </w:r>
    </w:p>
    <w:p>
      <w:r>
        <w:t>O domínio central é a evolução da Ordem de Serviço. Cadastros, estoque, identidade e relatórios dão suporte. No monólito, limites são módulos de código e linguagem, não serviços distribuídos.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70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1134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170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Raiz/centro</w:t>
            </w:r>
          </w:p>
        </w:tc>
        <w:tc>
          <w:tcPr>
            <w:tcW w:type="dxa" w:w="1928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Elementos</w:t>
            </w:r>
          </w:p>
        </w:tc>
        <w:tc>
          <w:tcPr>
            <w:tcW w:type="dxa" w:w="2835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Ordens de Serviço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Core Domain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OrdemServico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Orcamento, itens e histórico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Coordena diagnóstico, orçamento, decisão, execução e entrega.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Clientes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Apoio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Cliente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TipoPessoa; CPF/CNPJ validado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Mantém responsável pelo atendimento e estado ativo.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Veículos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Apoio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Veiculo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Placa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Vincula veículo ao cliente e normaliza placa.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Catálogo de Serviços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Apoio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Servico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valor e tempo estimado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Fonte dos serviços e preços adicionados à OS.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Estoque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Apoio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Peca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MovimentacaoEstoque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Controla saldo, mínimo e trilha de entradas/saídas.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Acesso Público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Apoio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AcessoPublicoOrdemServico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token opaco e validade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Consulta e decisão do cliente sem expor JWT administrativo.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Identidade e Acesso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Genérico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Usuario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Role e JWT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Autentica equipe e aplica autorização por perfil.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Relatórios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Apoio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Consulta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TempoMedioExecucaoResponse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Calcula média entre EM_EXECUCAO e FINALIZADA.</w:t>
            </w:r>
          </w:p>
        </w:tc>
      </w:tr>
    </w:tbl>
    <w:p>
      <w:pPr>
        <w:spacing w:after="20"/>
      </w:pPr>
    </w:p>
    <w:p>
      <w:pPr>
        <w:pStyle w:val="Heading3"/>
      </w:pPr>
      <w:r>
        <w:t>Relações do Context Map</w:t>
      </w:r>
    </w:p>
    <w:p>
      <w:pPr>
        <w:pStyle w:val="ListBullet"/>
        <w:spacing w:after="60"/>
        <w:ind w:left="369" w:hanging="142"/>
      </w:pPr>
      <w:r>
        <w:t>Clientes → Veículos: cliente é fornecedor da identidade usada no vínculo do veículo.</w:t>
      </w:r>
    </w:p>
    <w:p>
      <w:pPr>
        <w:pStyle w:val="ListBullet"/>
        <w:spacing w:after="60"/>
        <w:ind w:left="369" w:hanging="142"/>
      </w:pPr>
      <w:r>
        <w:t>Clientes e Veículos → OS: a aplicação valida existência, atividade e pertencimento antes de abrir atendimento.</w:t>
      </w:r>
    </w:p>
    <w:p>
      <w:pPr>
        <w:pStyle w:val="ListBullet"/>
        <w:spacing w:after="60"/>
        <w:ind w:left="369" w:hanging="142"/>
      </w:pPr>
      <w:r>
        <w:t>Catálogo e Estoque → OS: nomes e preços são copiados para itens, preservando o orçamento histórico.</w:t>
      </w:r>
    </w:p>
    <w:p>
      <w:pPr>
        <w:pStyle w:val="ListBullet"/>
        <w:spacing w:after="60"/>
        <w:ind w:left="369" w:hanging="142"/>
      </w:pPr>
      <w:r>
        <w:t>OS → Estoque: aprovação aciona baixa síncrona e transacional; estoque impede saldo negativo.</w:t>
      </w:r>
    </w:p>
    <w:p>
      <w:pPr>
        <w:pStyle w:val="ListBullet"/>
        <w:spacing w:after="60"/>
        <w:ind w:left="369" w:hanging="142"/>
      </w:pPr>
      <w:r>
        <w:t>OS → Acesso Público: token limita consulta e decisão a uma OS específica.</w:t>
      </w:r>
    </w:p>
    <w:p>
      <w:pPr>
        <w:pStyle w:val="ListBullet"/>
        <w:spacing w:after="60"/>
        <w:ind w:left="369" w:hanging="142"/>
      </w:pPr>
      <w:r>
        <w:t>Identidade e Acesso é transversal às rotas administrativas; Relatórios lê histórico produzido pela OS.</w:t>
      </w:r>
    </w:p>
    <w:p>
      <w:pPr>
        <w:pStyle w:val="Heading2"/>
      </w:pPr>
      <w:r>
        <w:t>4.2 Modelo tático e relação com o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70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082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Implementação</w:t>
            </w:r>
          </w:p>
        </w:tc>
        <w:tc>
          <w:tcPr>
            <w:tcW w:type="dxa" w:w="3515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Regra principal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Agregado OS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OrdemServico (raiz); Orcamento; ItemServicoOrdem; ItemPecaOrdem; HistoricoStatusOrdemServico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Mantém transições, versões de orçamento, composição e histórico consistentes.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Agregado Estoque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Peca (raiz); MovimentacaoEstoque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Impede saldo negativo e registra origem manual ou automática.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Entidades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Cliente, Veiculo, Servico, Usuario, AcessoPublicoOrdemServico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Possuem identidade e ciclo de vida persistido.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Objeto de valor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Placa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Normaliza formato antigo/Mercosul e rejeita placa inválida.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Conceitos enumerados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StatusOrdemServico, StatusOrcamento, TipoPessoa, Role, TipoMovimentacao, Origem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Vocabulário fechado usado por regras e persistência.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Repositórios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Interfaces Spring Data por módulo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Abstraem persistência; consultas com lock protegem decisão/estoque concorrente.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Serviços de aplicação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*Service em cada contexto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Orquestram repositórios, transações e chamadas aos agregados.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B8831B"/>
              <w:left w:val="single" w:sz="10" w:color="B8831B"/>
              <w:bottom w:val="single" w:sz="10" w:color="B8831B"/>
              <w:right w:val="single" w:sz="10" w:color="B8831B"/>
              <w:insideH w:val="single" w:sz="10" w:color="B8831B"/>
              <w:insideV w:val="single" w:sz="10" w:color="B8831B"/>
            </w:tcBorders>
          </w:tcPr>
          <w:p>
            <w:pPr>
              <w:spacing w:after="60"/>
            </w:pPr>
            <w:r>
              <w:rPr>
                <w:b/>
                <w:color w:val="B8831B"/>
              </w:rPr>
              <w:t>Nota de fidelidade</w:t>
            </w:r>
          </w:p>
          <w:p>
            <w:pPr>
              <w:spacing w:after="0"/>
            </w:pPr>
            <w:r>
              <w:t>Os eventos abaixo descrevem fatos de negócio usados no Event Storming. Na implementação atual, a maioria aparece como mudança de estado/histórico dentro da transação, não como classes publicadas em barramento. A baixa de estoque também é síncrona no serviço de consulta pública.</w:t>
            </w:r>
          </w:p>
        </w:tc>
      </w:tr>
    </w:tbl>
    <w:p>
      <w:pPr>
        <w:spacing w:after="20"/>
      </w:pPr>
    </w:p>
    <w:p>
      <w:pPr>
        <w:pStyle w:val="Heading2"/>
      </w:pPr>
      <w:r>
        <w:t>4.3 Linguagem Ubíqua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835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Termo</w:t>
            </w:r>
          </w:p>
        </w:tc>
        <w:tc>
          <w:tcPr>
            <w:tcW w:type="dxa" w:w="6463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Definição adotada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Ordem de Serviço (OS)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Atendimento de um veículo, do recebimento à entrega.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Diagnóstico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Etapa em que serviços e peças necessários são identificados.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Orçamento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Versão calculada com subtotais de serviços e peças, submetida ao cliente.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Acesso público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Credencial opaca, temporária e vinculada a uma única OS.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Baixa automática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Saída de estoque feita na mesma transação da aprovação do orçamento.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Histórico de status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Registro imutável das transições e respectivos instantes.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Peça/insumo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Material consumível controlado por saldo e estoque mínimo.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Tempo médio de execução</w:t>
            </w:r>
          </w:p>
        </w:tc>
        <w:tc>
          <w:tcPr>
            <w:tcW w:type="dxa" w:w="64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Média entre entrada em EM_EXECUCAO e entrada em FINALIZADA.</w:t>
            </w:r>
          </w:p>
        </w:tc>
      </w:tr>
    </w:tbl>
    <w:p>
      <w:pPr>
        <w:spacing w:after="20"/>
      </w:pPr>
    </w:p>
    <w:p>
      <w:pPr>
        <w:pStyle w:val="Heading2"/>
      </w:pPr>
      <w:r>
        <w:t>4.4 Event Storming consolidado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1587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Fluxo</w:t>
            </w:r>
          </w:p>
        </w:tc>
        <w:tc>
          <w:tcPr>
            <w:tcW w:type="dxa" w:w="1417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Atores</w:t>
            </w:r>
          </w:p>
        </w:tc>
        <w:tc>
          <w:tcPr>
            <w:tcW w:type="dxa" w:w="2438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Comandos</w:t>
            </w:r>
          </w:p>
        </w:tc>
        <w:tc>
          <w:tcPr>
            <w:tcW w:type="dxa" w:w="2438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Eventos/fatos</w:t>
            </w:r>
          </w:p>
        </w:tc>
        <w:tc>
          <w:tcPr>
            <w:tcW w:type="dxa" w:w="255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Políticas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Criação e orçamento da OS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Atendente / mecânico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Cadastrar cliente e veículo; abrir OS; iniciar diagnóstico; incluir serviço/peça; calcular e enviar orçamento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ClienteIdentificado; VeiculoCadastrado; OrdemServicoCriada; DiagnosticoIniciado; OrcamentoCalculado; OrcamentoEnviado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Veículo deve pertencer ao cliente; itens só entram em diagnóstico; orçamento exige ao menos um item; somente versão atual pode ser enviada.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Acompanhamento e decisão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Cliente / atendente / mecânico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Emitir acesso; consultar status/orçamento; aprovar ou recusar; finalizar; entregar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AcessoPublicoEmitido; OrcamentoAprovado ou OrcamentoRecusado; StatusAlterado; OrdemFinalizada; VeiculoEntregue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Token deve estar válido e vinculado à OS; decisão é idempotente; transições seguem máquina de estados.</w:t>
            </w:r>
          </w:p>
        </w:tc>
      </w:tr>
      <w:t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Gestão de peças e insumos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Gestor / sistema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Cadastrar peça; registrar entrada/saída; aprovar orçamento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EstoqueMovimentado; EstoqueBaixado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Quantidade positiva; saldo não pode ficar negativo; aprovação bloqueia linhas para atualização e registra OS/orçamento na movimentação.</w:t>
            </w:r>
          </w:p>
        </w:tc>
      </w:tr>
    </w:tbl>
    <w:p>
      <w:pPr>
        <w:spacing w:after="20"/>
      </w:pPr>
    </w:p>
    <w:p>
      <w:pPr>
        <w:pStyle w:val="Heading1"/>
      </w:pPr>
      <w:r>
        <w:t>5. Fluxos e regras de negócio</w:t>
      </w:r>
    </w:p>
    <w:p>
      <w:pPr>
        <w:pStyle w:val="Heading2"/>
      </w:pPr>
      <w:r>
        <w:t>5.1 Fluxo principal da Ordem de Serviço</w:t>
      </w:r>
    </w:p>
    <w:p>
      <w:r>
        <w:t>1. Atendente autentica e recebe JWT.</w:t>
      </w:r>
    </w:p>
    <w:p>
      <w:r>
        <w:t>2. Cliente e veículo são cadastrados; veículo deve pertencer ao cliente.</w:t>
      </w:r>
    </w:p>
    <w:p>
      <w:r>
        <w:t>3. OS é aberta em RECEBIDA; acesso público pode ser emitido e entregue ao cliente.</w:t>
      </w:r>
    </w:p>
    <w:p>
      <w:r>
        <w:t>4. Mecânico inicia diagnóstico; OS passa a EM_DIAGNOSTICO.</w:t>
      </w:r>
    </w:p>
    <w:p>
      <w:r>
        <w:t>5. Serviços e peças são incluídos com quantidade positiva e snapshot de preço.</w:t>
      </w:r>
    </w:p>
    <w:p>
      <w:r>
        <w:t>6. Sistema calcula versão do orçamento e soma subtotais com escala monetária de duas casas.</w:t>
      </w:r>
    </w:p>
    <w:p>
      <w:r>
        <w:t>7. Atendente envia apenas o orçamento atual; OS passa a AGUARDANDO_APROVACAO.</w:t>
      </w:r>
    </w:p>
    <w:p>
      <w:r>
        <w:t>8. Cliente consulta e aprova/recusa usando token opaco vinculado à OS.</w:t>
      </w:r>
    </w:p>
    <w:p>
      <w:r>
        <w:t>9. Na aprovação, peças são bloqueadas e debitadas; movimentações são registradas; OS passa a EM_EXECUCAO.</w:t>
      </w:r>
    </w:p>
    <w:p>
      <w:r>
        <w:t>10. Mecânico finaliza; atendente confirma entrega; histórico registra todas as mudanças.</w:t>
      </w:r>
    </w:p>
    <w:p>
      <w:pPr>
        <w:pStyle w:val="Heading2"/>
      </w:pPr>
      <w:r>
        <w:t>5.2 Máquina de estados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098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Origem</w:t>
            </w:r>
          </w:p>
        </w:tc>
        <w:tc>
          <w:tcPr>
            <w:tcW w:type="dxa" w:w="2268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Comando</w:t>
            </w:r>
          </w:p>
        </w:tc>
        <w:tc>
          <w:tcPr>
            <w:tcW w:type="dxa" w:w="238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Destino</w:t>
            </w:r>
          </w:p>
        </w:tc>
        <w:tc>
          <w:tcPr>
            <w:tcW w:type="dxa" w:w="255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Proteção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—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Abrir OS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RECEBIDA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Cliente/veículo válidos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RECEBIDA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Iniciar diagnóstico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EM_DIAGNOSTICO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Perfil gestor ou mecânico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EM_DIAGNOSTICO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Enviar orçamento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AGUARDANDO_APROVACAO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Orçamento atual calculado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AGUARDANDO_APROVACAO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Aprovar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EM_EXECUCAO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Token válido + estoque suficiente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AGUARDANDO_APROVACAO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Recusar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ORCAMENTO_RECUSADO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Motivo obrigatório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EM_EXECUCAO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Finalizar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FINALIZADA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Perfil gestor ou mecânico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FINALIZADA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Entregar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ENTREGUE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Perfil gestor ou atendente</w:t>
            </w:r>
          </w:p>
        </w:tc>
      </w:tr>
    </w:tbl>
    <w:p>
      <w:pPr>
        <w:spacing w:after="20"/>
      </w:pPr>
    </w:p>
    <w:p>
      <w:pPr>
        <w:pStyle w:val="Heading2"/>
      </w:pPr>
      <w:r>
        <w:t>5.3 Invariantes observadas no código</w:t>
      </w:r>
    </w:p>
    <w:p>
      <w:pPr>
        <w:pStyle w:val="ListBullet"/>
        <w:spacing w:after="60"/>
        <w:ind w:left="369" w:hanging="142"/>
      </w:pPr>
      <w:r>
        <w:t>Não duplicar o mesmo serviço ou peça na OS.</w:t>
      </w:r>
    </w:p>
    <w:p>
      <w:pPr>
        <w:pStyle w:val="ListBullet"/>
        <w:spacing w:after="60"/>
        <w:ind w:left="369" w:hanging="142"/>
      </w:pPr>
      <w:r>
        <w:t>Não calcular orçamento vazio nem enviar versão antiga.</w:t>
      </w:r>
    </w:p>
    <w:p>
      <w:pPr>
        <w:pStyle w:val="ListBullet"/>
        <w:spacing w:after="60"/>
        <w:ind w:left="369" w:hanging="142"/>
      </w:pPr>
      <w:r>
        <w:t>Itens só são adicionados durante diagnóstico; transições incompatíveis retornam conflito.</w:t>
      </w:r>
    </w:p>
    <w:p>
      <w:pPr>
        <w:pStyle w:val="ListBullet"/>
        <w:spacing w:after="60"/>
        <w:ind w:left="369" w:hanging="142"/>
      </w:pPr>
      <w:r>
        <w:t>Recusa exige motivo; aprovação repetida é idempotente e decisão oposta gera conflito.</w:t>
      </w:r>
    </w:p>
    <w:p>
      <w:pPr>
        <w:pStyle w:val="ListBullet"/>
        <w:spacing w:after="60"/>
        <w:ind w:left="369" w:hanging="142"/>
      </w:pPr>
      <w:r>
        <w:t>Peça inativa ou saldo insuficiente impede aprovação; transação desfaz decisão e movimentações.</w:t>
      </w:r>
    </w:p>
    <w:p>
      <w:pPr>
        <w:pStyle w:val="ListBullet"/>
        <w:spacing w:after="60"/>
        <w:ind w:left="369" w:hanging="142"/>
      </w:pPr>
      <w:r>
        <w:t>Token público expira, pode ser revogado, é exibido somente na emissão e armazenado como SHA-256.</w:t>
      </w:r>
    </w:p>
    <w:p>
      <w:pPr>
        <w:pStyle w:val="ListBullet"/>
        <w:spacing w:after="60"/>
        <w:ind w:left="369" w:hanging="142"/>
      </w:pPr>
      <w:r>
        <w:t>@Version na OS e locks pessimistas no fluxo crítico ajudam a tratar concorrência.</w:t>
      </w:r>
    </w:p>
    <w:p>
      <w:pPr>
        <w:pStyle w:val="Heading1"/>
      </w:pPr>
      <w:r>
        <w:t>6. APIs e segurança</w:t>
      </w:r>
    </w:p>
    <w:p>
      <w:pPr>
        <w:pStyle w:val="Heading2"/>
      </w:pPr>
      <w:r>
        <w:t>6.1 Catálogo de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1417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762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Rotas</w:t>
            </w:r>
          </w:p>
        </w:tc>
        <w:tc>
          <w:tcPr>
            <w:tcW w:type="dxa" w:w="1247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Acesso</w:t>
            </w:r>
          </w:p>
        </w:tc>
        <w:tc>
          <w:tcPr>
            <w:tcW w:type="dxa" w:w="2268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Autenticação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POST /auth/login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Público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Valida credenciais e emite JWT.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Clientes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POST /clientes; GET /clientes; GET /clientes/{id}; PUT /clientes/{id}; PATCH /clientes/{id}/inativar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JWT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Cadastro, busca, atualização e inativação.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Veículos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POST /veiculos; GET /veiculos; GET /veiculos/{id}; PATCH /veiculos/{id}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JWT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Cadastro vinculado ao cliente, consulta e atualização/inativação.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Serviços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POST /servicos; GET /servicos; GET /servicos/{id}; PUT /servicos/{id}; PATCH /servicos/{id}/inativar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JWT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Catálogo de serviços.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Peças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POST /pecas; GET /pecas; GET /pecas/{id}; PUT /pecas/{id}; PATCH /pecas/{id}/estoque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JWT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Cadastro, filtros e movimentação manual.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OS — fluxo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POST /ordens-servico; POST /{id}/diagnosticos; POST /{id}/itens-servico; POST /{id}/itens-peca; POST /{id}/orcamentos; POST /{id}/orcamentos/{orcamentoId}/envios; POST /{id}/finalizacoes; POST /{id}/entregas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JWT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Fluxo administrativo e transições.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OS — consultas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GET /ordens-servico; GET /ordens-servico/{id}; GET /ordens-servico/{id}/historico-status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JWT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Lista paginada com filtros, detalhe e histórico.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Acesso da OS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POST /ordens-servico/{ordemId}/acessos-publicos; DELETE /ordens-servico/{ordemId}/acessos-publicos/{acessoId}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JWT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Emite token uma vez e permite revogação.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Cliente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GET /publico/ordens-servico/{numeroOs}/status; GET /publico/ordens-servico/{numeroOs}/orcamentos/{orcamentoId}; POST /publico/ordens-servico/{numeroOs}/orcamentos/{orcamentoId}/decisoes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Token da OS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Consulta e decisão do orçamento.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Relatórios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GET /relatorios/tempo-medio-execucao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JWT/GESTOR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7"/>
              </w:rPr>
              <w:t>Média do tempo de execução.</w:t>
            </w:r>
          </w:p>
        </w:tc>
      </w:tr>
    </w:tbl>
    <w:p>
      <w:pPr>
        <w:spacing w:after="20"/>
      </w:pPr>
    </w:p>
    <w:p>
      <w:pPr>
        <w:pStyle w:val="Heading2"/>
      </w:pPr>
      <w:r>
        <w:t>6.2 Autenticação e autorização</w:t>
      </w:r>
    </w:p>
    <w:p>
      <w:pPr>
        <w:pStyle w:val="ListBullet"/>
        <w:spacing w:after="60"/>
        <w:ind w:left="369" w:hanging="142"/>
      </w:pPr>
      <w:r>
        <w:t>Sessão stateless; CSRF desabilitado para API; filtro JWT executa antes do filtro de usuário/senha.</w:t>
      </w:r>
    </w:p>
    <w:p>
      <w:pPr>
        <w:pStyle w:val="ListBullet"/>
        <w:spacing w:after="60"/>
        <w:ind w:left="369" w:hanging="142"/>
      </w:pPr>
      <w:r>
        <w:t>Somente /auth/login, /publico/** e documentação OpenAPI são liberados sem JWT administrativo.</w:t>
      </w:r>
    </w:p>
    <w:p>
      <w:pPr>
        <w:pStyle w:val="ListBullet"/>
        <w:spacing w:after="60"/>
        <w:ind w:left="369" w:hanging="142"/>
      </w:pPr>
      <w:r>
        <w:t>Perfis GESTOR, ATENDENTE e MECANICO são aplicados com @PreAuthorize nos casos de uso.</w:t>
      </w:r>
    </w:p>
    <w:p>
      <w:pPr>
        <w:pStyle w:val="ListBullet"/>
        <w:spacing w:after="60"/>
        <w:ind w:left="369" w:hanging="142"/>
      </w:pPr>
      <w:r>
        <w:t>Senhas persistidas com BCrypt; segredo e expiração JWT vêm de variáveis de ambiente.</w:t>
      </w:r>
    </w:p>
    <w:p>
      <w:pPr>
        <w:pStyle w:val="ListBullet"/>
        <w:spacing w:after="60"/>
        <w:ind w:left="369" w:hanging="142"/>
      </w:pPr>
      <w:r>
        <w:t>Token público usa 32 bytes aleatórios, Base64 URL-safe, validade configurável e revogação explícita.</w:t>
      </w:r>
    </w:p>
    <w:p>
      <w:pPr>
        <w:pStyle w:val="ListBullet"/>
        <w:spacing w:after="60"/>
        <w:ind w:left="369" w:hanging="142"/>
      </w:pPr>
      <w:r>
        <w:t>Erros centralizados evitam respostas inconsistentes; DTOs validam campos e IDs positivos.</w:t>
      </w:r>
    </w:p>
    <w:p>
      <w:pPr>
        <w:pStyle w:val="Heading2"/>
      </w:pPr>
      <w:r>
        <w:t>6.3 Validações sensíveis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2268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Dado</w:t>
            </w:r>
          </w:p>
        </w:tc>
        <w:tc>
          <w:tcPr>
            <w:tcW w:type="dxa" w:w="7030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Tratamento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CPF/CNPJ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Remove pontuação, rejeita sequências repetidas e valida dígitos verificadores para 11/14 dígitos.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Placa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Converte para maiúsculas, remove espaços/hífen e aceita padrão antigo ou Mercosul.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Valores/quantidades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BigDecimal para moeda; quantidades positivas; saldo insuficiente gera regra de negócio.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Vínculos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Veículo ativo precisa pertencer ao cliente ativo informado na abertura da OS.</w:t>
            </w:r>
          </w:p>
        </w:tc>
      </w:tr>
    </w:tbl>
    <w:p>
      <w:pPr>
        <w:spacing w:after="20"/>
      </w:pPr>
    </w:p>
    <w:p>
      <w:pPr>
        <w:pStyle w:val="Heading1"/>
      </w:pPr>
      <w:r>
        <w:t>7. Persistência e transações</w:t>
      </w:r>
    </w:p>
    <w:p>
      <w:r>
        <w:t>O schema é criado por quatro migrations. Tabelas principais: usuarios, clientes, veiculos, servicos, pecas, movimentacoes_estoque, ordens_servico, itens_servico_ordem, itens_peca_ordem, orcamentos, historico_status_os e acessos_publicos_os.</w:t>
      </w:r>
    </w:p>
    <w:p>
      <w:pPr>
        <w:pStyle w:val="Heading2"/>
      </w:pPr>
      <w:r>
        <w:t>Decisões de consistência</w:t>
      </w:r>
    </w:p>
    <w:p>
      <w:pPr>
        <w:pStyle w:val="ListBullet"/>
        <w:spacing w:after="60"/>
        <w:ind w:left="369" w:hanging="142"/>
      </w:pPr>
      <w:r>
        <w:t>Foreign keys e índices sustentam integridade e consultas por cliente, veículo, status e período.</w:t>
      </w:r>
    </w:p>
    <w:p>
      <w:pPr>
        <w:pStyle w:val="ListBullet"/>
        <w:spacing w:after="60"/>
        <w:ind w:left="369" w:hanging="142"/>
      </w:pPr>
      <w:r>
        <w:t>Versão do orçamento é única por OS; número público da OS e documento/placa normalizados são únicos.</w:t>
      </w:r>
    </w:p>
    <w:p>
      <w:pPr>
        <w:pStyle w:val="ListBullet"/>
        <w:spacing w:after="60"/>
        <w:ind w:left="369" w:hanging="142"/>
      </w:pPr>
      <w:r>
        <w:t>A decisão do cliente carrega a OS para atualização; peças são bloqueadas por IDs ordenados.</w:t>
      </w:r>
    </w:p>
    <w:p>
      <w:pPr>
        <w:pStyle w:val="ListBullet"/>
        <w:spacing w:after="60"/>
        <w:ind w:left="369" w:hanging="142"/>
      </w:pPr>
      <w:r>
        <w:t>Aprovação, baixa, movimentações e alteração para EM_EXECUCAO participam da mesma transação.</w:t>
      </w:r>
    </w:p>
    <w:p>
      <w:pPr>
        <w:pStyle w:val="ListBullet"/>
        <w:spacing w:after="60"/>
        <w:ind w:left="369" w:hanging="142"/>
      </w:pPr>
      <w:r>
        <w:t>Histórico é criado pelo agregado em toda transição; relatório deriva dos instantes persistidos.</w:t>
      </w:r>
    </w:p>
    <w:p>
      <w:pPr>
        <w:pStyle w:val="Heading2"/>
      </w:pPr>
      <w:r>
        <w:t>Migrations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134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3515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649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V1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V1__baseline.sql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Clientes, veículos, serviços, peças, movimentações e constraints iniciais.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V2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V2__perfis_acesso.sql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Papéis de acesso e ajustes de usuários.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V3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V3__ordens_servico.sql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OS, itens, orçamento e histórico.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V4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V4__acesso_publico_e_baixa_atomica.sql</w:t>
            </w:r>
          </w:p>
        </w:tc>
        <w:tc>
          <w:tcPr>
            <w:tcW w:type="dxa" w:w="46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Tokens públicos, locks/índices e rastreio da baixa automática.</w:t>
            </w:r>
          </w:p>
        </w:tc>
      </w:tr>
    </w:tbl>
    <w:p>
      <w:pPr>
        <w:spacing w:after="20"/>
      </w:pPr>
    </w:p>
    <w:p>
      <w:pPr>
        <w:pStyle w:val="Heading1"/>
      </w:pPr>
      <w:r>
        <w:t>8. Qualidade e evidências</w:t>
      </w:r>
    </w:p>
    <w:p>
      <w:pPr>
        <w:pStyle w:val="Heading2"/>
      </w:pPr>
      <w:r>
        <w:t>8.1 Resultado reproduzido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1F5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2E5D7B"/>
              <w:left w:val="single" w:sz="10" w:color="2E5D7B"/>
              <w:bottom w:val="single" w:sz="10" w:color="2E5D7B"/>
              <w:right w:val="single" w:sz="10" w:color="2E5D7B"/>
              <w:insideH w:val="single" w:sz="10" w:color="2E5D7B"/>
              <w:insideV w:val="single" w:sz="10" w:color="2E5D7B"/>
            </w:tcBorders>
          </w:tcPr>
          <w:p>
            <w:pPr>
              <w:spacing w:after="60"/>
            </w:pPr>
            <w:r>
              <w:rPr>
                <w:b/>
                <w:color w:val="2E5D7B"/>
              </w:rPr>
              <w:t>Build aprovado</w:t>
            </w:r>
          </w:p>
          <w:p>
            <w:pPr>
              <w:spacing w:after="0"/>
            </w:pPr>
            <w:r>
              <w:t>Comando executado: ./mvnw -q verify. Resultado: exit code 0; 179 testes; 0 falhas/erros; cobertura JaCoCo de linhas 717/811 = 88,41%. Integração executada contra PostgreSQL real provisionado por Testcontainers.</w:t>
            </w:r>
          </w:p>
        </w:tc>
      </w:tr>
    </w:tbl>
    <w:p>
      <w:pPr>
        <w:spacing w:after="20"/>
      </w:pPr>
    </w:p>
    <w:p>
      <w:pPr>
        <w:pStyle w:val="Heading2"/>
      </w:pPr>
      <w:r>
        <w:t>8.2 Estratégia de testes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170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515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Exemplos</w:t>
            </w:r>
          </w:p>
        </w:tc>
        <w:tc>
          <w:tcPr>
            <w:tcW w:type="dxa" w:w="4082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 que protege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Domínio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OrdemServicoTest, PecaTest, MovimentacaoEstoqueTest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Transições, orçamento, recusa, saldo e movimentações.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Aplicação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ClienteServiceTest, VeiculoServiceTest, OrdemServicoServiceTest, ServicoServiceTest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Orquestração, validações, filtros e erros.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API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ClienteControllerTest, ServicoControllerTest, AuthControllerTest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Contratos HTTP, validação e segurança.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Integração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ConsultaPublicaIntegracaoTest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Aprovação, baixa atômica, histórico, entrega e relatório com banco real.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Gate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JaCoCo check no phase verify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Build falha abaixo de 80% no escopo configurado.</w:t>
            </w:r>
          </w:p>
        </w:tc>
      </w:tr>
    </w:tbl>
    <w:p>
      <w:pPr>
        <w:spacing w:after="20"/>
      </w:pPr>
    </w:p>
    <w:p>
      <w:pPr>
        <w:pStyle w:val="Heading2"/>
      </w:pPr>
      <w:r>
        <w:t>8.3 Segurança de dependências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BEAE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</w:tcPr>
          <w:p>
            <w:pPr>
              <w:spacing w:after="60"/>
            </w:pPr>
            <w:r>
              <w:rPr>
                <w:b/>
                <w:color w:val="9B1C1C"/>
              </w:rPr>
              <w:t>Pendência de entrega</w:t>
            </w:r>
          </w:p>
          <w:p>
            <w:pPr>
              <w:spacing w:after="0"/>
            </w:pPr>
            <w:r>
              <w:t>O enunciado exige relatório ou resultado de análise de vulnerabilidades. Não foi encontrado artefato versionado. Antes do envio, executar ferramenta SCA (por exemplo OWASP Dependency-Check), revisar falsos positivos/risco, guardar relatório sob docs/security/ e referenciá-lo no README e neste PDF.</w:t>
            </w:r>
          </w:p>
        </w:tc>
      </w:tr>
    </w:tbl>
    <w:p>
      <w:pPr>
        <w:spacing w:after="20"/>
      </w:pPr>
    </w:p>
    <w:p>
      <w:pPr>
        <w:pStyle w:val="Heading1"/>
      </w:pPr>
      <w:r>
        <w:t>9. Execução e demonstração</w:t>
      </w:r>
    </w:p>
    <w:p>
      <w:pPr>
        <w:pStyle w:val="Heading2"/>
      </w:pPr>
      <w:r>
        <w:t>9.1 Pré-requisitos</w:t>
      </w:r>
    </w:p>
    <w:p>
      <w:pPr>
        <w:pStyle w:val="ListBullet"/>
        <w:spacing w:after="60"/>
        <w:ind w:left="369" w:hanging="142"/>
      </w:pPr>
      <w:r>
        <w:t>Docker e Docker Compose para execução completa.</w:t>
      </w:r>
    </w:p>
    <w:p>
      <w:pPr>
        <w:pStyle w:val="ListBullet"/>
        <w:spacing w:after="60"/>
        <w:ind w:left="369" w:hanging="142"/>
      </w:pPr>
      <w:r>
        <w:t>Alternativa local: Java 21 e Docker somente para PostgreSQL.</w:t>
      </w:r>
    </w:p>
    <w:p>
      <w:pPr>
        <w:pStyle w:val="ListBullet"/>
        <w:spacing w:after="60"/>
        <w:ind w:left="369" w:hanging="142"/>
      </w:pPr>
      <w:r>
        <w:t>Arquivo .env criado a partir de .env.example, sem versionar segredos.</w:t>
      </w:r>
    </w:p>
    <w:p>
      <w:pPr>
        <w:pStyle w:val="Heading2"/>
      </w:pPr>
      <w:r>
        <w:t>9.2 Execução</w:t>
      </w:r>
    </w:p>
    <w:p>
      <w:pPr>
        <w:ind w:left="340"/>
      </w:pPr>
      <w:r>
        <w:rPr>
          <w:rFonts w:ascii="Courier New" w:hAnsi="Courier New"/>
          <w:sz w:val="18"/>
        </w:rPr>
        <w:t>cp .env.example .env</w:t>
      </w:r>
    </w:p>
    <w:p>
      <w:pPr>
        <w:ind w:left="340"/>
      </w:pPr>
      <w:r>
        <w:rPr>
          <w:rFonts w:ascii="Courier New" w:hAnsi="Courier New"/>
          <w:sz w:val="18"/>
        </w:rPr>
        <w:t>docker compose up --build</w:t>
      </w:r>
    </w:p>
    <w:p>
      <w:pPr>
        <w:ind w:left="340"/>
      </w:pPr>
      <w:r>
        <w:rPr>
          <w:rFonts w:ascii="Courier New" w:hAnsi="Courier New"/>
          <w:sz w:val="18"/>
        </w:rPr>
        <w:t># API: http://localhost:8080</w:t>
      </w:r>
    </w:p>
    <w:p>
      <w:pPr>
        <w:ind w:left="340"/>
      </w:pPr>
      <w:r>
        <w:rPr>
          <w:rFonts w:ascii="Courier New" w:hAnsi="Courier New"/>
          <w:sz w:val="18"/>
        </w:rPr>
        <w:t># Swagger: http://localhost:8080/swagger-ui.html</w:t>
      </w:r>
    </w:p>
    <w:p>
      <w:pPr>
        <w:ind w:left="340"/>
      </w:pPr>
      <w:r>
        <w:rPr>
          <w:rFonts w:ascii="Courier New" w:hAnsi="Courier New"/>
          <w:sz w:val="18"/>
        </w:rPr>
        <w:t># Testes: ./mvnw verify</w:t>
      </w:r>
    </w:p>
    <w:p>
      <w:pPr>
        <w:pStyle w:val="Heading2"/>
      </w:pPr>
      <w:r>
        <w:t>9.3 Credenciais de demonstração</w:t>
      </w:r>
    </w:p>
    <w:p>
      <w:r>
        <w:t>O DataSeeder cria usuários de demonstração a partir de variáveis de ambiente. Não publicar senhas reais no repositório ou neste PDF; durante o vídeo, mostrar o procedimento de configuração e autenticação usando valores descartáveis.</w:t>
      </w:r>
    </w:p>
    <w:p>
      <w:pPr>
        <w:pStyle w:val="Heading1"/>
      </w:pPr>
      <w:r>
        <w:t>10. Links DDD, vídeo e checklist</w:t>
      </w:r>
    </w:p>
    <w:p>
      <w:pPr>
        <w:pStyle w:val="Heading2"/>
      </w:pPr>
      <w:r>
        <w:t>10.1 Quadros colaborativos</w:t>
      </w:r>
    </w:p>
    <w:p>
      <w:r>
        <w:rPr>
          <w:b/>
        </w:rPr>
        <w:t xml:space="preserve">Event Storming: </w:t>
      </w:r>
      <w:hyperlink r:id="rId11">
        <w:r>
          <w:rPr>
            <w:color w:val="2E5D7B"/>
            <w:u w:val="single"/>
          </w:rPr>
          <w:t>https://miro.com/welcomeonboard/cEpNN1pQTGxqSzJieDEwLzN3ZjRmNEZWM2xiOW00S0tZOVBJaUtwWVozZFZIbHQwY3ZhWGNGZE1sU0tVakJYTzV4U2w4L0F6T0x0bFdkdnFhVXMvUU9ac3Iwc1RHVEJITUtyOTRFWUp1bG9xT0RZeUs3bUxERS9jWHlzdzBCTWtNakdSWkpBejJWRjJhRnhhb1UwcS9BPT0hdjE=?share_link_id=89439599795</w:t>
        </w:r>
      </w:hyperlink>
    </w:p>
    <w:p>
      <w:r>
        <w:rPr>
          <w:b/>
        </w:rPr>
        <w:t xml:space="preserve">Bounded Contexts: </w:t>
      </w:r>
      <w:hyperlink r:id="rId12">
        <w:r>
          <w:rPr>
            <w:color w:val="2E5D7B"/>
            <w:u w:val="single"/>
          </w:rPr>
          <w:t>https://miro.com/welcomeonboard/Y0pVSFJzV2NaUHhGSjExaks2S2FEelptVHFBQ0lXMFQrbmVBSGF2SWVuWkVXditBV2o4U0F3dHVyT0hndVlRWXdHRHVHMFdMOG12cXpoZEZDeHVmMDZmblptTUx0VHBtRml6bGd6bjNnbE8xS2EyaWFaY3UrZnhUNzJFRjk4M0JhWWluRVAxeXRuUUgwWDl3Mk1qRGVRPT0hdjE=?share_link_id=835649372749</w:t>
        </w:r>
      </w:hyperlink>
    </w:p>
    <w:p>
      <w:r>
        <w:rPr>
          <w:b/>
        </w:rPr>
        <w:t xml:space="preserve">Domain Storytelling: </w:t>
      </w:r>
      <w:hyperlink r:id="rId13">
        <w:r>
          <w:rPr>
            <w:color w:val="2E5D7B"/>
            <w:u w:val="single"/>
          </w:rPr>
          <w:t>https://miro.com/welcomeonboard/dU1scWJkWVFXUitoU1lWVlNua3B5bk9qWldGOGJyelg4ZUdYMWNyR2lLb1NXTGEybHlYTmpFZVhkaFdxcWFtcGN4cmN2VjFLNVFoenZQblJGVEQyTzZmblptTUx0VHBtRml6bGd6bjNnbE1QT1QyOUQ1V05ISE5LTWJoaThjTWZ0R2lncW1vRmFBVnlLcVJzTmdFdlNRPT0hdjE=?share_link_id=454382467708</w:t>
        </w:r>
      </w:hyperlink>
    </w:p>
    <w:p>
      <w:r>
        <w:rPr>
          <w:b/>
        </w:rPr>
        <w:t xml:space="preserve">Tactical Design: </w:t>
      </w:r>
      <w:hyperlink r:id="rId14">
        <w:r>
          <w:rPr>
            <w:color w:val="2E5D7B"/>
            <w:u w:val="single"/>
          </w:rPr>
          <w:t>https://miro.com/welcomeonboard/SWpmRTdqWk1takdKaFNEaFB6dEZONTM5VHMrdUVwMSs3cGJpcHNYaFVHVitURW5rbmRuWWxueTR3UzJPaTYxRUl4ZVlKWDdEVSs3dFB6WS92N3FkSGFmblptTUx0VHBtRml6bGd6bjNnbE96WkQ0Mk1maDJTNURNSmFPd2svTkRBd044SHFHaVlWYWk0d3NxeHNmeG9BPT0hdjE=?share_link_id=267198620746</w:t>
        </w:r>
      </w:hyperlink>
    </w:p>
    <w:p>
      <w:pPr>
        <w:pStyle w:val="Heading2"/>
      </w:pPr>
      <w:r>
        <w:t>Artefatos locais</w:t>
      </w:r>
    </w:p>
    <w:p>
      <w:pPr>
        <w:pStyle w:val="ListBullet"/>
        <w:spacing w:after="60"/>
        <w:ind w:left="369" w:hanging="142"/>
      </w:pPr>
      <w:r>
        <w:t>docs/ddd-oficina-mecanica.excalidraw — atores, subdomínios, context map e eventos.</w:t>
      </w:r>
    </w:p>
    <w:p>
      <w:pPr>
        <w:pStyle w:val="ListBullet"/>
        <w:spacing w:after="60"/>
        <w:ind w:left="369" w:hanging="142"/>
      </w:pPr>
      <w:r>
        <w:t>docs/fluxo-negocio-as-is-to-be.excalidraw — processo manual e fluxo automatizado.</w:t>
      </w:r>
    </w:p>
    <w:p>
      <w:pPr>
        <w:pStyle w:val="ListBullet"/>
        <w:spacing w:after="60"/>
        <w:ind w:left="369" w:hanging="142"/>
      </w:pPr>
      <w:r>
        <w:t>docs/fluxo-tecnico-historias.excalidraw — épicos, histórias e dependências.</w:t>
      </w:r>
    </w:p>
    <w:p>
      <w:pPr>
        <w:pStyle w:val="ListBullet"/>
        <w:spacing w:after="60"/>
        <w:ind w:left="369" w:hanging="142"/>
      </w:pPr>
      <w:r>
        <w:t>docs/Fluxo-api-mapeamento.md — guia técnico; revisar trechos antigos antes da entrega.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4CC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B8831B"/>
              <w:left w:val="single" w:sz="10" w:color="B8831B"/>
              <w:bottom w:val="single" w:sz="10" w:color="B8831B"/>
              <w:right w:val="single" w:sz="10" w:color="B8831B"/>
              <w:insideH w:val="single" w:sz="10" w:color="B8831B"/>
              <w:insideV w:val="single" w:sz="10" w:color="B8831B"/>
            </w:tcBorders>
          </w:tcPr>
          <w:p>
            <w:pPr>
              <w:spacing w:after="60"/>
            </w:pPr>
            <w:r>
              <w:rPr>
                <w:b/>
                <w:color w:val="B8831B"/>
              </w:rPr>
              <w:t>Acesso para correção</w:t>
            </w:r>
          </w:p>
          <w:p>
            <w:pPr>
              <w:spacing w:after="0"/>
            </w:pPr>
            <w:r>
              <w:t>Abrir cada link Miro em janela anônima. Exportar os quadros para PDF/PNG e versionar em docs/ddd/, porque o enunciado exige cópia no repositório além do link externo.</w:t>
            </w:r>
          </w:p>
        </w:tc>
      </w:tr>
    </w:tbl>
    <w:p>
      <w:pPr>
        <w:spacing w:after="20"/>
      </w:pPr>
    </w:p>
    <w:p>
      <w:pPr>
        <w:pStyle w:val="Heading2"/>
      </w:pPr>
      <w:r>
        <w:t>10.2 Vídeo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BEAEA"/>
            <w:tcMar>
              <w:top w:w="140" w:type="dxa"/>
              <w:start w:w="180" w:type="dxa"/>
              <w:bottom w:w="140" w:type="dxa"/>
              <w:end w:w="180" w:type="dxa"/>
            </w:tcMar>
            <w:tcBorders>
              <w:top w:val="single" w:sz="10" w:color="9B1C1C"/>
              <w:left w:val="single" w:sz="10" w:color="9B1C1C"/>
              <w:bottom w:val="single" w:sz="10" w:color="9B1C1C"/>
              <w:right w:val="single" w:sz="10" w:color="9B1C1C"/>
              <w:insideH w:val="single" w:sz="10" w:color="9B1C1C"/>
              <w:insideV w:val="single" w:sz="10" w:color="9B1C1C"/>
            </w:tcBorders>
          </w:tcPr>
          <w:p>
            <w:pPr>
              <w:spacing w:after="60"/>
            </w:pPr>
            <w:r>
              <w:rPr>
                <w:b/>
                <w:color w:val="9B1C1C"/>
              </w:rPr>
              <w:t>PENDENTE — URL do YouTube</w:t>
            </w:r>
          </w:p>
          <w:p>
            <w:pPr>
              <w:spacing w:after="0"/>
            </w:pPr>
            <w:r>
              <w:t>Inserir link completo e público do vídeo, com no máximo 15 minutos, correspondente ao commit informado: 02ce391039d5e3616c669e894c05a0fb864416da</w:t>
            </w:r>
          </w:p>
        </w:tc>
      </w:tr>
    </w:tbl>
    <w:p>
      <w:pPr>
        <w:spacing w:after="20"/>
      </w:pPr>
    </w:p>
    <w:p>
      <w:pPr>
        <w:pStyle w:val="Heading3"/>
      </w:pPr>
      <w:r>
        <w:t>Roteiro sugerido (até 15 min)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701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Tempo</w:t>
            </w:r>
          </w:p>
        </w:tc>
        <w:tc>
          <w:tcPr>
            <w:tcW w:type="dxa" w:w="7597"/>
            <w:shd w:fill="19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0:00–1:00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Equipe, problema, proposta e commit da entrega.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1:00–3:00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Arquitetura monolítica modular, camadas e PostgreSQL.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3:00–5:00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Event Storming, Bounded Contexts, agregados e linguagem ubíqua.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5:00–11:00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Swagger: login, cliente/veículo, OS, diagnóstico, itens, orçamento, acesso público, aprovação, estoque, finalização e entrega.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11:00–12:30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Consulta pública, histórico e relatório de tempo médio.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12:30–14:00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Testes, 88,41% de cobertura e integração Testcontainers.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14:00–15:00</w:t>
            </w:r>
          </w:p>
        </w:tc>
        <w:tc>
          <w:tcPr>
            <w:tcW w:type="dxa" w:w="75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E5E9ED"/>
              <w:left w:val="single" w:sz="6" w:color="E5E9ED"/>
              <w:bottom w:val="single" w:sz="6" w:color="E5E9ED"/>
              <w:right w:val="single" w:sz="6" w:color="E5E9ED"/>
              <w:insideH w:val="single" w:sz="6" w:color="E5E9ED"/>
              <w:insideV w:val="single" w:sz="6" w:color="E5E9ED"/>
            </w:tcBorders>
          </w:tcPr>
          <w:p>
            <w:pPr>
              <w:spacing w:after="30" w:line="252" w:lineRule="auto"/>
            </w:pPr>
            <w:r>
              <w:rPr>
                <w:rFonts w:ascii="Calibri" w:hAnsi="Calibri"/>
                <w:sz w:val="18"/>
              </w:rPr>
              <w:t>Docker, análise de vulnerabilidades e encerramento.</w:t>
            </w:r>
          </w:p>
        </w:tc>
      </w:tr>
    </w:tbl>
    <w:p>
      <w:pPr>
        <w:spacing w:after="20"/>
      </w:pPr>
    </w:p>
    <w:p>
      <w:pPr>
        <w:pStyle w:val="Heading2"/>
      </w:pPr>
      <w:r>
        <w:t>10.3 Checklist final</w:t>
      </w:r>
    </w:p>
    <w:p>
      <w:pPr>
        <w:pStyle w:val="ListBullet"/>
        <w:spacing w:after="60"/>
        <w:ind w:left="369" w:hanging="142"/>
      </w:pPr>
      <w:r>
        <w:t>[ ] Completar nome e RM de Kayleigh.</w:t>
      </w:r>
    </w:p>
    <w:p>
      <w:pPr>
        <w:pStyle w:val="ListBullet"/>
        <w:spacing w:after="60"/>
        <w:ind w:left="369" w:hanging="142"/>
      </w:pPr>
      <w:r>
        <w:t>[ ] Inserir vídeo público e testá-lo em janela anônima.</w:t>
      </w:r>
    </w:p>
    <w:p>
      <w:pPr>
        <w:pStyle w:val="ListBullet"/>
        <w:spacing w:after="60"/>
        <w:ind w:left="369" w:hanging="142"/>
      </w:pPr>
      <w:r>
        <w:t>[ ] Confirmar repositório público, branch principal protegida e commit final via PR.</w:t>
      </w:r>
    </w:p>
    <w:p>
      <w:pPr>
        <w:pStyle w:val="ListBullet"/>
        <w:spacing w:after="60"/>
        <w:ind w:left="369" w:hanging="142"/>
      </w:pPr>
      <w:r>
        <w:t>[ ] Exportar Miro para docs/ddd/ e testar links sem autenticação.</w:t>
      </w:r>
    </w:p>
    <w:p>
      <w:pPr>
        <w:pStyle w:val="ListBullet"/>
        <w:spacing w:after="60"/>
        <w:ind w:left="369" w:hanging="142"/>
      </w:pPr>
      <w:r>
        <w:t>[ ] Gerar/revisar relatório de vulnerabilidades e referenciá-lo no README.</w:t>
      </w:r>
    </w:p>
    <w:p>
      <w:pPr>
        <w:pStyle w:val="ListBullet"/>
        <w:spacing w:after="60"/>
        <w:ind w:left="369" w:hanging="142"/>
      </w:pPr>
      <w:r>
        <w:t>[ ] Atualizar README com arquitetura, banco, credenciais demo, DDD e vídeo.</w:t>
      </w:r>
    </w:p>
    <w:p>
      <w:pPr>
        <w:pStyle w:val="ListBullet"/>
        <w:spacing w:after="60"/>
        <w:ind w:left="369" w:hanging="142"/>
      </w:pPr>
      <w:r>
        <w:t>[ ] Remover documentos internos desatualizados ou corrigir afirmações incompatíveis com código.</w:t>
      </w:r>
    </w:p>
    <w:p>
      <w:pPr>
        <w:pStyle w:val="ListBullet"/>
        <w:spacing w:after="60"/>
        <w:ind w:left="369" w:hanging="142"/>
      </w:pPr>
      <w:r>
        <w:t>[ ] Rodar ./mvnw verify no commit final; guardar evidência da cobertura.</w:t>
      </w:r>
    </w:p>
    <w:p>
      <w:pPr>
        <w:pStyle w:val="ListBullet"/>
        <w:spacing w:after="60"/>
        <w:ind w:left="369" w:hanging="142"/>
      </w:pPr>
      <w:r>
        <w:t>[ ] Conferir que nenhum segredo, token ou .env real foi versionado.</w:t>
      </w:r>
    </w:p>
    <w:p>
      <w:pPr>
        <w:pStyle w:val="ListBullet"/>
        <w:spacing w:after="60"/>
        <w:ind w:left="369" w:hanging="142"/>
      </w:pPr>
      <w:r>
        <w:t>[ ] Exportar PDF final e abrir todos os hyperlinks antes de enviar.</w:t>
      </w:r>
    </w:p>
    <w:p>
      <w:pPr>
        <w:pStyle w:val="Heading1"/>
      </w:pPr>
      <w:r>
        <w:t>Referências</w:t>
      </w:r>
    </w:p>
    <w:p>
      <w:r>
        <w:t>Enunciado oficial da fase: docs/Fase 1 - Tech Challenge.pdf</w:t>
      </w:r>
    </w:p>
    <w:p>
      <w:r>
        <w:rPr>
          <w:b/>
        </w:rPr>
        <w:t xml:space="preserve">Domain-Driven Design: </w:t>
      </w:r>
      <w:hyperlink r:id="rId15">
        <w:r>
          <w:rPr>
            <w:color w:val="2E5D7B"/>
            <w:u w:val="single"/>
          </w:rPr>
          <w:t>https://martinfowler.com/bliki/DomainDrivenDesign.html</w:t>
        </w:r>
      </w:hyperlink>
    </w:p>
    <w:p>
      <w:r>
        <w:rPr>
          <w:b/>
        </w:rPr>
        <w:t xml:space="preserve">Bounded Context: </w:t>
      </w:r>
      <w:hyperlink r:id="rId16">
        <w:r>
          <w:rPr>
            <w:color w:val="2E5D7B"/>
            <w:u w:val="single"/>
          </w:rPr>
          <w:t>https://martinfowler.com/bliki/BoundedContext.html</w:t>
        </w:r>
      </w:hyperlink>
    </w:p>
    <w:p>
      <w:r>
        <w:rPr>
          <w:b/>
        </w:rPr>
        <w:t xml:space="preserve">Spring Security — JWT: </w:t>
      </w:r>
      <w:hyperlink r:id="rId17">
        <w:r>
          <w:rPr>
            <w:color w:val="2E5D7B"/>
            <w:u w:val="single"/>
          </w:rPr>
          <w:t>https://docs.spring.io/spring-security/reference/servlet/oauth2/resource-server/jwt.html</w:t>
        </w:r>
      </w:hyperlink>
    </w:p>
    <w:p>
      <w:r>
        <w:rPr>
          <w:b/>
        </w:rPr>
        <w:t xml:space="preserve">PostgreSQL — Transactions: </w:t>
      </w:r>
      <w:hyperlink r:id="rId18">
        <w:r>
          <w:rPr>
            <w:color w:val="2E5D7B"/>
            <w:u w:val="single"/>
          </w:rPr>
          <w:t>https://www.postgresql.org/docs/current/tutorial-transactions.html</w:t>
        </w:r>
      </w:hyperlink>
    </w:p>
    <w:p>
      <w:r>
        <w:rPr>
          <w:b/>
        </w:rPr>
        <w:t xml:space="preserve">OWASP Dependency-Check: </w:t>
      </w:r>
      <w:hyperlink r:id="rId19">
        <w:r>
          <w:rPr>
            <w:color w:val="2E5D7B"/>
            <w:u w:val="single"/>
          </w:rPr>
          <w:t>https://owasp.org/projects/dependency-check</w:t>
        </w:r>
      </w:hyperlink>
    </w:p>
    <w:p>
      <w:pPr>
        <w:pStyle w:val="Heading2"/>
      </w:pPr>
      <w:r>
        <w:t>Fontes primárias do projeto</w:t>
      </w:r>
    </w:p>
    <w:p>
      <w:pPr>
        <w:pStyle w:val="ListBullet"/>
        <w:spacing w:after="60"/>
        <w:ind w:left="369" w:hanging="142"/>
      </w:pPr>
      <w:r>
        <w:t>Código-fonte e testes no commit informado.</w:t>
      </w:r>
    </w:p>
    <w:p>
      <w:pPr>
        <w:pStyle w:val="ListBullet"/>
        <w:spacing w:after="60"/>
        <w:ind w:left="369" w:hanging="142"/>
      </w:pPr>
      <w:r>
        <w:t>README.md, pom.xml, application.yaml, Dockerfile e docker-compose.yml.</w:t>
      </w:r>
    </w:p>
    <w:p>
      <w:pPr>
        <w:pStyle w:val="ListBullet"/>
        <w:spacing w:after="60"/>
        <w:ind w:left="369" w:hanging="142"/>
      </w:pPr>
      <w:r>
        <w:t>Migrations V1–V4 e artefatos DDD do diretório docs/.</w:t>
      </w:r>
    </w:p>
    <w:p>
      <w:pPr>
        <w:pStyle w:val="ListBullet"/>
        <w:spacing w:after="60"/>
        <w:ind w:left="369" w:hanging="142"/>
      </w:pPr>
      <w:r>
        <w:t>Relatório JaCoCo gerado por ./mvnw verify em 20/10/2026.</w:t>
      </w:r>
    </w:p>
    <w:sectPr w:rsidR="00FC693F" w:rsidRPr="0006063C" w:rsidSect="00034616">
      <w:footerReference w:type="default" r:id="rId2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872"/>
        <w:sz w:val="16"/>
      </w:rPr>
      <w:t xml:space="preserve">OficinaTrack • Tech Challenge Fase 1 • Grupo 76  | 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9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9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9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5E68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ayleighszs/oficinatrack" TargetMode="External"/><Relationship Id="rId10" Type="http://schemas.openxmlformats.org/officeDocument/2006/relationships/hyperlink" Target="https://github.com/kayleighszs/oficinatrack/tree/02ce391039d5e3616c669e894c05a0fb864416da" TargetMode="External"/><Relationship Id="rId11" Type="http://schemas.openxmlformats.org/officeDocument/2006/relationships/hyperlink" Target="https://miro.com/welcomeonboard/cEpNN1pQTGxqSzJieDEwLzN3ZjRmNEZWM2xiOW00S0tZOVBJaUtwWVozZFZIbHQwY3ZhWGNGZE1sU0tVakJYTzV4U2w4L0F6T0x0bFdkdnFhVXMvUU9ac3Iwc1RHVEJITUtyOTRFWUp1bG9xT0RZeUs3bUxERS9jWHlzdzBCTWtNakdSWkpBejJWRjJhRnhhb1UwcS9BPT0hdjE=?share_link_id=89439599795" TargetMode="External"/><Relationship Id="rId12" Type="http://schemas.openxmlformats.org/officeDocument/2006/relationships/hyperlink" Target="https://miro.com/welcomeonboard/Y0pVSFJzV2NaUHhGSjExaks2S2FEelptVHFBQ0lXMFQrbmVBSGF2SWVuWkVXditBV2o4U0F3dHVyT0hndVlRWXdHRHVHMFdMOG12cXpoZEZDeHVmMDZmblptTUx0VHBtRml6bGd6bjNnbE8xS2EyaWFaY3UrZnhUNzJFRjk4M0JhWWluRVAxeXRuUUgwWDl3Mk1qRGVRPT0hdjE=?share_link_id=835649372749" TargetMode="External"/><Relationship Id="rId13" Type="http://schemas.openxmlformats.org/officeDocument/2006/relationships/hyperlink" Target="https://miro.com/welcomeonboard/dU1scWJkWVFXUitoU1lWVlNua3B5bk9qWldGOGJyelg4ZUdYMWNyR2lLb1NXTGEybHlYTmpFZVhkaFdxcWFtcGN4cmN2VjFLNVFoenZQblJGVEQyTzZmblptTUx0VHBtRml6bGd6bjNnbE1QT1QyOUQ1V05ISE5LTWJoaThjTWZ0R2lncW1vRmFBVnlLcVJzTmdFdlNRPT0hdjE=?share_link_id=454382467708" TargetMode="External"/><Relationship Id="rId14" Type="http://schemas.openxmlformats.org/officeDocument/2006/relationships/hyperlink" Target="https://miro.com/welcomeonboard/SWpmRTdqWk1takdKaFNEaFB6dEZONTM5VHMrdUVwMSs3cGJpcHNYaFVHVitURW5rbmRuWWxueTR3UzJPaTYxRUl4ZVlKWDdEVSs3dFB6WS92N3FkSGFmblptTUx0VHBtRml6bGd6bjNnbE96WkQ0Mk1maDJTNURNSmFPd2svTkRBd044SHFHaVlWYWk0d3NxeHNmeG9BPT0hdjE=?share_link_id=267198620746" TargetMode="External"/><Relationship Id="rId15" Type="http://schemas.openxmlformats.org/officeDocument/2006/relationships/hyperlink" Target="https://martinfowler.com/bliki/DomainDrivenDesign.html" TargetMode="External"/><Relationship Id="rId16" Type="http://schemas.openxmlformats.org/officeDocument/2006/relationships/hyperlink" Target="https://martinfowler.com/bliki/BoundedContext.html" TargetMode="External"/><Relationship Id="rId17" Type="http://schemas.openxmlformats.org/officeDocument/2006/relationships/hyperlink" Target="https://docs.spring.io/spring-security/reference/servlet/oauth2/resource-server/jwt.html" TargetMode="External"/><Relationship Id="rId18" Type="http://schemas.openxmlformats.org/officeDocument/2006/relationships/hyperlink" Target="https://www.postgresql.org/docs/current/tutorial-transactions.html" TargetMode="External"/><Relationship Id="rId19" Type="http://schemas.openxmlformats.org/officeDocument/2006/relationships/hyperlink" Target="https://owasp.org/projects/dependency-check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Challenge — Fase 1 — OficinaTrack — Grupo 76</dc:title>
  <dc:subject>Documentação de entrega do MVP de backend</dc:subject>
  <dc:creator>Grupo 76</dc:creator>
  <cp:keywords>FIAP, SOAT, DDD, Java, Spring Boot, OficinaTrack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