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71F" w:rsidRDefault="00B4271F">
      <w:r>
        <w:t xml:space="preserve">ВВЕДЕНИЕ </w:t>
      </w:r>
    </w:p>
    <w:p w:rsidR="000A1C36" w:rsidRDefault="00B4271F">
      <w:r>
        <w:t>Настоящее руководство по эксплуатации предназначено для изучения</w:t>
      </w:r>
      <w:r>
        <w:t xml:space="preserve"> технических характеристик щита управления лабораторным вытяжным шкафом</w:t>
      </w:r>
      <w:r>
        <w:t>. В руководстве представлена информация, необходимая для полнофункционального использования шкафа с учётом всех его технических возможностей. Руководство содержит разделы технического описания, указания по монтажу, эксплуатации и техническому обслуживанию, требования безопасности и гарантии изготовителя.</w:t>
      </w:r>
    </w:p>
    <w:p w:rsidR="00B4271F" w:rsidRDefault="00B4271F"/>
    <w:p w:rsidR="00B4271F" w:rsidRDefault="00B4271F" w:rsidP="00B4271F">
      <w:pPr>
        <w:pStyle w:val="a3"/>
        <w:numPr>
          <w:ilvl w:val="0"/>
          <w:numId w:val="1"/>
        </w:numPr>
      </w:pPr>
      <w:r>
        <w:t xml:space="preserve">НАЗНАЧЕНИЕ </w:t>
      </w:r>
    </w:p>
    <w:p w:rsidR="00B4271F" w:rsidRDefault="00B4271F" w:rsidP="00B4271F">
      <w:pPr>
        <w:ind w:left="360"/>
      </w:pPr>
      <w:r>
        <w:t>Щит управления лабораторным вытяжным шкафом (в дальнейшем по тексту – щит</w:t>
      </w:r>
      <w:r>
        <w:t>) предназначе</w:t>
      </w:r>
      <w:r>
        <w:t>н для непрерывной</w:t>
      </w:r>
      <w:r>
        <w:t xml:space="preserve"> работы в качестве устро</w:t>
      </w:r>
      <w:r>
        <w:t>йства управления активным оборудованием вытяжного шкафа. Управление приводами</w:t>
      </w:r>
      <w:r>
        <w:t xml:space="preserve"> производится п</w:t>
      </w:r>
      <w:r>
        <w:t>о сигналам от кнопок и датчика. Щит</w:t>
      </w:r>
      <w:r>
        <w:t xml:space="preserve"> устанавливается</w:t>
      </w:r>
      <w:r>
        <w:t xml:space="preserve"> непосредственно на вытяжной шкаф</w:t>
      </w:r>
      <w:r>
        <w:t>. Устройства автоматики и коммутации, размещенные в шкафу, обеспечивают защиту от перегрузок и токов коротких замыканий. Шкаф предназначен для размещения только в закрытом помещении и не предназначен для размещения во взрывоопасных зонах, а также в условиях воздействия агрессивных веществ и пыли.</w:t>
      </w:r>
    </w:p>
    <w:p w:rsidR="00B4271F" w:rsidRDefault="00B4271F" w:rsidP="00B4271F">
      <w:pPr>
        <w:ind w:left="360"/>
      </w:pPr>
    </w:p>
    <w:p w:rsidR="00B4271F" w:rsidRDefault="00B4271F" w:rsidP="00B4271F">
      <w:pPr>
        <w:pStyle w:val="a3"/>
        <w:numPr>
          <w:ilvl w:val="0"/>
          <w:numId w:val="1"/>
        </w:numPr>
      </w:pPr>
      <w:r>
        <w:t xml:space="preserve">ТЕХНИЧЕСКИЕ ХАРАКТЕРИСТИКИ </w:t>
      </w:r>
    </w:p>
    <w:p w:rsidR="00B4271F" w:rsidRDefault="00B4271F" w:rsidP="00B4271F">
      <w:pPr>
        <w:ind w:left="360"/>
      </w:pPr>
      <w:r>
        <w:t>Общие сведения Основные технические характеристики шкафа приведены в Таблице 1</w:t>
      </w:r>
    </w:p>
    <w:p w:rsidR="00B4271F" w:rsidRDefault="00B4271F" w:rsidP="00B4271F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2246"/>
        <w:gridCol w:w="2247"/>
      </w:tblGrid>
      <w:tr w:rsidR="00B4271F" w:rsidTr="00051A1F">
        <w:tc>
          <w:tcPr>
            <w:tcW w:w="4492" w:type="dxa"/>
          </w:tcPr>
          <w:p w:rsidR="00B4271F" w:rsidRDefault="00B4271F" w:rsidP="00B4271F">
            <w:r>
              <w:t>Наименование параметра</w:t>
            </w:r>
          </w:p>
        </w:tc>
        <w:tc>
          <w:tcPr>
            <w:tcW w:w="2246" w:type="dxa"/>
          </w:tcPr>
          <w:p w:rsidR="00B4271F" w:rsidRDefault="00B4271F" w:rsidP="00B4271F">
            <w:proofErr w:type="spellStart"/>
            <w:r>
              <w:t>Ед.измерения</w:t>
            </w:r>
            <w:proofErr w:type="spellEnd"/>
          </w:p>
        </w:tc>
        <w:tc>
          <w:tcPr>
            <w:tcW w:w="2247" w:type="dxa"/>
          </w:tcPr>
          <w:p w:rsidR="00B4271F" w:rsidRDefault="00B4271F" w:rsidP="00B4271F">
            <w:r>
              <w:t>Значения</w:t>
            </w:r>
          </w:p>
        </w:tc>
      </w:tr>
      <w:tr w:rsidR="00B4271F" w:rsidTr="00100753">
        <w:tc>
          <w:tcPr>
            <w:tcW w:w="4492" w:type="dxa"/>
          </w:tcPr>
          <w:p w:rsidR="00B4271F" w:rsidRDefault="00B4271F" w:rsidP="00B4271F">
            <w:r>
              <w:t>Количество источников электропитания (вводных линий)</w:t>
            </w:r>
          </w:p>
        </w:tc>
        <w:tc>
          <w:tcPr>
            <w:tcW w:w="4493" w:type="dxa"/>
            <w:gridSpan w:val="2"/>
          </w:tcPr>
          <w:p w:rsidR="00B4271F" w:rsidRDefault="00B4271F" w:rsidP="00B4271F">
            <w:r>
              <w:t>1</w:t>
            </w:r>
          </w:p>
        </w:tc>
      </w:tr>
      <w:tr w:rsidR="00B4271F" w:rsidTr="00B4271F">
        <w:tc>
          <w:tcPr>
            <w:tcW w:w="4492" w:type="dxa"/>
          </w:tcPr>
          <w:p w:rsidR="00B4271F" w:rsidRDefault="00B4271F" w:rsidP="00B4271F">
            <w:r>
              <w:t>Количество управляемых электроприводов</w:t>
            </w:r>
          </w:p>
        </w:tc>
        <w:tc>
          <w:tcPr>
            <w:tcW w:w="4493" w:type="dxa"/>
            <w:gridSpan w:val="2"/>
          </w:tcPr>
          <w:p w:rsidR="00B4271F" w:rsidRDefault="00B4271F" w:rsidP="00B4271F">
            <w:r>
              <w:t>3</w:t>
            </w:r>
          </w:p>
        </w:tc>
      </w:tr>
      <w:tr w:rsidR="00B4271F" w:rsidTr="00AE221F">
        <w:tc>
          <w:tcPr>
            <w:tcW w:w="4492" w:type="dxa"/>
          </w:tcPr>
          <w:p w:rsidR="00B4271F" w:rsidRDefault="00B4271F" w:rsidP="00B4271F">
            <w:r>
              <w:t>Номинальное напряжение электропитания</w:t>
            </w:r>
          </w:p>
        </w:tc>
        <w:tc>
          <w:tcPr>
            <w:tcW w:w="2246" w:type="dxa"/>
          </w:tcPr>
          <w:p w:rsidR="00B4271F" w:rsidRDefault="00B4271F" w:rsidP="00B4271F">
            <w:r>
              <w:t>В</w:t>
            </w:r>
          </w:p>
        </w:tc>
        <w:tc>
          <w:tcPr>
            <w:tcW w:w="2247" w:type="dxa"/>
          </w:tcPr>
          <w:p w:rsidR="00B4271F" w:rsidRDefault="00B4271F" w:rsidP="00B4271F">
            <w:r>
              <w:t>380</w:t>
            </w:r>
          </w:p>
        </w:tc>
      </w:tr>
      <w:tr w:rsidR="00B4271F" w:rsidTr="006313E8">
        <w:tc>
          <w:tcPr>
            <w:tcW w:w="4492" w:type="dxa"/>
          </w:tcPr>
          <w:p w:rsidR="00B4271F" w:rsidRDefault="00B4271F" w:rsidP="00B4271F">
            <w:r>
              <w:t>Допустимое отклонение напряжения электропитания</w:t>
            </w:r>
          </w:p>
        </w:tc>
        <w:tc>
          <w:tcPr>
            <w:tcW w:w="2246" w:type="dxa"/>
          </w:tcPr>
          <w:p w:rsidR="00B4271F" w:rsidRDefault="00B4271F" w:rsidP="00B4271F">
            <w:r>
              <w:t>%</w:t>
            </w:r>
          </w:p>
        </w:tc>
        <w:tc>
          <w:tcPr>
            <w:tcW w:w="2247" w:type="dxa"/>
          </w:tcPr>
          <w:p w:rsidR="00B4271F" w:rsidRDefault="00B4271F" w:rsidP="00B4271F">
            <w:r>
              <w:t>+15 / -15</w:t>
            </w:r>
          </w:p>
        </w:tc>
      </w:tr>
      <w:tr w:rsidR="00B4271F" w:rsidTr="005E092D">
        <w:tc>
          <w:tcPr>
            <w:tcW w:w="4492" w:type="dxa"/>
          </w:tcPr>
          <w:p w:rsidR="00B4271F" w:rsidRDefault="00B4271F" w:rsidP="00B4271F">
            <w:r>
              <w:t>Номинальная частота сети</w:t>
            </w:r>
          </w:p>
        </w:tc>
        <w:tc>
          <w:tcPr>
            <w:tcW w:w="2246" w:type="dxa"/>
          </w:tcPr>
          <w:p w:rsidR="00B4271F" w:rsidRDefault="00B4271F" w:rsidP="00B4271F">
            <w:r>
              <w:t>Гц</w:t>
            </w:r>
          </w:p>
        </w:tc>
        <w:tc>
          <w:tcPr>
            <w:tcW w:w="2247" w:type="dxa"/>
          </w:tcPr>
          <w:p w:rsidR="00B4271F" w:rsidRDefault="00B4271F" w:rsidP="00B4271F">
            <w:r>
              <w:t>50±1</w:t>
            </w:r>
          </w:p>
        </w:tc>
      </w:tr>
      <w:tr w:rsidR="00B4271F" w:rsidTr="007A6130">
        <w:tc>
          <w:tcPr>
            <w:tcW w:w="4492" w:type="dxa"/>
          </w:tcPr>
          <w:p w:rsidR="00B4271F" w:rsidRDefault="00B4271F" w:rsidP="00B4271F">
            <w:r>
              <w:t>Номинальный ток</w:t>
            </w:r>
          </w:p>
        </w:tc>
        <w:tc>
          <w:tcPr>
            <w:tcW w:w="2246" w:type="dxa"/>
          </w:tcPr>
          <w:p w:rsidR="00B4271F" w:rsidRDefault="00B4271F" w:rsidP="00B4271F">
            <w:r>
              <w:t>А</w:t>
            </w:r>
          </w:p>
        </w:tc>
        <w:tc>
          <w:tcPr>
            <w:tcW w:w="2247" w:type="dxa"/>
          </w:tcPr>
          <w:p w:rsidR="00B4271F" w:rsidRDefault="00890CFF" w:rsidP="00B4271F">
            <w:r>
              <w:t>8,5</w:t>
            </w:r>
          </w:p>
        </w:tc>
      </w:tr>
      <w:tr w:rsidR="00B4271F" w:rsidTr="00B4271F">
        <w:tc>
          <w:tcPr>
            <w:tcW w:w="4492" w:type="dxa"/>
          </w:tcPr>
          <w:p w:rsidR="00B4271F" w:rsidRDefault="00890CFF" w:rsidP="00B4271F">
            <w:r>
              <w:t>Тип</w:t>
            </w:r>
            <w:r>
              <w:t>ы электродвигателя приводов</w:t>
            </w:r>
          </w:p>
        </w:tc>
        <w:tc>
          <w:tcPr>
            <w:tcW w:w="4493" w:type="dxa"/>
            <w:gridSpan w:val="2"/>
          </w:tcPr>
          <w:p w:rsidR="00B4271F" w:rsidRDefault="00890CFF" w:rsidP="00890CFF">
            <w:r>
              <w:t>Трехфазный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t>Автоматический контроль исправности линии связи с электродвигателем на обрыв</w:t>
            </w:r>
          </w:p>
        </w:tc>
        <w:tc>
          <w:tcPr>
            <w:tcW w:w="4493" w:type="dxa"/>
            <w:gridSpan w:val="2"/>
          </w:tcPr>
          <w:p w:rsidR="00890CFF" w:rsidRDefault="00890CFF" w:rsidP="00B4271F">
            <w:r>
              <w:t>по ГОСТ Р 53325-2012</w:t>
            </w:r>
          </w:p>
        </w:tc>
      </w:tr>
      <w:tr w:rsidR="00890CFF" w:rsidTr="00183808">
        <w:tc>
          <w:tcPr>
            <w:tcW w:w="4492" w:type="dxa"/>
          </w:tcPr>
          <w:p w:rsidR="00890CFF" w:rsidRDefault="00890CFF" w:rsidP="00B4271F">
            <w:r>
              <w:t>Сопротивление изоляции между сетевыми выводами и винтом заземления, не менее</w:t>
            </w:r>
          </w:p>
        </w:tc>
        <w:tc>
          <w:tcPr>
            <w:tcW w:w="2246" w:type="dxa"/>
          </w:tcPr>
          <w:p w:rsidR="00890CFF" w:rsidRDefault="00890CFF" w:rsidP="00B4271F">
            <w:r>
              <w:t>МОм</w:t>
            </w:r>
          </w:p>
        </w:tc>
        <w:tc>
          <w:tcPr>
            <w:tcW w:w="2247" w:type="dxa"/>
          </w:tcPr>
          <w:p w:rsidR="00890CFF" w:rsidRDefault="00890CFF" w:rsidP="00B4271F">
            <w:r>
              <w:t>20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t>Степень защиты оболочки от воздействия окружающей среды</w:t>
            </w:r>
          </w:p>
        </w:tc>
        <w:tc>
          <w:tcPr>
            <w:tcW w:w="4493" w:type="dxa"/>
            <w:gridSpan w:val="2"/>
          </w:tcPr>
          <w:p w:rsidR="00890CFF" w:rsidRPr="00890CFF" w:rsidRDefault="00890CFF" w:rsidP="00B4271F">
            <w:pPr>
              <w:rPr>
                <w:lang w:val="en-US"/>
              </w:rPr>
            </w:pPr>
            <w:r>
              <w:rPr>
                <w:lang w:val="en-US"/>
              </w:rPr>
              <w:t>IP54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t>Предельная температура рабочей окружающей среды</w:t>
            </w:r>
          </w:p>
        </w:tc>
        <w:tc>
          <w:tcPr>
            <w:tcW w:w="4493" w:type="dxa"/>
            <w:gridSpan w:val="2"/>
          </w:tcPr>
          <w:p w:rsidR="00890CFF" w:rsidRDefault="00890CFF" w:rsidP="00B4271F">
            <w:r>
              <w:t>от минус 10ºС до плюс 40ºС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t>Предельная относительная влажность окружающей среды</w:t>
            </w:r>
          </w:p>
        </w:tc>
        <w:tc>
          <w:tcPr>
            <w:tcW w:w="4493" w:type="dxa"/>
            <w:gridSpan w:val="2"/>
          </w:tcPr>
          <w:p w:rsidR="00890CFF" w:rsidRDefault="00890CFF" w:rsidP="00B4271F">
            <w:r>
              <w:t>98% (при плюс 25ºС)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t>Группа соответствия условиям транспортирования и хранения</w:t>
            </w:r>
          </w:p>
        </w:tc>
        <w:tc>
          <w:tcPr>
            <w:tcW w:w="4493" w:type="dxa"/>
            <w:gridSpan w:val="2"/>
          </w:tcPr>
          <w:p w:rsidR="00890CFF" w:rsidRPr="00890CFF" w:rsidRDefault="00890CFF" w:rsidP="00B427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t>Предельная температура хранения</w:t>
            </w:r>
          </w:p>
        </w:tc>
        <w:tc>
          <w:tcPr>
            <w:tcW w:w="4493" w:type="dxa"/>
            <w:gridSpan w:val="2"/>
          </w:tcPr>
          <w:p w:rsidR="00890CFF" w:rsidRDefault="00890CFF" w:rsidP="00B4271F">
            <w:r>
              <w:t>от минус 40ºС до плюс 50ºС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t>Предельная влажность окружающей среды при хранении</w:t>
            </w:r>
          </w:p>
        </w:tc>
        <w:tc>
          <w:tcPr>
            <w:tcW w:w="4493" w:type="dxa"/>
            <w:gridSpan w:val="2"/>
          </w:tcPr>
          <w:p w:rsidR="00890CFF" w:rsidRDefault="00890CFF" w:rsidP="00B4271F">
            <w:r>
              <w:t>98% (при плюс 25ºС)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lastRenderedPageBreak/>
              <w:t>Класс защиты человека от поражения электрическим током</w:t>
            </w:r>
          </w:p>
        </w:tc>
        <w:tc>
          <w:tcPr>
            <w:tcW w:w="4493" w:type="dxa"/>
            <w:gridSpan w:val="2"/>
          </w:tcPr>
          <w:p w:rsidR="00890CFF" w:rsidRDefault="00890CFF" w:rsidP="00B4271F">
            <w:r>
              <w:t>0I</w:t>
            </w:r>
          </w:p>
        </w:tc>
      </w:tr>
      <w:tr w:rsidR="00890CFF" w:rsidTr="00B4271F">
        <w:tc>
          <w:tcPr>
            <w:tcW w:w="4492" w:type="dxa"/>
          </w:tcPr>
          <w:p w:rsidR="00890CFF" w:rsidRDefault="00890CFF" w:rsidP="00B4271F">
            <w:r>
              <w:t xml:space="preserve">Степень жёсткости на </w:t>
            </w:r>
            <w:proofErr w:type="spellStart"/>
            <w:r>
              <w:t>помехоэмиссию</w:t>
            </w:r>
            <w:proofErr w:type="spellEnd"/>
            <w:r>
              <w:t xml:space="preserve"> и устойчивость к индустриальным радиопомехам по ГОСТ Р 53325-2009</w:t>
            </w:r>
          </w:p>
        </w:tc>
        <w:tc>
          <w:tcPr>
            <w:tcW w:w="4493" w:type="dxa"/>
            <w:gridSpan w:val="2"/>
          </w:tcPr>
          <w:p w:rsidR="00890CFF" w:rsidRDefault="00890CFF" w:rsidP="00B4271F">
            <w:r>
              <w:t>2</w:t>
            </w:r>
          </w:p>
        </w:tc>
      </w:tr>
      <w:tr w:rsidR="00890CFF" w:rsidTr="00753AE7">
        <w:tc>
          <w:tcPr>
            <w:tcW w:w="4492" w:type="dxa"/>
          </w:tcPr>
          <w:p w:rsidR="00890CFF" w:rsidRDefault="00890CFF" w:rsidP="00B4271F">
            <w:r>
              <w:t>Средняя наработка на отказ с учетом технического обслуживания</w:t>
            </w:r>
          </w:p>
        </w:tc>
        <w:tc>
          <w:tcPr>
            <w:tcW w:w="2246" w:type="dxa"/>
          </w:tcPr>
          <w:p w:rsidR="00890CFF" w:rsidRPr="00890CFF" w:rsidRDefault="00890CFF" w:rsidP="00B4271F">
            <w:r>
              <w:t>час</w:t>
            </w:r>
          </w:p>
        </w:tc>
        <w:tc>
          <w:tcPr>
            <w:tcW w:w="2247" w:type="dxa"/>
          </w:tcPr>
          <w:p w:rsidR="00890CFF" w:rsidRDefault="00890CFF" w:rsidP="00B4271F">
            <w:r>
              <w:t>30000</w:t>
            </w:r>
          </w:p>
        </w:tc>
      </w:tr>
      <w:tr w:rsidR="00890CFF" w:rsidTr="00B4271F">
        <w:tc>
          <w:tcPr>
            <w:tcW w:w="4492" w:type="dxa"/>
          </w:tcPr>
          <w:p w:rsidR="00890CFF" w:rsidRPr="00890CFF" w:rsidRDefault="00890CFF" w:rsidP="00B4271F">
            <w:pPr>
              <w:rPr>
                <w:lang w:val="en-US"/>
              </w:rPr>
            </w:pPr>
            <w:r>
              <w:t>Габаритные размеры, В х Ш х Г</w:t>
            </w:r>
            <w:bookmarkStart w:id="0" w:name="_GoBack"/>
            <w:bookmarkEnd w:id="0"/>
          </w:p>
        </w:tc>
        <w:tc>
          <w:tcPr>
            <w:tcW w:w="4493" w:type="dxa"/>
            <w:gridSpan w:val="2"/>
          </w:tcPr>
          <w:p w:rsidR="00890CFF" w:rsidRDefault="00890CFF" w:rsidP="00B4271F"/>
        </w:tc>
      </w:tr>
      <w:tr w:rsidR="00890CFF" w:rsidTr="00B4271F">
        <w:tc>
          <w:tcPr>
            <w:tcW w:w="4492" w:type="dxa"/>
          </w:tcPr>
          <w:p w:rsidR="00890CFF" w:rsidRDefault="00890CFF" w:rsidP="00B4271F"/>
        </w:tc>
        <w:tc>
          <w:tcPr>
            <w:tcW w:w="4493" w:type="dxa"/>
            <w:gridSpan w:val="2"/>
          </w:tcPr>
          <w:p w:rsidR="00890CFF" w:rsidRDefault="00890CFF" w:rsidP="00B4271F"/>
        </w:tc>
      </w:tr>
      <w:tr w:rsidR="00890CFF" w:rsidTr="00B4271F">
        <w:tc>
          <w:tcPr>
            <w:tcW w:w="4492" w:type="dxa"/>
          </w:tcPr>
          <w:p w:rsidR="00890CFF" w:rsidRDefault="00890CFF" w:rsidP="00B4271F"/>
        </w:tc>
        <w:tc>
          <w:tcPr>
            <w:tcW w:w="4493" w:type="dxa"/>
            <w:gridSpan w:val="2"/>
          </w:tcPr>
          <w:p w:rsidR="00890CFF" w:rsidRDefault="00890CFF" w:rsidP="00B4271F"/>
        </w:tc>
      </w:tr>
    </w:tbl>
    <w:p w:rsidR="00B4271F" w:rsidRDefault="00B4271F" w:rsidP="00B4271F">
      <w:pPr>
        <w:ind w:left="360"/>
      </w:pPr>
    </w:p>
    <w:sectPr w:rsidR="00B42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134C4"/>
    <w:multiLevelType w:val="hybridMultilevel"/>
    <w:tmpl w:val="494C6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1F"/>
    <w:rsid w:val="00597D69"/>
    <w:rsid w:val="00890CFF"/>
    <w:rsid w:val="00B4271F"/>
    <w:rsid w:val="00D4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9B4D"/>
  <w15:chartTrackingRefBased/>
  <w15:docId w15:val="{2E80CC38-021C-418D-A10E-F10ACC4A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71F"/>
    <w:pPr>
      <w:ind w:left="720"/>
      <w:contextualSpacing/>
    </w:pPr>
  </w:style>
  <w:style w:type="table" w:styleId="a4">
    <w:name w:val="Table Grid"/>
    <w:basedOn w:val="a1"/>
    <w:uiPriority w:val="39"/>
    <w:rsid w:val="00B42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2022-01-02T09:00:00Z</dcterms:created>
  <dcterms:modified xsi:type="dcterms:W3CDTF">2022-01-02T09:16:00Z</dcterms:modified>
</cp:coreProperties>
</file>