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panel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(headscan_fullmm)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126 138 126 138 152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FirstParagraph"/>
      </w:pPr>
      <w:r>
        <w:t xml:space="preserve">From Zhaung 2007: menton-nasal root depression length is face length, bizygomatic breath is face width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variate_panel_files/figure-docx/bivariate%20gende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variate_panel_files/figure-docx/bivariate%20age%20group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variate_panel_files/figure-docx/bivariate%20race/eth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dcterms:created xsi:type="dcterms:W3CDTF">2022-08-16T17:40:51Z</dcterms:created>
  <dcterms:modified xsi:type="dcterms:W3CDTF">2022-08-16T17:40:51Z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