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9E78" w14:textId="2D46662D" w:rsidR="0080651F" w:rsidRDefault="0080651F" w:rsidP="005477BE">
      <w:pPr>
        <w:ind w:left="-270"/>
        <w:jc w:val="center"/>
        <w:rPr>
          <w:rFonts w:cstheme="minorHAnsi"/>
        </w:rPr>
      </w:pPr>
      <w:r>
        <w:rPr>
          <w:rFonts w:cstheme="minorHAnsi"/>
        </w:rPr>
        <w:t>MINUTES OF THE MEETING</w:t>
      </w:r>
    </w:p>
    <w:p w14:paraId="13899E79" w14:textId="77777777" w:rsidR="0080651F" w:rsidRDefault="0080651F" w:rsidP="00055D92">
      <w:pPr>
        <w:jc w:val="center"/>
        <w:rPr>
          <w:rFonts w:cstheme="minorHAnsi"/>
        </w:rPr>
      </w:pPr>
      <w:r>
        <w:rPr>
          <w:rFonts w:cstheme="minorHAnsi"/>
        </w:rPr>
        <w:t xml:space="preserve">OF THE </w:t>
      </w:r>
      <w:r w:rsidR="009D0D14">
        <w:rPr>
          <w:rFonts w:cstheme="minorHAnsi"/>
        </w:rPr>
        <w:t>Q2</w:t>
      </w:r>
      <w:r>
        <w:rPr>
          <w:rFonts w:cstheme="minorHAnsi"/>
        </w:rPr>
        <w:t xml:space="preserve"> 401K INVESTMENT PLAN COMMITTEE</w:t>
      </w:r>
    </w:p>
    <w:p w14:paraId="204B1F86" w14:textId="77777777" w:rsidR="009D226A" w:rsidRDefault="009D226A" w:rsidP="001375C4">
      <w:pPr>
        <w:pStyle w:val="BodyText"/>
        <w:jc w:val="center"/>
      </w:pPr>
      <w:r>
        <w:t>March 10, 2026</w:t>
      </w:r>
    </w:p>
    <w:p w14:paraId="6AB55C26" w14:textId="2B608C09" w:rsidR="006A7856" w:rsidRDefault="005477BE" w:rsidP="004F61DB">
      <w:pPr>
        <w:autoSpaceDE w:val="0"/>
        <w:autoSpaceDN w:val="0"/>
        <w:adjustRightInd w:val="0"/>
        <w:spacing w:after="0" w:line="240" w:lineRule="auto"/>
        <w:ind w:left="-360" w:firstLine="270"/>
        <w:jc w:val="both"/>
        <w:rPr>
          <w:rFonts w:cstheme="minorHAnsi"/>
        </w:rPr>
      </w:pPr>
      <w:r w:rsidRPr="005477BE">
        <w:rPr>
          <w:rFonts w:cstheme="minorHAnsi"/>
        </w:rPr>
        <w:t>The meeting of the Q2 Holdings, Inc. 401(k) Investment Plan Committee (the “Committee”) was held virtually at 10:00 a.m. (Central) on September 22, 2025. Present at the meeting were Committee members Scott Kerr (Chair), Jonathan Price, Keri Wright, John Breeden, Michael Quincey, and Kim Rutledge. Also in attendance by invitation were Melanie Jones and Kristen Reilly (Recording Secretary) of Q2, and Sunit Patel, Paige Larson, Drew Whitney, and Jonathan Taporco of Alliant Retirement Consulting, the Retirement Plan Advisor to the Committee. There were no absences.</w:t>
      </w:r>
    </w:p>
    <w:p w14:paraId="19FBA9A4" w14:textId="77777777" w:rsidR="005674F5" w:rsidRDefault="005674F5" w:rsidP="004F61DB">
      <w:pPr>
        <w:autoSpaceDE w:val="0"/>
        <w:autoSpaceDN w:val="0"/>
        <w:adjustRightInd w:val="0"/>
        <w:spacing w:after="0" w:line="240" w:lineRule="auto"/>
        <w:ind w:left="-360" w:firstLine="270"/>
        <w:jc w:val="both"/>
        <w:rPr>
          <w:rFonts w:cstheme="minorHAnsi"/>
        </w:rPr>
      </w:pPr>
    </w:p>
    <w:p w14:paraId="52661454" w14:textId="77777777" w:rsidR="005477BE" w:rsidRPr="009F39CB" w:rsidRDefault="005477BE" w:rsidP="004F61DB">
      <w:pPr>
        <w:autoSpaceDE w:val="0"/>
        <w:autoSpaceDN w:val="0"/>
        <w:adjustRightInd w:val="0"/>
        <w:spacing w:after="0" w:line="240" w:lineRule="auto"/>
        <w:ind w:left="-360" w:firstLine="270"/>
        <w:jc w:val="both"/>
        <w:rPr>
          <w:rFonts w:cstheme="minorHAnsi"/>
          <w:bCs/>
          <w:sz w:val="8"/>
          <w:szCs w:val="8"/>
        </w:rPr>
      </w:pPr>
    </w:p>
    <w:p w14:paraId="13899E81" w14:textId="2FE3C78E" w:rsidR="0080651F" w:rsidRPr="001D0024" w:rsidRDefault="00B76092" w:rsidP="001D0024">
      <w:pPr>
        <w:pStyle w:val="ListParagraph"/>
        <w:numPr>
          <w:ilvl w:val="0"/>
          <w:numId w:val="1"/>
        </w:numPr>
        <w:spacing w:after="240"/>
        <w:jc w:val="both"/>
        <w:rPr>
          <w:rFonts w:cstheme="minorHAnsi"/>
          <w:b/>
          <w:u w:val="single"/>
        </w:rPr>
      </w:pPr>
      <w:r w:rsidRPr="00EA5ADD">
        <w:rPr>
          <w:rFonts w:cstheme="minorHAnsi"/>
          <w:b/>
          <w:u w:val="single"/>
        </w:rPr>
        <w:t xml:space="preserve">Approval of Minutes </w:t>
      </w:r>
    </w:p>
    <w:p w14:paraId="4F3ACC7F" w14:textId="07AA3AAB" w:rsidR="005477BE" w:rsidRDefault="001375C4" w:rsidP="005477BE">
      <w:pPr>
        <w:autoSpaceDE w:val="0"/>
        <w:autoSpaceDN w:val="0"/>
        <w:adjustRightInd w:val="0"/>
        <w:spacing w:after="0" w:line="240" w:lineRule="auto"/>
        <w:ind w:left="-90"/>
        <w:jc w:val="both"/>
        <w:rPr>
          <w:rFonts w:cstheme="minorHAnsi"/>
        </w:rPr>
      </w:pPr>
      <w:r w:rsidRPr="001375C4">
        <w:rPr>
          <w:rFonts w:cstheme="minorHAnsi"/>
        </w:rPr>
        <w:t>The Committee reviewed the minutes from the prior Committee meeting, which were attached to the agenda. Upon a motion duly made by Kim Rutledge and seconded by Keri Wright, the Committee unanimously approved the prior meeting minutes, and the minutes will be entered into the official Plan records.</w:t>
      </w:r>
    </w:p>
    <w:p w14:paraId="5E0A0F6B" w14:textId="77777777" w:rsidR="0058156C" w:rsidRDefault="0058156C" w:rsidP="005477BE">
      <w:pPr>
        <w:autoSpaceDE w:val="0"/>
        <w:autoSpaceDN w:val="0"/>
        <w:adjustRightInd w:val="0"/>
        <w:spacing w:after="0" w:line="240" w:lineRule="auto"/>
        <w:ind w:left="-90"/>
        <w:jc w:val="both"/>
        <w:rPr>
          <w:rFonts w:cstheme="minorHAnsi"/>
        </w:rPr>
      </w:pPr>
    </w:p>
    <w:p w14:paraId="2AF78E8A" w14:textId="77777777" w:rsidR="0058156C" w:rsidRPr="00EB03D6" w:rsidRDefault="0058156C" w:rsidP="0058156C">
      <w:pPr>
        <w:pStyle w:val="ListParagraph"/>
        <w:numPr>
          <w:ilvl w:val="0"/>
          <w:numId w:val="1"/>
        </w:numPr>
        <w:spacing w:after="240"/>
        <w:jc w:val="both"/>
      </w:pPr>
      <w:r w:rsidRPr="005477BE">
        <w:rPr>
          <w:rFonts w:cstheme="minorHAnsi"/>
          <w:b/>
          <w:u w:val="single"/>
        </w:rPr>
        <w:t>Marke</w:t>
      </w:r>
      <w:r>
        <w:rPr>
          <w:rFonts w:cstheme="minorHAnsi"/>
          <w:b/>
          <w:u w:val="single"/>
        </w:rPr>
        <w:t>t and I</w:t>
      </w:r>
      <w:r w:rsidRPr="005477BE">
        <w:rPr>
          <w:rFonts w:cstheme="minorHAnsi"/>
          <w:b/>
          <w:u w:val="single"/>
        </w:rPr>
        <w:t>nvestment Review</w:t>
      </w:r>
    </w:p>
    <w:p w14:paraId="2245B277" w14:textId="77777777" w:rsidR="00A931D5" w:rsidRDefault="00A931D5" w:rsidP="00A931D5">
      <w:pPr>
        <w:autoSpaceDE w:val="0"/>
        <w:autoSpaceDN w:val="0"/>
        <w:adjustRightInd w:val="0"/>
        <w:spacing w:after="0" w:line="240" w:lineRule="auto"/>
        <w:ind w:left="-90"/>
        <w:jc w:val="both"/>
      </w:pPr>
      <w:r>
        <w:t>Jonathan Taporco of Alliant provided a review of fourth quarter 2025 market conditions and the Plan’s investment lineup.</w:t>
      </w:r>
    </w:p>
    <w:p w14:paraId="34A3E3E2" w14:textId="77777777" w:rsidR="00A931D5" w:rsidRDefault="00A931D5" w:rsidP="00A931D5">
      <w:pPr>
        <w:autoSpaceDE w:val="0"/>
        <w:autoSpaceDN w:val="0"/>
        <w:adjustRightInd w:val="0"/>
        <w:spacing w:after="0" w:line="240" w:lineRule="auto"/>
        <w:ind w:left="-90"/>
        <w:jc w:val="both"/>
      </w:pPr>
    </w:p>
    <w:p w14:paraId="66DC310E" w14:textId="77777777" w:rsidR="00A931D5" w:rsidRDefault="00A931D5" w:rsidP="00A931D5">
      <w:pPr>
        <w:autoSpaceDE w:val="0"/>
        <w:autoSpaceDN w:val="0"/>
        <w:adjustRightInd w:val="0"/>
        <w:spacing w:after="0" w:line="240" w:lineRule="auto"/>
        <w:ind w:left="-90"/>
        <w:jc w:val="both"/>
      </w:pPr>
      <w:r>
        <w:t>Taporco reported that domestic and international equity markets performed well during 2025, with U.S. markets up approximately 17% for the year and international markets up approximately 32%. He noted that fixed income returns were broadly in line with expectations following the shift from a rate-hiking cycle to a rate-cutting cycle. Taporco also discussed market leadership, noting the potential for continued disruption from artificial intelligence and the importance of diversification across risk assets.</w:t>
      </w:r>
    </w:p>
    <w:p w14:paraId="19D14E26" w14:textId="77777777" w:rsidR="00A931D5" w:rsidRDefault="00A931D5" w:rsidP="00A931D5">
      <w:pPr>
        <w:autoSpaceDE w:val="0"/>
        <w:autoSpaceDN w:val="0"/>
        <w:adjustRightInd w:val="0"/>
        <w:spacing w:after="0" w:line="240" w:lineRule="auto"/>
        <w:ind w:left="-90"/>
        <w:jc w:val="both"/>
      </w:pPr>
    </w:p>
    <w:p w14:paraId="2852DE46" w14:textId="77777777" w:rsidR="00A931D5" w:rsidRDefault="00A931D5" w:rsidP="00A931D5">
      <w:pPr>
        <w:autoSpaceDE w:val="0"/>
        <w:autoSpaceDN w:val="0"/>
        <w:adjustRightInd w:val="0"/>
        <w:spacing w:after="0" w:line="240" w:lineRule="auto"/>
        <w:ind w:left="-90"/>
        <w:jc w:val="both"/>
      </w:pPr>
      <w:r>
        <w:t>As of the date of the investment review, the Plan held approximately $286 million in total Plan assets, including approximately $155 million in the Fidelity Freedom Index Target Date Series. Taporco reported that the target date funds were broadly passing under Alliant’s scorecard process.</w:t>
      </w:r>
    </w:p>
    <w:p w14:paraId="2BFDD051" w14:textId="77777777" w:rsidR="00A931D5" w:rsidRDefault="00A931D5" w:rsidP="00A931D5">
      <w:pPr>
        <w:autoSpaceDE w:val="0"/>
        <w:autoSpaceDN w:val="0"/>
        <w:adjustRightInd w:val="0"/>
        <w:spacing w:after="0" w:line="240" w:lineRule="auto"/>
        <w:ind w:left="-90"/>
        <w:jc w:val="both"/>
      </w:pPr>
    </w:p>
    <w:p w14:paraId="0E25E465" w14:textId="77777777" w:rsidR="00A931D5" w:rsidRDefault="00A931D5" w:rsidP="00A931D5">
      <w:pPr>
        <w:autoSpaceDE w:val="0"/>
        <w:autoSpaceDN w:val="0"/>
        <w:adjustRightInd w:val="0"/>
        <w:spacing w:after="0" w:line="240" w:lineRule="auto"/>
        <w:ind w:left="-90"/>
        <w:jc w:val="both"/>
      </w:pPr>
      <w:r>
        <w:t>The Committee then reviewed the MFS Research International R6 fund, which had approximately $1.5 million in Plan assets. Taporco noted that the fund’s score had deteriorated and that a recent manager change negatively affected the qualitative assessment. Alliant recommended replacing MFS Research International R6 with Harbor International Core Retirement, an actively managed international large cap blend fund then scoring 10 under the scorecard methodology.</w:t>
      </w:r>
    </w:p>
    <w:p w14:paraId="45605D93" w14:textId="77777777" w:rsidR="00A931D5" w:rsidRDefault="00A931D5" w:rsidP="00A931D5">
      <w:pPr>
        <w:autoSpaceDE w:val="0"/>
        <w:autoSpaceDN w:val="0"/>
        <w:adjustRightInd w:val="0"/>
        <w:spacing w:after="0" w:line="240" w:lineRule="auto"/>
        <w:ind w:left="-90"/>
        <w:jc w:val="both"/>
      </w:pPr>
    </w:p>
    <w:p w14:paraId="5EB7BCAC" w14:textId="77777777" w:rsidR="00A931D5" w:rsidRDefault="00A931D5" w:rsidP="00A931D5">
      <w:pPr>
        <w:autoSpaceDE w:val="0"/>
        <w:autoSpaceDN w:val="0"/>
        <w:adjustRightInd w:val="0"/>
        <w:spacing w:after="0" w:line="240" w:lineRule="auto"/>
        <w:ind w:left="-90"/>
        <w:jc w:val="both"/>
      </w:pPr>
      <w:r>
        <w:t>Taporco explained that Harbor International Core Retirement had stronger quantitative metrics than the incumbent fund, including favorable upside and downside capture, strong information ratio results, and stronger absolute and risk-adjusted performance relative to the incumbent fund, benchmark, and category averages. Kerr asked about Harbor’s higher expense ratio. Taporco explained that the higher expense was expected to be justified by incremental alpha relative to the incumbent fund. Price asked whether Alliant had evaluated alternatives. Taporco stated that Alliant reviewed funds from its 3(38) select menu and screened five funds in the international large cap blend asset class, with Harbor identified as the strongest option.</w:t>
      </w:r>
    </w:p>
    <w:p w14:paraId="3E88E3D9" w14:textId="49CE0559" w:rsidR="0058156C" w:rsidRDefault="00A931D5" w:rsidP="00A931D5">
      <w:pPr>
        <w:autoSpaceDE w:val="0"/>
        <w:autoSpaceDN w:val="0"/>
        <w:adjustRightInd w:val="0"/>
        <w:spacing w:after="0" w:line="240" w:lineRule="auto"/>
        <w:ind w:left="-90"/>
        <w:jc w:val="both"/>
        <w:rPr>
          <w:rFonts w:cstheme="minorHAnsi"/>
        </w:rPr>
      </w:pPr>
      <w:r>
        <w:lastRenderedPageBreak/>
        <w:t>Upon a motion duly made by Scott Kerr and seconded by Kim Rutledge, the Committee approved replacing the MFS Research International R6 fund with Harbor International Core Retirement. The motion passed.</w:t>
      </w:r>
    </w:p>
    <w:p w14:paraId="28942293" w14:textId="77777777" w:rsidR="001375C4" w:rsidRPr="006A7856" w:rsidRDefault="001375C4" w:rsidP="005477BE">
      <w:pPr>
        <w:autoSpaceDE w:val="0"/>
        <w:autoSpaceDN w:val="0"/>
        <w:adjustRightInd w:val="0"/>
        <w:spacing w:after="0" w:line="240" w:lineRule="auto"/>
        <w:ind w:left="-90"/>
        <w:jc w:val="both"/>
        <w:rPr>
          <w:rFonts w:cstheme="minorHAnsi"/>
        </w:rPr>
      </w:pPr>
    </w:p>
    <w:p w14:paraId="3956E515" w14:textId="77777777" w:rsidR="00EB03D6" w:rsidRPr="001D0024" w:rsidRDefault="00EB03D6" w:rsidP="001D0024">
      <w:pPr>
        <w:pStyle w:val="ListParagraph"/>
        <w:numPr>
          <w:ilvl w:val="0"/>
          <w:numId w:val="1"/>
        </w:numPr>
        <w:spacing w:after="240"/>
        <w:jc w:val="both"/>
        <w:rPr>
          <w:rFonts w:cstheme="minorHAnsi"/>
          <w:b/>
          <w:u w:val="single"/>
        </w:rPr>
      </w:pPr>
      <w:r w:rsidRPr="00EB03D6">
        <w:rPr>
          <w:rFonts w:cstheme="minorHAnsi"/>
          <w:b/>
          <w:u w:val="single"/>
        </w:rPr>
        <w:t xml:space="preserve">Fiduciary Education </w:t>
      </w:r>
    </w:p>
    <w:p w14:paraId="3206B7E9" w14:textId="77777777" w:rsidR="00EB03D6" w:rsidRDefault="00EB03D6" w:rsidP="00EB03D6">
      <w:pPr>
        <w:pStyle w:val="ListParagraph"/>
        <w:autoSpaceDE w:val="0"/>
        <w:autoSpaceDN w:val="0"/>
        <w:adjustRightInd w:val="0"/>
        <w:spacing w:after="0" w:line="240" w:lineRule="auto"/>
        <w:ind w:left="1080"/>
        <w:jc w:val="both"/>
      </w:pPr>
    </w:p>
    <w:p w14:paraId="5C44F94A" w14:textId="77777777" w:rsidR="005477BE" w:rsidRDefault="005477BE" w:rsidP="005477BE">
      <w:pPr>
        <w:spacing w:after="240"/>
        <w:jc w:val="both"/>
      </w:pPr>
      <w:r w:rsidRPr="005477BE">
        <w:t xml:space="preserve">Alliant provided Fiduciary Education Module 3: Selecting and Monitoring Service Providers. The module reviewed fiduciary obligations related to the prudent selection, documentation, and ongoing monitoring of plan service providers, including recordkeepers, auditors, and advisors, and emphasized best practices for benchmarking and evaluating fee reasonableness. </w:t>
      </w:r>
      <w:r>
        <w:t>III.</w:t>
      </w:r>
      <w:r>
        <w:tab/>
      </w:r>
    </w:p>
    <w:p w14:paraId="6EF90F93" w14:textId="77777777" w:rsidR="005477BE" w:rsidRPr="00685FE2" w:rsidRDefault="005477BE" w:rsidP="005477BE">
      <w:pPr>
        <w:autoSpaceDE w:val="0"/>
        <w:autoSpaceDN w:val="0"/>
        <w:adjustRightInd w:val="0"/>
        <w:spacing w:after="0" w:line="240" w:lineRule="auto"/>
        <w:ind w:left="-90"/>
        <w:jc w:val="both"/>
        <w:rPr>
          <w:rFonts w:cstheme="minorHAnsi"/>
          <w:sz w:val="16"/>
          <w:szCs w:val="16"/>
        </w:rPr>
      </w:pPr>
    </w:p>
    <w:p w14:paraId="37DFBC14" w14:textId="0FD4E972" w:rsidR="006E3CD3" w:rsidRPr="006E3CD3" w:rsidRDefault="00CC7247" w:rsidP="004F61DB">
      <w:pPr>
        <w:pStyle w:val="ListParagraph"/>
        <w:numPr>
          <w:ilvl w:val="0"/>
          <w:numId w:val="1"/>
        </w:numPr>
        <w:ind w:left="630" w:hanging="450"/>
        <w:jc w:val="both"/>
        <w:rPr>
          <w:rFonts w:cstheme="minorHAnsi"/>
          <w:b/>
          <w:bCs/>
          <w:u w:val="single"/>
        </w:rPr>
      </w:pPr>
      <w:r>
        <w:rPr>
          <w:rFonts w:cstheme="minorHAnsi"/>
          <w:b/>
          <w:bCs/>
          <w:u w:val="single"/>
        </w:rPr>
        <w:t>Watchlist Funds/Funds Considerations</w:t>
      </w:r>
    </w:p>
    <w:p w14:paraId="49246AE5" w14:textId="77777777" w:rsidR="005674F5" w:rsidRDefault="00CE225A" w:rsidP="00C52301">
      <w:pPr>
        <w:spacing w:after="240"/>
        <w:jc w:val="both"/>
        <w:rPr>
          <w:rFonts w:cstheme="minorHAnsi"/>
        </w:rPr>
      </w:pPr>
      <w:r w:rsidRPr="00CE225A">
        <w:rPr>
          <w:rFonts w:cstheme="minorHAnsi"/>
        </w:rPr>
        <w:t xml:space="preserve">The Committee then reviewed the current investment watchlist. The Invesco Discovery Mid Cap Growth R6 fund remains under observation and continues to meet performance expectations. The MFS Research International R6 fund, previously under review due to a manager change and sustained underperformance, was recommended for replacement with the Harbor International Core Retirement Fund, which demonstrated stronger risk-adjusted returns and broader international exposure. </w:t>
      </w:r>
    </w:p>
    <w:p w14:paraId="06EC0FF7" w14:textId="6C7C1BB2" w:rsidR="00EA1C08" w:rsidRDefault="00EA1C08" w:rsidP="00EA1C08">
      <w:pPr>
        <w:spacing w:after="240"/>
      </w:pPr>
      <w:r>
        <w:t xml:space="preserve">Upon a motion duly made by </w:t>
      </w:r>
      <w:r w:rsidR="007B6F6D">
        <w:t>Jonathan Price</w:t>
      </w:r>
      <w:r>
        <w:t xml:space="preserve"> and seconded by </w:t>
      </w:r>
      <w:r w:rsidR="007B6F6D">
        <w:t>Kim Rutledge</w:t>
      </w:r>
      <w:r>
        <w:t>,</w:t>
      </w:r>
    </w:p>
    <w:p w14:paraId="0450D88D" w14:textId="77777777" w:rsidR="00662034" w:rsidRDefault="00EA1C08" w:rsidP="00C52301">
      <w:pPr>
        <w:spacing w:after="240"/>
        <w:jc w:val="both"/>
        <w:rPr>
          <w:b/>
          <w:bCs/>
          <w:u w:val="single"/>
        </w:rPr>
      </w:pPr>
      <w:r>
        <w:rPr>
          <w:b/>
          <w:bCs/>
        </w:rPr>
        <w:t>RESOLVED</w:t>
      </w:r>
      <w:r>
        <w:t xml:space="preserve">, that the Committee </w:t>
      </w:r>
      <w:r w:rsidR="00662034" w:rsidRPr="00662034">
        <w:t>approved replacing the MFS Research International R6 fund with the Harbor International Core Retirement Fund and directed Alliant and Fidelity to coordinate implementation.</w:t>
      </w:r>
      <w:r w:rsidR="00662034" w:rsidRPr="00662034">
        <w:rPr>
          <w:b/>
          <w:bCs/>
          <w:u w:val="single"/>
        </w:rPr>
        <w:t xml:space="preserve"> </w:t>
      </w:r>
    </w:p>
    <w:p w14:paraId="30988DEC" w14:textId="0F5671AA" w:rsidR="0014798F" w:rsidRPr="00A5653D" w:rsidRDefault="008F1D77" w:rsidP="00A5653D">
      <w:pPr>
        <w:pStyle w:val="ListParagraph"/>
        <w:numPr>
          <w:ilvl w:val="0"/>
          <w:numId w:val="1"/>
        </w:numPr>
        <w:spacing w:after="240"/>
        <w:rPr>
          <w:rFonts w:cstheme="minorHAnsi"/>
          <w:b/>
          <w:bCs/>
          <w:u w:val="single"/>
        </w:rPr>
      </w:pPr>
      <w:proofErr w:type="spellStart"/>
      <w:r>
        <w:rPr>
          <w:rFonts w:cstheme="minorHAnsi"/>
          <w:b/>
          <w:bCs/>
          <w:u w:val="single"/>
        </w:rPr>
        <w:t>Self Directed</w:t>
      </w:r>
      <w:proofErr w:type="spellEnd"/>
      <w:r>
        <w:rPr>
          <w:rFonts w:cstheme="minorHAnsi"/>
          <w:b/>
          <w:bCs/>
          <w:u w:val="single"/>
        </w:rPr>
        <w:t xml:space="preserve"> Brokerage Account (SDBA) Discussion</w:t>
      </w:r>
    </w:p>
    <w:p w14:paraId="6FB9E1FD" w14:textId="77777777" w:rsidR="00362DE3" w:rsidRDefault="00E7305F" w:rsidP="00E7305F">
      <w:pPr>
        <w:tabs>
          <w:tab w:val="left" w:pos="180"/>
          <w:tab w:val="left" w:pos="630"/>
        </w:tabs>
        <w:jc w:val="both"/>
      </w:pPr>
      <w:r w:rsidRPr="00E7305F">
        <w:t>The Committee discussed participant inquiries regarding the potential addition of a self-directed brokerage account (SDBA). Alliant provided an overview of fiduciary and regulatory considerations, noting limited adoption of such features among peer plans and potential participant risks related to alternative investments. After discussion, the Committee agreed not to implement a self-directed brokerage option at this time but will revisit the topic if industry practices or participant demand warrant future review.</w:t>
      </w:r>
    </w:p>
    <w:p w14:paraId="7D396F5C" w14:textId="77777777" w:rsidR="00514408" w:rsidRDefault="0014798F" w:rsidP="00514408">
      <w:pPr>
        <w:pStyle w:val="ListParagraph"/>
        <w:numPr>
          <w:ilvl w:val="0"/>
          <w:numId w:val="1"/>
        </w:numPr>
        <w:spacing w:after="240"/>
        <w:jc w:val="both"/>
        <w:rPr>
          <w:rFonts w:cstheme="minorHAnsi"/>
        </w:rPr>
      </w:pPr>
      <w:r w:rsidRPr="00CE6E94">
        <w:rPr>
          <w:rFonts w:cstheme="minorHAnsi"/>
          <w:b/>
          <w:bCs/>
          <w:u w:val="single"/>
        </w:rPr>
        <w:t>Participant Changes</w:t>
      </w:r>
      <w:r w:rsidR="00EC47E5" w:rsidRPr="00CE6E94">
        <w:rPr>
          <w:rFonts w:cstheme="minorHAnsi"/>
        </w:rPr>
        <w:t>.</w:t>
      </w:r>
      <w:r w:rsidR="00EC47E5">
        <w:rPr>
          <w:rFonts w:cstheme="minorHAnsi"/>
        </w:rPr>
        <w:t xml:space="preserve"> </w:t>
      </w:r>
    </w:p>
    <w:p w14:paraId="27BCD4C2" w14:textId="3A28BF9E" w:rsidR="00445215" w:rsidRDefault="00362DE3" w:rsidP="0049781D">
      <w:pPr>
        <w:spacing w:after="240"/>
        <w:jc w:val="both"/>
      </w:pPr>
      <w:r w:rsidRPr="00362DE3">
        <w:t xml:space="preserve">Alliant presented a plan update summarizing participation and savings trends. Plan participation remained strong at approximately 95%, with an increasing average deferral rate. Utilization of the after-tax contribution feature continued to grow, with 66 employees contributing $870,000 year-to-date, compared to 55 employees and $771,000 in 2024. There were 196 outstanding loans totaling approximately $2.5 million, which remains below industry benchmarks. Participant engagement remains high, with roughly two-thirds of participants logging in at least once every 90 days. The Committee supported Alliant’s recommendation to distribute a communication encouraging regular account review and </w:t>
      </w:r>
      <w:proofErr w:type="gramStart"/>
      <w:r w:rsidRPr="00362DE3">
        <w:t>to promote</w:t>
      </w:r>
      <w:proofErr w:type="gramEnd"/>
      <w:r w:rsidRPr="00362DE3">
        <w:t xml:space="preserve"> participation in the cybersecurity webinar scheduled for November 20, 2025.</w:t>
      </w:r>
    </w:p>
    <w:p w14:paraId="1E691316" w14:textId="77777777" w:rsidR="00362DE3" w:rsidRPr="00445215" w:rsidRDefault="00362DE3" w:rsidP="00445215">
      <w:pPr>
        <w:pStyle w:val="ListParagraph"/>
        <w:spacing w:after="240"/>
        <w:ind w:left="630"/>
        <w:jc w:val="both"/>
        <w:rPr>
          <w:rFonts w:cstheme="minorHAnsi"/>
        </w:rPr>
      </w:pPr>
    </w:p>
    <w:p w14:paraId="325AE2D2" w14:textId="7C6F3F1A" w:rsidR="00445215" w:rsidRPr="006F65D0" w:rsidRDefault="0014798F" w:rsidP="00BD7C1D">
      <w:pPr>
        <w:pStyle w:val="ListParagraph"/>
        <w:numPr>
          <w:ilvl w:val="0"/>
          <w:numId w:val="1"/>
        </w:numPr>
        <w:spacing w:after="240"/>
        <w:jc w:val="both"/>
        <w:rPr>
          <w:b/>
          <w:bCs/>
          <w:u w:val="single"/>
        </w:rPr>
      </w:pPr>
      <w:r w:rsidRPr="006F43E8">
        <w:rPr>
          <w:rFonts w:cstheme="minorHAnsi"/>
          <w:b/>
          <w:bCs/>
          <w:u w:val="single"/>
        </w:rPr>
        <w:lastRenderedPageBreak/>
        <w:t>Regulatory Update – Secure 2.0</w:t>
      </w:r>
      <w:r w:rsidR="006F65D0">
        <w:rPr>
          <w:rFonts w:cstheme="minorHAnsi"/>
          <w:b/>
          <w:bCs/>
          <w:u w:val="single"/>
        </w:rPr>
        <w:t xml:space="preserve"> Act</w:t>
      </w:r>
      <w:r w:rsidRPr="006F43E8">
        <w:rPr>
          <w:rFonts w:cstheme="minorHAnsi"/>
        </w:rPr>
        <w:t xml:space="preserve">. </w:t>
      </w:r>
    </w:p>
    <w:p w14:paraId="2064DE8D" w14:textId="2006FDA8" w:rsidR="006F65D0" w:rsidRDefault="006F65D0" w:rsidP="006F65D0">
      <w:pPr>
        <w:spacing w:after="240"/>
        <w:ind w:left="-90"/>
        <w:jc w:val="both"/>
      </w:pPr>
      <w:r w:rsidRPr="006F65D0">
        <w:t>Alliant reviewed upcoming provisions of the SECURE 2.0 Act, specifically the “Catch-Up as Roth” rule effective January 1, 2026, requiring Roth treatment of catch-up contributions for employees earning over $145,000. Fidelity is implementing necessary system updates to ensure compliance, and Alliant will conduct a participant education webinar in December 2025 to communicate the change.</w:t>
      </w:r>
    </w:p>
    <w:p w14:paraId="6C0178A0" w14:textId="7D28BC77" w:rsidR="00204DC2" w:rsidRDefault="00BD7C1D" w:rsidP="00BD7C1D">
      <w:pPr>
        <w:pStyle w:val="ListParagraph"/>
        <w:numPr>
          <w:ilvl w:val="0"/>
          <w:numId w:val="1"/>
        </w:numPr>
        <w:tabs>
          <w:tab w:val="left" w:pos="810"/>
        </w:tabs>
        <w:spacing w:after="240"/>
        <w:ind w:left="900" w:hanging="630"/>
        <w:jc w:val="both"/>
        <w:rPr>
          <w:b/>
          <w:bCs/>
          <w:u w:val="single"/>
        </w:rPr>
      </w:pPr>
      <w:r w:rsidRPr="00BD7C1D">
        <w:rPr>
          <w:b/>
          <w:bCs/>
        </w:rPr>
        <w:t xml:space="preserve">     </w:t>
      </w:r>
      <w:r w:rsidR="003C0EA5">
        <w:rPr>
          <w:b/>
          <w:bCs/>
          <w:u w:val="single"/>
        </w:rPr>
        <w:t>Adjournment</w:t>
      </w:r>
    </w:p>
    <w:p w14:paraId="43D3689B" w14:textId="0C5E952C" w:rsidR="001D3EFD" w:rsidRPr="001D3EFD" w:rsidRDefault="001D3EFD" w:rsidP="001D3EFD">
      <w:pPr>
        <w:spacing w:after="240"/>
        <w:ind w:left="-90"/>
        <w:jc w:val="both"/>
      </w:pPr>
      <w:r w:rsidRPr="001D3EFD">
        <w:t>There being no further business to come before the Committee, upon motion duly made and seconded, the meeting was adjourned at 11:38 a.m.</w:t>
      </w:r>
    </w:p>
    <w:p w14:paraId="13899E9F" w14:textId="77777777" w:rsidR="0080651F" w:rsidRPr="009F39CB" w:rsidRDefault="0080651F" w:rsidP="0080651F">
      <w:pPr>
        <w:jc w:val="both"/>
        <w:rPr>
          <w:rFonts w:cstheme="minorHAnsi"/>
          <w:sz w:val="2"/>
          <w:szCs w:val="6"/>
        </w:rPr>
      </w:pPr>
    </w:p>
    <w:p w14:paraId="13899EA1" w14:textId="74F6E27E" w:rsidR="0080651F" w:rsidRPr="007A1CA2" w:rsidRDefault="0080651F" w:rsidP="0080651F">
      <w:pPr>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Respectfully submitted:</w:t>
      </w:r>
    </w:p>
    <w:p w14:paraId="13899EA2" w14:textId="77777777" w:rsidR="0080651F" w:rsidRPr="00685FE2" w:rsidRDefault="0080651F" w:rsidP="0080651F">
      <w:pPr>
        <w:jc w:val="both"/>
        <w:rPr>
          <w:rFonts w:cstheme="minorHAnsi"/>
          <w:sz w:val="8"/>
          <w:szCs w:val="8"/>
        </w:rPr>
      </w:pPr>
    </w:p>
    <w:p w14:paraId="13899EA3" w14:textId="77777777" w:rsidR="0080651F" w:rsidRDefault="0080651F" w:rsidP="00414930">
      <w:pPr>
        <w:spacing w:after="0" w:line="240" w:lineRule="auto"/>
        <w:jc w:val="both"/>
        <w:rPr>
          <w:rFonts w:cstheme="minorHAnsi"/>
        </w:rPr>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414930">
        <w:rPr>
          <w:rFonts w:cstheme="minorHAnsi"/>
        </w:rPr>
        <w:t>______________________________</w:t>
      </w:r>
    </w:p>
    <w:p w14:paraId="13899EA4" w14:textId="2C89F493" w:rsidR="003F3D90" w:rsidRPr="00F06357" w:rsidRDefault="0080651F" w:rsidP="00414930">
      <w:pPr>
        <w:spacing w:after="0" w:line="240" w:lineRule="auto"/>
      </w:pP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064A12">
        <w:rPr>
          <w:rFonts w:cstheme="minorHAnsi"/>
        </w:rPr>
        <w:t>Scott Kerr</w:t>
      </w:r>
      <w:r>
        <w:rPr>
          <w:rFonts w:cstheme="minorHAnsi"/>
        </w:rPr>
        <w:t>, Committee Chair</w:t>
      </w:r>
    </w:p>
    <w:sectPr w:rsidR="003F3D90" w:rsidRPr="00F06357" w:rsidSect="00FC615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5045" w14:textId="77777777" w:rsidR="00C94A00" w:rsidRDefault="00C94A00" w:rsidP="00E41D99">
      <w:pPr>
        <w:spacing w:after="0" w:line="240" w:lineRule="auto"/>
      </w:pPr>
      <w:r>
        <w:separator/>
      </w:r>
    </w:p>
  </w:endnote>
  <w:endnote w:type="continuationSeparator" w:id="0">
    <w:p w14:paraId="02F3364A" w14:textId="77777777" w:rsidR="00C94A00" w:rsidRDefault="00C94A00" w:rsidP="00E41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9EAA" w14:textId="4E44DCD3" w:rsidR="00E41D99" w:rsidRDefault="00E41D99" w:rsidP="00E41D9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117B" w14:textId="77777777" w:rsidR="00C94A00" w:rsidRDefault="00C94A00" w:rsidP="00E41D99">
      <w:pPr>
        <w:spacing w:after="0" w:line="240" w:lineRule="auto"/>
      </w:pPr>
      <w:r>
        <w:separator/>
      </w:r>
    </w:p>
  </w:footnote>
  <w:footnote w:type="continuationSeparator" w:id="0">
    <w:p w14:paraId="5CC46A66" w14:textId="77777777" w:rsidR="00C94A00" w:rsidRDefault="00C94A00" w:rsidP="00E41D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84339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E3E268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3B4253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7A66A3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6453C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7662D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9C92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006451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3A78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F1EC39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4D6B75"/>
    <w:multiLevelType w:val="hybridMultilevel"/>
    <w:tmpl w:val="18BC2E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118011D7"/>
    <w:multiLevelType w:val="hybridMultilevel"/>
    <w:tmpl w:val="D3DC2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A7769"/>
    <w:multiLevelType w:val="hybridMultilevel"/>
    <w:tmpl w:val="A7307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94D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6036B71"/>
    <w:multiLevelType w:val="hybridMultilevel"/>
    <w:tmpl w:val="686676A0"/>
    <w:lvl w:ilvl="0" w:tplc="06A0737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653CEC"/>
    <w:multiLevelType w:val="hybridMultilevel"/>
    <w:tmpl w:val="BC361630"/>
    <w:lvl w:ilvl="0" w:tplc="89726C4E">
      <w:start w:val="1"/>
      <w:numFmt w:val="upperRoman"/>
      <w:lvlText w:val="%1."/>
      <w:lvlJc w:val="left"/>
      <w:pPr>
        <w:ind w:left="1080" w:hanging="720"/>
      </w:pPr>
      <w:rPr>
        <w:rFonts w:hint="default"/>
        <w:b/>
        <w:bCs/>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153B0C"/>
    <w:multiLevelType w:val="hybridMultilevel"/>
    <w:tmpl w:val="FF1800E0"/>
    <w:lvl w:ilvl="0" w:tplc="AB321D58">
      <w:start w:val="1"/>
      <w:numFmt w:val="lowerLetter"/>
      <w:lvlText w:val="%1)"/>
      <w:lvlJc w:val="left"/>
      <w:pPr>
        <w:ind w:left="270" w:hanging="360"/>
      </w:pPr>
      <w:rPr>
        <w:rFonts w:hint="default"/>
        <w:b/>
        <w:u w:val="singl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 w15:restartNumberingAfterBreak="0">
    <w:nsid w:val="4E375DC2"/>
    <w:multiLevelType w:val="hybridMultilevel"/>
    <w:tmpl w:val="68F4B2C6"/>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 w15:restartNumberingAfterBreak="0">
    <w:nsid w:val="4FD441AD"/>
    <w:multiLevelType w:val="hybridMultilevel"/>
    <w:tmpl w:val="8BA01A26"/>
    <w:lvl w:ilvl="0" w:tplc="FFFFFFFF">
      <w:start w:val="1"/>
      <w:numFmt w:val="upperRoman"/>
      <w:lvlText w:val="%1."/>
      <w:lvlJc w:val="left"/>
      <w:pPr>
        <w:ind w:left="1080" w:hanging="720"/>
      </w:pPr>
      <w:rPr>
        <w:rFonts w:hint="default"/>
        <w:b/>
        <w:bCs/>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09B132A"/>
    <w:multiLevelType w:val="hybridMultilevel"/>
    <w:tmpl w:val="F1A84F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37357D"/>
    <w:multiLevelType w:val="hybridMultilevel"/>
    <w:tmpl w:val="8BA01A26"/>
    <w:lvl w:ilvl="0" w:tplc="FFFFFFFF">
      <w:start w:val="1"/>
      <w:numFmt w:val="upperRoman"/>
      <w:lvlText w:val="%1."/>
      <w:lvlJc w:val="left"/>
      <w:pPr>
        <w:ind w:left="1080" w:hanging="720"/>
      </w:pPr>
      <w:rPr>
        <w:rFonts w:hint="default"/>
        <w:b/>
        <w:bCs/>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7D139D"/>
    <w:multiLevelType w:val="hybridMultilevel"/>
    <w:tmpl w:val="8BA01A26"/>
    <w:lvl w:ilvl="0" w:tplc="FFFFFFFF">
      <w:start w:val="1"/>
      <w:numFmt w:val="upperRoman"/>
      <w:lvlText w:val="%1."/>
      <w:lvlJc w:val="left"/>
      <w:pPr>
        <w:ind w:left="1080" w:hanging="720"/>
      </w:pPr>
      <w:rPr>
        <w:rFonts w:hint="default"/>
        <w:b/>
        <w:bCs/>
        <w:u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91F65F5"/>
    <w:multiLevelType w:val="hybridMultilevel"/>
    <w:tmpl w:val="600E7716"/>
    <w:lvl w:ilvl="0" w:tplc="8AFED5D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1807111">
    <w:abstractNumId w:val="15"/>
  </w:num>
  <w:num w:numId="2" w16cid:durableId="2055351322">
    <w:abstractNumId w:val="11"/>
  </w:num>
  <w:num w:numId="3" w16cid:durableId="972715234">
    <w:abstractNumId w:val="9"/>
  </w:num>
  <w:num w:numId="4" w16cid:durableId="921179854">
    <w:abstractNumId w:val="7"/>
  </w:num>
  <w:num w:numId="5" w16cid:durableId="1016928037">
    <w:abstractNumId w:val="6"/>
  </w:num>
  <w:num w:numId="6" w16cid:durableId="1917520612">
    <w:abstractNumId w:val="5"/>
  </w:num>
  <w:num w:numId="7" w16cid:durableId="2100565401">
    <w:abstractNumId w:val="4"/>
  </w:num>
  <w:num w:numId="8" w16cid:durableId="800196595">
    <w:abstractNumId w:val="8"/>
  </w:num>
  <w:num w:numId="9" w16cid:durableId="2093157858">
    <w:abstractNumId w:val="3"/>
  </w:num>
  <w:num w:numId="10" w16cid:durableId="264919558">
    <w:abstractNumId w:val="2"/>
  </w:num>
  <w:num w:numId="11" w16cid:durableId="1697271024">
    <w:abstractNumId w:val="1"/>
  </w:num>
  <w:num w:numId="12" w16cid:durableId="1895433836">
    <w:abstractNumId w:val="0"/>
  </w:num>
  <w:num w:numId="13" w16cid:durableId="1405949049">
    <w:abstractNumId w:val="18"/>
  </w:num>
  <w:num w:numId="14" w16cid:durableId="1265990673">
    <w:abstractNumId w:val="20"/>
  </w:num>
  <w:num w:numId="15" w16cid:durableId="325523953">
    <w:abstractNumId w:val="16"/>
  </w:num>
  <w:num w:numId="16" w16cid:durableId="2103528503">
    <w:abstractNumId w:val="12"/>
  </w:num>
  <w:num w:numId="17" w16cid:durableId="479612117">
    <w:abstractNumId w:val="21"/>
  </w:num>
  <w:num w:numId="18" w16cid:durableId="1641885049">
    <w:abstractNumId w:val="22"/>
  </w:num>
  <w:num w:numId="19" w16cid:durableId="1383822086">
    <w:abstractNumId w:val="14"/>
  </w:num>
  <w:num w:numId="20" w16cid:durableId="1669090044">
    <w:abstractNumId w:val="19"/>
  </w:num>
  <w:num w:numId="21" w16cid:durableId="1042825884">
    <w:abstractNumId w:val="13"/>
  </w:num>
  <w:num w:numId="22" w16cid:durableId="416633696">
    <w:abstractNumId w:val="17"/>
  </w:num>
  <w:num w:numId="23" w16cid:durableId="4339860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D99"/>
    <w:rsid w:val="000022EB"/>
    <w:rsid w:val="0000413D"/>
    <w:rsid w:val="00004249"/>
    <w:rsid w:val="00010E10"/>
    <w:rsid w:val="00012755"/>
    <w:rsid w:val="000128B8"/>
    <w:rsid w:val="00016EE6"/>
    <w:rsid w:val="000209D9"/>
    <w:rsid w:val="00025352"/>
    <w:rsid w:val="00026480"/>
    <w:rsid w:val="00026C10"/>
    <w:rsid w:val="00032143"/>
    <w:rsid w:val="000354DC"/>
    <w:rsid w:val="00037485"/>
    <w:rsid w:val="00040EBC"/>
    <w:rsid w:val="00042D49"/>
    <w:rsid w:val="000430BC"/>
    <w:rsid w:val="00043464"/>
    <w:rsid w:val="00050962"/>
    <w:rsid w:val="000509E3"/>
    <w:rsid w:val="0005137D"/>
    <w:rsid w:val="000525CF"/>
    <w:rsid w:val="00055A37"/>
    <w:rsid w:val="00055D92"/>
    <w:rsid w:val="00060785"/>
    <w:rsid w:val="00061C16"/>
    <w:rsid w:val="00064654"/>
    <w:rsid w:val="00064A12"/>
    <w:rsid w:val="00066149"/>
    <w:rsid w:val="0007550C"/>
    <w:rsid w:val="00076130"/>
    <w:rsid w:val="00082BF4"/>
    <w:rsid w:val="000832BD"/>
    <w:rsid w:val="00083F89"/>
    <w:rsid w:val="00085CB0"/>
    <w:rsid w:val="00086123"/>
    <w:rsid w:val="000929B2"/>
    <w:rsid w:val="0009639D"/>
    <w:rsid w:val="000A2E8D"/>
    <w:rsid w:val="000A6874"/>
    <w:rsid w:val="000B25DF"/>
    <w:rsid w:val="000B5DF0"/>
    <w:rsid w:val="000C023D"/>
    <w:rsid w:val="000C1ADC"/>
    <w:rsid w:val="000C3BB7"/>
    <w:rsid w:val="000C5FF9"/>
    <w:rsid w:val="000D01C8"/>
    <w:rsid w:val="000D0560"/>
    <w:rsid w:val="000D1F60"/>
    <w:rsid w:val="000D31EA"/>
    <w:rsid w:val="000D3EDB"/>
    <w:rsid w:val="000D6E6E"/>
    <w:rsid w:val="000E0EB2"/>
    <w:rsid w:val="000E1B67"/>
    <w:rsid w:val="000E3599"/>
    <w:rsid w:val="000E7F55"/>
    <w:rsid w:val="000F48A8"/>
    <w:rsid w:val="000F6543"/>
    <w:rsid w:val="000F7599"/>
    <w:rsid w:val="000F7EBD"/>
    <w:rsid w:val="001001A4"/>
    <w:rsid w:val="001054AB"/>
    <w:rsid w:val="00105C9B"/>
    <w:rsid w:val="00112ED1"/>
    <w:rsid w:val="00113059"/>
    <w:rsid w:val="00113FEF"/>
    <w:rsid w:val="001170BC"/>
    <w:rsid w:val="00121103"/>
    <w:rsid w:val="00121952"/>
    <w:rsid w:val="001244C2"/>
    <w:rsid w:val="00124918"/>
    <w:rsid w:val="0012558E"/>
    <w:rsid w:val="00125904"/>
    <w:rsid w:val="001305E3"/>
    <w:rsid w:val="001312FA"/>
    <w:rsid w:val="001321D1"/>
    <w:rsid w:val="00133890"/>
    <w:rsid w:val="00134571"/>
    <w:rsid w:val="00136220"/>
    <w:rsid w:val="001363BC"/>
    <w:rsid w:val="001375C4"/>
    <w:rsid w:val="00137CEB"/>
    <w:rsid w:val="00137F87"/>
    <w:rsid w:val="00140AB8"/>
    <w:rsid w:val="00140ED4"/>
    <w:rsid w:val="00144207"/>
    <w:rsid w:val="0014498F"/>
    <w:rsid w:val="00145982"/>
    <w:rsid w:val="0014762E"/>
    <w:rsid w:val="0014798F"/>
    <w:rsid w:val="00147B15"/>
    <w:rsid w:val="0015073C"/>
    <w:rsid w:val="00152BD4"/>
    <w:rsid w:val="00160F2C"/>
    <w:rsid w:val="00160FE9"/>
    <w:rsid w:val="001669B3"/>
    <w:rsid w:val="00171E19"/>
    <w:rsid w:val="00174015"/>
    <w:rsid w:val="001744F8"/>
    <w:rsid w:val="00177850"/>
    <w:rsid w:val="00177B94"/>
    <w:rsid w:val="001802A7"/>
    <w:rsid w:val="00180EDB"/>
    <w:rsid w:val="00181AF9"/>
    <w:rsid w:val="0018447C"/>
    <w:rsid w:val="00184F4D"/>
    <w:rsid w:val="00190DAA"/>
    <w:rsid w:val="00194560"/>
    <w:rsid w:val="00195738"/>
    <w:rsid w:val="0019608E"/>
    <w:rsid w:val="001A3BAB"/>
    <w:rsid w:val="001A4AF0"/>
    <w:rsid w:val="001A50E4"/>
    <w:rsid w:val="001B08F6"/>
    <w:rsid w:val="001B1048"/>
    <w:rsid w:val="001B1F33"/>
    <w:rsid w:val="001B26FF"/>
    <w:rsid w:val="001B35C9"/>
    <w:rsid w:val="001B4047"/>
    <w:rsid w:val="001B5A8C"/>
    <w:rsid w:val="001B69B7"/>
    <w:rsid w:val="001B7CD9"/>
    <w:rsid w:val="001C0289"/>
    <w:rsid w:val="001C4540"/>
    <w:rsid w:val="001D0024"/>
    <w:rsid w:val="001D3EFD"/>
    <w:rsid w:val="001D60C9"/>
    <w:rsid w:val="001D62D8"/>
    <w:rsid w:val="001D6E2B"/>
    <w:rsid w:val="001E2CA6"/>
    <w:rsid w:val="001E31E2"/>
    <w:rsid w:val="001E3351"/>
    <w:rsid w:val="001E3EA7"/>
    <w:rsid w:val="001F0837"/>
    <w:rsid w:val="001F20BE"/>
    <w:rsid w:val="001F4756"/>
    <w:rsid w:val="00204DC2"/>
    <w:rsid w:val="00206335"/>
    <w:rsid w:val="0020652A"/>
    <w:rsid w:val="0021625F"/>
    <w:rsid w:val="00220DDC"/>
    <w:rsid w:val="00220EDF"/>
    <w:rsid w:val="00222CAB"/>
    <w:rsid w:val="00223B77"/>
    <w:rsid w:val="00224532"/>
    <w:rsid w:val="0022539D"/>
    <w:rsid w:val="002262D1"/>
    <w:rsid w:val="00227CE4"/>
    <w:rsid w:val="00230AF5"/>
    <w:rsid w:val="00236401"/>
    <w:rsid w:val="00237E1D"/>
    <w:rsid w:val="00237E47"/>
    <w:rsid w:val="00244CA0"/>
    <w:rsid w:val="00246E23"/>
    <w:rsid w:val="00250C17"/>
    <w:rsid w:val="002526C8"/>
    <w:rsid w:val="002532EB"/>
    <w:rsid w:val="002538DD"/>
    <w:rsid w:val="00253BA1"/>
    <w:rsid w:val="0025466D"/>
    <w:rsid w:val="002547A0"/>
    <w:rsid w:val="00254E44"/>
    <w:rsid w:val="0025637A"/>
    <w:rsid w:val="002623CE"/>
    <w:rsid w:val="00264317"/>
    <w:rsid w:val="002647EE"/>
    <w:rsid w:val="002649F3"/>
    <w:rsid w:val="00272068"/>
    <w:rsid w:val="00272C97"/>
    <w:rsid w:val="00276016"/>
    <w:rsid w:val="002761E4"/>
    <w:rsid w:val="002763C0"/>
    <w:rsid w:val="00276B1F"/>
    <w:rsid w:val="002779CA"/>
    <w:rsid w:val="0028194E"/>
    <w:rsid w:val="0028268E"/>
    <w:rsid w:val="0028545D"/>
    <w:rsid w:val="002867D6"/>
    <w:rsid w:val="00286BA9"/>
    <w:rsid w:val="00286C4B"/>
    <w:rsid w:val="00287F48"/>
    <w:rsid w:val="002905BC"/>
    <w:rsid w:val="00290FFA"/>
    <w:rsid w:val="00291E2E"/>
    <w:rsid w:val="002922C9"/>
    <w:rsid w:val="00295F83"/>
    <w:rsid w:val="00296BF5"/>
    <w:rsid w:val="002A2186"/>
    <w:rsid w:val="002A24A5"/>
    <w:rsid w:val="002A2E81"/>
    <w:rsid w:val="002A4ABB"/>
    <w:rsid w:val="002B0A46"/>
    <w:rsid w:val="002B0D41"/>
    <w:rsid w:val="002B55E0"/>
    <w:rsid w:val="002B6344"/>
    <w:rsid w:val="002C0CDE"/>
    <w:rsid w:val="002C452B"/>
    <w:rsid w:val="002C5003"/>
    <w:rsid w:val="002C5DC3"/>
    <w:rsid w:val="002C660B"/>
    <w:rsid w:val="002D5360"/>
    <w:rsid w:val="002D55DD"/>
    <w:rsid w:val="002D5799"/>
    <w:rsid w:val="002D683D"/>
    <w:rsid w:val="002D7975"/>
    <w:rsid w:val="002D7F89"/>
    <w:rsid w:val="002E0F7E"/>
    <w:rsid w:val="002E451E"/>
    <w:rsid w:val="002E4B4B"/>
    <w:rsid w:val="002E5123"/>
    <w:rsid w:val="002E74D4"/>
    <w:rsid w:val="002F0294"/>
    <w:rsid w:val="002F04E3"/>
    <w:rsid w:val="002F0F13"/>
    <w:rsid w:val="002F3EC8"/>
    <w:rsid w:val="002F69A7"/>
    <w:rsid w:val="00300735"/>
    <w:rsid w:val="00301F0E"/>
    <w:rsid w:val="0030507F"/>
    <w:rsid w:val="00307761"/>
    <w:rsid w:val="003148F5"/>
    <w:rsid w:val="003154CE"/>
    <w:rsid w:val="003169AA"/>
    <w:rsid w:val="0032034C"/>
    <w:rsid w:val="003208E9"/>
    <w:rsid w:val="00325403"/>
    <w:rsid w:val="00330BEE"/>
    <w:rsid w:val="00331818"/>
    <w:rsid w:val="00335AE9"/>
    <w:rsid w:val="00337276"/>
    <w:rsid w:val="003434BE"/>
    <w:rsid w:val="00343610"/>
    <w:rsid w:val="003438F7"/>
    <w:rsid w:val="00344DF7"/>
    <w:rsid w:val="003479D3"/>
    <w:rsid w:val="00347FB8"/>
    <w:rsid w:val="0035054C"/>
    <w:rsid w:val="0035054E"/>
    <w:rsid w:val="00350B49"/>
    <w:rsid w:val="00350DDB"/>
    <w:rsid w:val="00352D54"/>
    <w:rsid w:val="00355DB9"/>
    <w:rsid w:val="00357491"/>
    <w:rsid w:val="003603C5"/>
    <w:rsid w:val="0036132A"/>
    <w:rsid w:val="00361360"/>
    <w:rsid w:val="00362DE3"/>
    <w:rsid w:val="00364D9B"/>
    <w:rsid w:val="00364E01"/>
    <w:rsid w:val="00365957"/>
    <w:rsid w:val="0036774C"/>
    <w:rsid w:val="00370097"/>
    <w:rsid w:val="00370D12"/>
    <w:rsid w:val="00371F0A"/>
    <w:rsid w:val="00372199"/>
    <w:rsid w:val="003738E8"/>
    <w:rsid w:val="00376980"/>
    <w:rsid w:val="00380E55"/>
    <w:rsid w:val="003817CC"/>
    <w:rsid w:val="00383C02"/>
    <w:rsid w:val="00384511"/>
    <w:rsid w:val="00387CB6"/>
    <w:rsid w:val="0039220B"/>
    <w:rsid w:val="0039323B"/>
    <w:rsid w:val="00397879"/>
    <w:rsid w:val="003A01B8"/>
    <w:rsid w:val="003A07CC"/>
    <w:rsid w:val="003A0C84"/>
    <w:rsid w:val="003A1A7E"/>
    <w:rsid w:val="003A596E"/>
    <w:rsid w:val="003A7919"/>
    <w:rsid w:val="003B267D"/>
    <w:rsid w:val="003B668F"/>
    <w:rsid w:val="003B7806"/>
    <w:rsid w:val="003C0EA5"/>
    <w:rsid w:val="003C32BD"/>
    <w:rsid w:val="003C38C1"/>
    <w:rsid w:val="003C440A"/>
    <w:rsid w:val="003C6E7D"/>
    <w:rsid w:val="003C7668"/>
    <w:rsid w:val="003D212C"/>
    <w:rsid w:val="003D371D"/>
    <w:rsid w:val="003D4035"/>
    <w:rsid w:val="003D58E9"/>
    <w:rsid w:val="003D6572"/>
    <w:rsid w:val="003E045D"/>
    <w:rsid w:val="003E08D6"/>
    <w:rsid w:val="003E107A"/>
    <w:rsid w:val="003E2009"/>
    <w:rsid w:val="003E31F1"/>
    <w:rsid w:val="003E3D3B"/>
    <w:rsid w:val="003E43C5"/>
    <w:rsid w:val="003E45F4"/>
    <w:rsid w:val="003E6AC4"/>
    <w:rsid w:val="003F0E4C"/>
    <w:rsid w:val="003F1324"/>
    <w:rsid w:val="003F14D9"/>
    <w:rsid w:val="003F23D0"/>
    <w:rsid w:val="003F2910"/>
    <w:rsid w:val="003F3A8B"/>
    <w:rsid w:val="003F3D90"/>
    <w:rsid w:val="003F5064"/>
    <w:rsid w:val="003F5195"/>
    <w:rsid w:val="003F54DC"/>
    <w:rsid w:val="003F5CF4"/>
    <w:rsid w:val="003F609E"/>
    <w:rsid w:val="003F76D9"/>
    <w:rsid w:val="003F775B"/>
    <w:rsid w:val="00403CE8"/>
    <w:rsid w:val="0040473E"/>
    <w:rsid w:val="00404F0D"/>
    <w:rsid w:val="00407081"/>
    <w:rsid w:val="00407148"/>
    <w:rsid w:val="00411CDB"/>
    <w:rsid w:val="0041209A"/>
    <w:rsid w:val="00413642"/>
    <w:rsid w:val="0041387A"/>
    <w:rsid w:val="004143AB"/>
    <w:rsid w:val="004146AC"/>
    <w:rsid w:val="00414930"/>
    <w:rsid w:val="00415338"/>
    <w:rsid w:val="004203E8"/>
    <w:rsid w:val="00421B16"/>
    <w:rsid w:val="00422CD6"/>
    <w:rsid w:val="004247C6"/>
    <w:rsid w:val="00425ECF"/>
    <w:rsid w:val="004268C5"/>
    <w:rsid w:val="0042788A"/>
    <w:rsid w:val="00431D7E"/>
    <w:rsid w:val="00432BE3"/>
    <w:rsid w:val="00434529"/>
    <w:rsid w:val="00434DB5"/>
    <w:rsid w:val="00437F17"/>
    <w:rsid w:val="004404EC"/>
    <w:rsid w:val="0044211B"/>
    <w:rsid w:val="00442422"/>
    <w:rsid w:val="00442E1A"/>
    <w:rsid w:val="00442F50"/>
    <w:rsid w:val="0044389A"/>
    <w:rsid w:val="00444FB3"/>
    <w:rsid w:val="00445215"/>
    <w:rsid w:val="00445A10"/>
    <w:rsid w:val="0044735E"/>
    <w:rsid w:val="00451EC3"/>
    <w:rsid w:val="004537E1"/>
    <w:rsid w:val="0045492A"/>
    <w:rsid w:val="00454F88"/>
    <w:rsid w:val="0046015A"/>
    <w:rsid w:val="004643AD"/>
    <w:rsid w:val="004652BD"/>
    <w:rsid w:val="00467A04"/>
    <w:rsid w:val="00471F73"/>
    <w:rsid w:val="00473811"/>
    <w:rsid w:val="00473BAD"/>
    <w:rsid w:val="004766CF"/>
    <w:rsid w:val="00476D88"/>
    <w:rsid w:val="0048054D"/>
    <w:rsid w:val="004812D7"/>
    <w:rsid w:val="00482C89"/>
    <w:rsid w:val="00482DC1"/>
    <w:rsid w:val="004849D4"/>
    <w:rsid w:val="00484FC0"/>
    <w:rsid w:val="00491CDE"/>
    <w:rsid w:val="0049203C"/>
    <w:rsid w:val="00493254"/>
    <w:rsid w:val="00495091"/>
    <w:rsid w:val="00495850"/>
    <w:rsid w:val="0049781D"/>
    <w:rsid w:val="004A3E02"/>
    <w:rsid w:val="004A4152"/>
    <w:rsid w:val="004A6520"/>
    <w:rsid w:val="004A7DFB"/>
    <w:rsid w:val="004B3290"/>
    <w:rsid w:val="004B3C9B"/>
    <w:rsid w:val="004B7D51"/>
    <w:rsid w:val="004C061E"/>
    <w:rsid w:val="004C3A17"/>
    <w:rsid w:val="004C58AC"/>
    <w:rsid w:val="004C6764"/>
    <w:rsid w:val="004D03AD"/>
    <w:rsid w:val="004D18B9"/>
    <w:rsid w:val="004D341F"/>
    <w:rsid w:val="004D4073"/>
    <w:rsid w:val="004E0F95"/>
    <w:rsid w:val="004E34E7"/>
    <w:rsid w:val="004E5644"/>
    <w:rsid w:val="004F0E53"/>
    <w:rsid w:val="004F2652"/>
    <w:rsid w:val="004F61DB"/>
    <w:rsid w:val="00501B4A"/>
    <w:rsid w:val="00502C59"/>
    <w:rsid w:val="00502F4E"/>
    <w:rsid w:val="005034F1"/>
    <w:rsid w:val="00503A55"/>
    <w:rsid w:val="00503AB9"/>
    <w:rsid w:val="005045DB"/>
    <w:rsid w:val="00504AC9"/>
    <w:rsid w:val="00506626"/>
    <w:rsid w:val="00512493"/>
    <w:rsid w:val="00514408"/>
    <w:rsid w:val="00514B88"/>
    <w:rsid w:val="0051553F"/>
    <w:rsid w:val="005161ED"/>
    <w:rsid w:val="00517ABD"/>
    <w:rsid w:val="005210A9"/>
    <w:rsid w:val="005218AA"/>
    <w:rsid w:val="00523507"/>
    <w:rsid w:val="005245AC"/>
    <w:rsid w:val="005251C5"/>
    <w:rsid w:val="00526E7D"/>
    <w:rsid w:val="00526EFC"/>
    <w:rsid w:val="0052767F"/>
    <w:rsid w:val="0052797E"/>
    <w:rsid w:val="00532F17"/>
    <w:rsid w:val="005336E7"/>
    <w:rsid w:val="00537EBD"/>
    <w:rsid w:val="005419EF"/>
    <w:rsid w:val="005465B7"/>
    <w:rsid w:val="00547207"/>
    <w:rsid w:val="005473A5"/>
    <w:rsid w:val="005477BE"/>
    <w:rsid w:val="005503E1"/>
    <w:rsid w:val="005518C4"/>
    <w:rsid w:val="00556BFE"/>
    <w:rsid w:val="00563B34"/>
    <w:rsid w:val="005674F5"/>
    <w:rsid w:val="0057023E"/>
    <w:rsid w:val="00570D88"/>
    <w:rsid w:val="00571580"/>
    <w:rsid w:val="0058156C"/>
    <w:rsid w:val="00581ADB"/>
    <w:rsid w:val="0058358E"/>
    <w:rsid w:val="00590449"/>
    <w:rsid w:val="00591A33"/>
    <w:rsid w:val="00592204"/>
    <w:rsid w:val="00592D3E"/>
    <w:rsid w:val="0059308F"/>
    <w:rsid w:val="005A2BE1"/>
    <w:rsid w:val="005A37A2"/>
    <w:rsid w:val="005A3A56"/>
    <w:rsid w:val="005A3D0C"/>
    <w:rsid w:val="005A46AE"/>
    <w:rsid w:val="005A614E"/>
    <w:rsid w:val="005A6FFB"/>
    <w:rsid w:val="005B0D82"/>
    <w:rsid w:val="005B35AE"/>
    <w:rsid w:val="005B51FE"/>
    <w:rsid w:val="005B6899"/>
    <w:rsid w:val="005B7886"/>
    <w:rsid w:val="005C06A1"/>
    <w:rsid w:val="005C3460"/>
    <w:rsid w:val="005C5B4D"/>
    <w:rsid w:val="005C797B"/>
    <w:rsid w:val="005C7C40"/>
    <w:rsid w:val="005D049F"/>
    <w:rsid w:val="005D0787"/>
    <w:rsid w:val="005D6731"/>
    <w:rsid w:val="005E16A5"/>
    <w:rsid w:val="005E5D90"/>
    <w:rsid w:val="005F19C0"/>
    <w:rsid w:val="005F31B5"/>
    <w:rsid w:val="005F4124"/>
    <w:rsid w:val="005F48FF"/>
    <w:rsid w:val="005F6AD8"/>
    <w:rsid w:val="00600014"/>
    <w:rsid w:val="0060232B"/>
    <w:rsid w:val="00602C1B"/>
    <w:rsid w:val="00604EFD"/>
    <w:rsid w:val="00611687"/>
    <w:rsid w:val="0061569C"/>
    <w:rsid w:val="00615A44"/>
    <w:rsid w:val="00617CA8"/>
    <w:rsid w:val="006251E5"/>
    <w:rsid w:val="0063195A"/>
    <w:rsid w:val="00632BBB"/>
    <w:rsid w:val="00636403"/>
    <w:rsid w:val="00640463"/>
    <w:rsid w:val="006450E0"/>
    <w:rsid w:val="00646513"/>
    <w:rsid w:val="0064713C"/>
    <w:rsid w:val="00647B1C"/>
    <w:rsid w:val="00653562"/>
    <w:rsid w:val="00653FB9"/>
    <w:rsid w:val="00654676"/>
    <w:rsid w:val="0065512F"/>
    <w:rsid w:val="00655CF8"/>
    <w:rsid w:val="006561DF"/>
    <w:rsid w:val="00660307"/>
    <w:rsid w:val="00660561"/>
    <w:rsid w:val="00662034"/>
    <w:rsid w:val="006635F4"/>
    <w:rsid w:val="0066680A"/>
    <w:rsid w:val="00670695"/>
    <w:rsid w:val="00670A53"/>
    <w:rsid w:val="006842FC"/>
    <w:rsid w:val="00685FE2"/>
    <w:rsid w:val="006927A4"/>
    <w:rsid w:val="00694A14"/>
    <w:rsid w:val="0069767E"/>
    <w:rsid w:val="006A3888"/>
    <w:rsid w:val="006A4F1E"/>
    <w:rsid w:val="006A5AA7"/>
    <w:rsid w:val="006A6875"/>
    <w:rsid w:val="006A7856"/>
    <w:rsid w:val="006B072B"/>
    <w:rsid w:val="006B35A8"/>
    <w:rsid w:val="006B3981"/>
    <w:rsid w:val="006B51AA"/>
    <w:rsid w:val="006C0B35"/>
    <w:rsid w:val="006C1E66"/>
    <w:rsid w:val="006C40BF"/>
    <w:rsid w:val="006D4C4F"/>
    <w:rsid w:val="006D52DB"/>
    <w:rsid w:val="006D6CF9"/>
    <w:rsid w:val="006D6E08"/>
    <w:rsid w:val="006E396B"/>
    <w:rsid w:val="006E3AD6"/>
    <w:rsid w:val="006E3CD3"/>
    <w:rsid w:val="006E7BBF"/>
    <w:rsid w:val="006F43E8"/>
    <w:rsid w:val="006F4A94"/>
    <w:rsid w:val="006F560E"/>
    <w:rsid w:val="006F65D0"/>
    <w:rsid w:val="00700FDA"/>
    <w:rsid w:val="007015B7"/>
    <w:rsid w:val="00701CFA"/>
    <w:rsid w:val="007107CB"/>
    <w:rsid w:val="00711926"/>
    <w:rsid w:val="00711990"/>
    <w:rsid w:val="00711D52"/>
    <w:rsid w:val="00711E93"/>
    <w:rsid w:val="0071238E"/>
    <w:rsid w:val="0071530D"/>
    <w:rsid w:val="00715D3E"/>
    <w:rsid w:val="00716234"/>
    <w:rsid w:val="00717B85"/>
    <w:rsid w:val="00722DDD"/>
    <w:rsid w:val="00723267"/>
    <w:rsid w:val="007235E6"/>
    <w:rsid w:val="007237F0"/>
    <w:rsid w:val="0072581F"/>
    <w:rsid w:val="0073155B"/>
    <w:rsid w:val="007325C1"/>
    <w:rsid w:val="00734106"/>
    <w:rsid w:val="007362DC"/>
    <w:rsid w:val="00742635"/>
    <w:rsid w:val="00745227"/>
    <w:rsid w:val="007513A4"/>
    <w:rsid w:val="00756A65"/>
    <w:rsid w:val="007608E8"/>
    <w:rsid w:val="00761908"/>
    <w:rsid w:val="00763022"/>
    <w:rsid w:val="00770393"/>
    <w:rsid w:val="0077104E"/>
    <w:rsid w:val="00771C0B"/>
    <w:rsid w:val="00771FA8"/>
    <w:rsid w:val="00772ACB"/>
    <w:rsid w:val="00787C3F"/>
    <w:rsid w:val="00792076"/>
    <w:rsid w:val="0079486E"/>
    <w:rsid w:val="00797FA5"/>
    <w:rsid w:val="007A0D42"/>
    <w:rsid w:val="007A1CA2"/>
    <w:rsid w:val="007A3A60"/>
    <w:rsid w:val="007A4A19"/>
    <w:rsid w:val="007A79A2"/>
    <w:rsid w:val="007B15D3"/>
    <w:rsid w:val="007B439B"/>
    <w:rsid w:val="007B488F"/>
    <w:rsid w:val="007B6F6D"/>
    <w:rsid w:val="007B70D7"/>
    <w:rsid w:val="007B7AA2"/>
    <w:rsid w:val="007C1EE7"/>
    <w:rsid w:val="007C2C16"/>
    <w:rsid w:val="007C3D50"/>
    <w:rsid w:val="007C6E8C"/>
    <w:rsid w:val="007D08D4"/>
    <w:rsid w:val="007D6259"/>
    <w:rsid w:val="007D627E"/>
    <w:rsid w:val="007D727F"/>
    <w:rsid w:val="007E34E6"/>
    <w:rsid w:val="007E4035"/>
    <w:rsid w:val="007E4465"/>
    <w:rsid w:val="007E5342"/>
    <w:rsid w:val="007F2D21"/>
    <w:rsid w:val="007F3133"/>
    <w:rsid w:val="007F7192"/>
    <w:rsid w:val="0080141C"/>
    <w:rsid w:val="00802CFF"/>
    <w:rsid w:val="00805D04"/>
    <w:rsid w:val="0080651F"/>
    <w:rsid w:val="0080705C"/>
    <w:rsid w:val="00810AFD"/>
    <w:rsid w:val="00812B5B"/>
    <w:rsid w:val="00813BAA"/>
    <w:rsid w:val="00813FA0"/>
    <w:rsid w:val="0081526F"/>
    <w:rsid w:val="0081555A"/>
    <w:rsid w:val="0082112B"/>
    <w:rsid w:val="00823E8F"/>
    <w:rsid w:val="008240AC"/>
    <w:rsid w:val="0082416D"/>
    <w:rsid w:val="00826E50"/>
    <w:rsid w:val="0083194C"/>
    <w:rsid w:val="00831C82"/>
    <w:rsid w:val="00832048"/>
    <w:rsid w:val="0083204A"/>
    <w:rsid w:val="008323FD"/>
    <w:rsid w:val="0083397D"/>
    <w:rsid w:val="00834A4D"/>
    <w:rsid w:val="00837B7E"/>
    <w:rsid w:val="00837D3B"/>
    <w:rsid w:val="008429EC"/>
    <w:rsid w:val="00845848"/>
    <w:rsid w:val="00846FB4"/>
    <w:rsid w:val="00847005"/>
    <w:rsid w:val="0084704B"/>
    <w:rsid w:val="00853508"/>
    <w:rsid w:val="00856204"/>
    <w:rsid w:val="00856E09"/>
    <w:rsid w:val="00857438"/>
    <w:rsid w:val="008619C9"/>
    <w:rsid w:val="0086373B"/>
    <w:rsid w:val="00863EB9"/>
    <w:rsid w:val="00876167"/>
    <w:rsid w:val="00881D70"/>
    <w:rsid w:val="00883E36"/>
    <w:rsid w:val="008876EF"/>
    <w:rsid w:val="00893028"/>
    <w:rsid w:val="00893F19"/>
    <w:rsid w:val="0089445A"/>
    <w:rsid w:val="00894A8B"/>
    <w:rsid w:val="00894A9D"/>
    <w:rsid w:val="00896521"/>
    <w:rsid w:val="00896E23"/>
    <w:rsid w:val="008A1C23"/>
    <w:rsid w:val="008A1E45"/>
    <w:rsid w:val="008A2685"/>
    <w:rsid w:val="008A43F8"/>
    <w:rsid w:val="008A4612"/>
    <w:rsid w:val="008A46CA"/>
    <w:rsid w:val="008A4B45"/>
    <w:rsid w:val="008A5B01"/>
    <w:rsid w:val="008A7083"/>
    <w:rsid w:val="008B38EB"/>
    <w:rsid w:val="008B39C8"/>
    <w:rsid w:val="008B3B6D"/>
    <w:rsid w:val="008B47C4"/>
    <w:rsid w:val="008B5299"/>
    <w:rsid w:val="008B66D3"/>
    <w:rsid w:val="008C25AA"/>
    <w:rsid w:val="008C29A2"/>
    <w:rsid w:val="008C6730"/>
    <w:rsid w:val="008C7579"/>
    <w:rsid w:val="008D4BD3"/>
    <w:rsid w:val="008E3246"/>
    <w:rsid w:val="008E34C3"/>
    <w:rsid w:val="008E57EA"/>
    <w:rsid w:val="008E718A"/>
    <w:rsid w:val="008F1D77"/>
    <w:rsid w:val="008F26D7"/>
    <w:rsid w:val="008F4C1C"/>
    <w:rsid w:val="008F54FE"/>
    <w:rsid w:val="008F7227"/>
    <w:rsid w:val="0090406D"/>
    <w:rsid w:val="00904B11"/>
    <w:rsid w:val="009063B7"/>
    <w:rsid w:val="009123B4"/>
    <w:rsid w:val="00915556"/>
    <w:rsid w:val="0092465F"/>
    <w:rsid w:val="00925302"/>
    <w:rsid w:val="00936ABB"/>
    <w:rsid w:val="0093729B"/>
    <w:rsid w:val="009372FF"/>
    <w:rsid w:val="0093732B"/>
    <w:rsid w:val="00937B09"/>
    <w:rsid w:val="00941966"/>
    <w:rsid w:val="00942865"/>
    <w:rsid w:val="00942D4C"/>
    <w:rsid w:val="009454F8"/>
    <w:rsid w:val="00950368"/>
    <w:rsid w:val="00952841"/>
    <w:rsid w:val="009546D3"/>
    <w:rsid w:val="009575F7"/>
    <w:rsid w:val="00960444"/>
    <w:rsid w:val="00961114"/>
    <w:rsid w:val="00961AF8"/>
    <w:rsid w:val="00963BDF"/>
    <w:rsid w:val="00963EF6"/>
    <w:rsid w:val="00967B1E"/>
    <w:rsid w:val="00972416"/>
    <w:rsid w:val="00974533"/>
    <w:rsid w:val="00977BD5"/>
    <w:rsid w:val="00981AC6"/>
    <w:rsid w:val="009841D8"/>
    <w:rsid w:val="0098454A"/>
    <w:rsid w:val="00985EBF"/>
    <w:rsid w:val="00990342"/>
    <w:rsid w:val="00990BB0"/>
    <w:rsid w:val="00991FB8"/>
    <w:rsid w:val="0099257E"/>
    <w:rsid w:val="00992F19"/>
    <w:rsid w:val="00992F7E"/>
    <w:rsid w:val="00994447"/>
    <w:rsid w:val="0099671F"/>
    <w:rsid w:val="009A1099"/>
    <w:rsid w:val="009A16E9"/>
    <w:rsid w:val="009A4BEF"/>
    <w:rsid w:val="009B322A"/>
    <w:rsid w:val="009B3A29"/>
    <w:rsid w:val="009B3F82"/>
    <w:rsid w:val="009B4BA8"/>
    <w:rsid w:val="009B51CD"/>
    <w:rsid w:val="009B627A"/>
    <w:rsid w:val="009B7615"/>
    <w:rsid w:val="009C7026"/>
    <w:rsid w:val="009D051D"/>
    <w:rsid w:val="009D0D14"/>
    <w:rsid w:val="009D171E"/>
    <w:rsid w:val="009D226A"/>
    <w:rsid w:val="009D39CF"/>
    <w:rsid w:val="009D419C"/>
    <w:rsid w:val="009E1250"/>
    <w:rsid w:val="009F02B8"/>
    <w:rsid w:val="009F19F3"/>
    <w:rsid w:val="009F23DF"/>
    <w:rsid w:val="009F37C7"/>
    <w:rsid w:val="009F388D"/>
    <w:rsid w:val="009F39CB"/>
    <w:rsid w:val="009F6CA1"/>
    <w:rsid w:val="009F7AA3"/>
    <w:rsid w:val="00A0079D"/>
    <w:rsid w:val="00A034C6"/>
    <w:rsid w:val="00A051CB"/>
    <w:rsid w:val="00A059C5"/>
    <w:rsid w:val="00A05D84"/>
    <w:rsid w:val="00A13340"/>
    <w:rsid w:val="00A134F3"/>
    <w:rsid w:val="00A14B5C"/>
    <w:rsid w:val="00A1575C"/>
    <w:rsid w:val="00A17A1A"/>
    <w:rsid w:val="00A27DF9"/>
    <w:rsid w:val="00A32F55"/>
    <w:rsid w:val="00A337C5"/>
    <w:rsid w:val="00A34D1F"/>
    <w:rsid w:val="00A3663E"/>
    <w:rsid w:val="00A36D8C"/>
    <w:rsid w:val="00A41690"/>
    <w:rsid w:val="00A41CEA"/>
    <w:rsid w:val="00A43400"/>
    <w:rsid w:val="00A43704"/>
    <w:rsid w:val="00A47BC1"/>
    <w:rsid w:val="00A513FC"/>
    <w:rsid w:val="00A52418"/>
    <w:rsid w:val="00A53116"/>
    <w:rsid w:val="00A54CB8"/>
    <w:rsid w:val="00A557CC"/>
    <w:rsid w:val="00A5653D"/>
    <w:rsid w:val="00A60897"/>
    <w:rsid w:val="00A61CD3"/>
    <w:rsid w:val="00A61CE7"/>
    <w:rsid w:val="00A628F8"/>
    <w:rsid w:val="00A64BCF"/>
    <w:rsid w:val="00A656EB"/>
    <w:rsid w:val="00A706EA"/>
    <w:rsid w:val="00A73992"/>
    <w:rsid w:val="00A75C26"/>
    <w:rsid w:val="00A77AC6"/>
    <w:rsid w:val="00A806D1"/>
    <w:rsid w:val="00A807B8"/>
    <w:rsid w:val="00A81DEA"/>
    <w:rsid w:val="00A825C5"/>
    <w:rsid w:val="00A82BF4"/>
    <w:rsid w:val="00A850DF"/>
    <w:rsid w:val="00A9093C"/>
    <w:rsid w:val="00A931D5"/>
    <w:rsid w:val="00A936EF"/>
    <w:rsid w:val="00A95B2E"/>
    <w:rsid w:val="00A9639B"/>
    <w:rsid w:val="00AB08F9"/>
    <w:rsid w:val="00AB29C1"/>
    <w:rsid w:val="00AB664E"/>
    <w:rsid w:val="00AB7962"/>
    <w:rsid w:val="00AB7DD9"/>
    <w:rsid w:val="00AC57F1"/>
    <w:rsid w:val="00AC5D7B"/>
    <w:rsid w:val="00AD1F7D"/>
    <w:rsid w:val="00AD25D8"/>
    <w:rsid w:val="00AD3870"/>
    <w:rsid w:val="00AD39C9"/>
    <w:rsid w:val="00AD52E9"/>
    <w:rsid w:val="00AE330C"/>
    <w:rsid w:val="00AE69B3"/>
    <w:rsid w:val="00AE77C8"/>
    <w:rsid w:val="00AF4641"/>
    <w:rsid w:val="00AF56FA"/>
    <w:rsid w:val="00AF6106"/>
    <w:rsid w:val="00AF6220"/>
    <w:rsid w:val="00AF720D"/>
    <w:rsid w:val="00AF73A2"/>
    <w:rsid w:val="00B02E22"/>
    <w:rsid w:val="00B12B2A"/>
    <w:rsid w:val="00B12C85"/>
    <w:rsid w:val="00B15CCD"/>
    <w:rsid w:val="00B2098D"/>
    <w:rsid w:val="00B21050"/>
    <w:rsid w:val="00B21F97"/>
    <w:rsid w:val="00B223EC"/>
    <w:rsid w:val="00B228D2"/>
    <w:rsid w:val="00B22AF4"/>
    <w:rsid w:val="00B22E0F"/>
    <w:rsid w:val="00B24559"/>
    <w:rsid w:val="00B24881"/>
    <w:rsid w:val="00B26F0B"/>
    <w:rsid w:val="00B27E6A"/>
    <w:rsid w:val="00B32391"/>
    <w:rsid w:val="00B34ABD"/>
    <w:rsid w:val="00B354A8"/>
    <w:rsid w:val="00B3552B"/>
    <w:rsid w:val="00B415A4"/>
    <w:rsid w:val="00B46585"/>
    <w:rsid w:val="00B46702"/>
    <w:rsid w:val="00B519E5"/>
    <w:rsid w:val="00B55835"/>
    <w:rsid w:val="00B56647"/>
    <w:rsid w:val="00B57472"/>
    <w:rsid w:val="00B608C0"/>
    <w:rsid w:val="00B61252"/>
    <w:rsid w:val="00B612D5"/>
    <w:rsid w:val="00B65226"/>
    <w:rsid w:val="00B65E11"/>
    <w:rsid w:val="00B665E1"/>
    <w:rsid w:val="00B7264B"/>
    <w:rsid w:val="00B73A74"/>
    <w:rsid w:val="00B746D6"/>
    <w:rsid w:val="00B75CBA"/>
    <w:rsid w:val="00B76092"/>
    <w:rsid w:val="00B76898"/>
    <w:rsid w:val="00B77E1A"/>
    <w:rsid w:val="00B8026D"/>
    <w:rsid w:val="00B8302D"/>
    <w:rsid w:val="00B84224"/>
    <w:rsid w:val="00B847A7"/>
    <w:rsid w:val="00B86B0C"/>
    <w:rsid w:val="00B90739"/>
    <w:rsid w:val="00B926C0"/>
    <w:rsid w:val="00B93E85"/>
    <w:rsid w:val="00B969DB"/>
    <w:rsid w:val="00B96FAB"/>
    <w:rsid w:val="00B97D15"/>
    <w:rsid w:val="00BA2710"/>
    <w:rsid w:val="00BA5710"/>
    <w:rsid w:val="00BA750B"/>
    <w:rsid w:val="00BB0B82"/>
    <w:rsid w:val="00BB219D"/>
    <w:rsid w:val="00BB2C4B"/>
    <w:rsid w:val="00BB37A4"/>
    <w:rsid w:val="00BB71E3"/>
    <w:rsid w:val="00BC0AE5"/>
    <w:rsid w:val="00BC519C"/>
    <w:rsid w:val="00BC62B2"/>
    <w:rsid w:val="00BC7146"/>
    <w:rsid w:val="00BD0CEB"/>
    <w:rsid w:val="00BD2C7E"/>
    <w:rsid w:val="00BD3A6B"/>
    <w:rsid w:val="00BD7C1D"/>
    <w:rsid w:val="00BE498D"/>
    <w:rsid w:val="00BE5765"/>
    <w:rsid w:val="00BE7902"/>
    <w:rsid w:val="00BF2914"/>
    <w:rsid w:val="00BF3AEA"/>
    <w:rsid w:val="00BF6F61"/>
    <w:rsid w:val="00C03DF4"/>
    <w:rsid w:val="00C05A2A"/>
    <w:rsid w:val="00C06054"/>
    <w:rsid w:val="00C124C5"/>
    <w:rsid w:val="00C1534E"/>
    <w:rsid w:val="00C1577A"/>
    <w:rsid w:val="00C158D3"/>
    <w:rsid w:val="00C22B36"/>
    <w:rsid w:val="00C34074"/>
    <w:rsid w:val="00C3417C"/>
    <w:rsid w:val="00C3528F"/>
    <w:rsid w:val="00C3565D"/>
    <w:rsid w:val="00C36368"/>
    <w:rsid w:val="00C36807"/>
    <w:rsid w:val="00C40336"/>
    <w:rsid w:val="00C41503"/>
    <w:rsid w:val="00C418C7"/>
    <w:rsid w:val="00C42CE3"/>
    <w:rsid w:val="00C44BB0"/>
    <w:rsid w:val="00C458FE"/>
    <w:rsid w:val="00C4660E"/>
    <w:rsid w:val="00C502D2"/>
    <w:rsid w:val="00C52301"/>
    <w:rsid w:val="00C546E8"/>
    <w:rsid w:val="00C54A0B"/>
    <w:rsid w:val="00C60230"/>
    <w:rsid w:val="00C60730"/>
    <w:rsid w:val="00C63C3C"/>
    <w:rsid w:val="00C673E3"/>
    <w:rsid w:val="00C70031"/>
    <w:rsid w:val="00C7296A"/>
    <w:rsid w:val="00C7330C"/>
    <w:rsid w:val="00C754E2"/>
    <w:rsid w:val="00C75EF5"/>
    <w:rsid w:val="00C800BA"/>
    <w:rsid w:val="00C8080A"/>
    <w:rsid w:val="00C81101"/>
    <w:rsid w:val="00C81C35"/>
    <w:rsid w:val="00C824DE"/>
    <w:rsid w:val="00C85114"/>
    <w:rsid w:val="00C8526E"/>
    <w:rsid w:val="00C867E7"/>
    <w:rsid w:val="00C91750"/>
    <w:rsid w:val="00C92A03"/>
    <w:rsid w:val="00C94A00"/>
    <w:rsid w:val="00C9661B"/>
    <w:rsid w:val="00C96C71"/>
    <w:rsid w:val="00CA0C47"/>
    <w:rsid w:val="00CA1464"/>
    <w:rsid w:val="00CA1A00"/>
    <w:rsid w:val="00CA45F9"/>
    <w:rsid w:val="00CA4C2D"/>
    <w:rsid w:val="00CA54D4"/>
    <w:rsid w:val="00CB0636"/>
    <w:rsid w:val="00CB0FEC"/>
    <w:rsid w:val="00CB5194"/>
    <w:rsid w:val="00CB590F"/>
    <w:rsid w:val="00CC072F"/>
    <w:rsid w:val="00CC2930"/>
    <w:rsid w:val="00CC524E"/>
    <w:rsid w:val="00CC6237"/>
    <w:rsid w:val="00CC7247"/>
    <w:rsid w:val="00CC72A1"/>
    <w:rsid w:val="00CC7D4C"/>
    <w:rsid w:val="00CD005C"/>
    <w:rsid w:val="00CD2EEC"/>
    <w:rsid w:val="00CD5142"/>
    <w:rsid w:val="00CD6A0F"/>
    <w:rsid w:val="00CD7072"/>
    <w:rsid w:val="00CE225A"/>
    <w:rsid w:val="00CE36A4"/>
    <w:rsid w:val="00CE39DB"/>
    <w:rsid w:val="00CE3EFB"/>
    <w:rsid w:val="00CE45C9"/>
    <w:rsid w:val="00CE4D63"/>
    <w:rsid w:val="00CE6E94"/>
    <w:rsid w:val="00CF0168"/>
    <w:rsid w:val="00CF17F9"/>
    <w:rsid w:val="00CF1E9E"/>
    <w:rsid w:val="00CF6523"/>
    <w:rsid w:val="00CF6C54"/>
    <w:rsid w:val="00D02454"/>
    <w:rsid w:val="00D02D30"/>
    <w:rsid w:val="00D06DE6"/>
    <w:rsid w:val="00D112CD"/>
    <w:rsid w:val="00D11F2B"/>
    <w:rsid w:val="00D1795D"/>
    <w:rsid w:val="00D17F2A"/>
    <w:rsid w:val="00D2013F"/>
    <w:rsid w:val="00D22342"/>
    <w:rsid w:val="00D22468"/>
    <w:rsid w:val="00D2457A"/>
    <w:rsid w:val="00D25396"/>
    <w:rsid w:val="00D36922"/>
    <w:rsid w:val="00D412A0"/>
    <w:rsid w:val="00D41E9C"/>
    <w:rsid w:val="00D43528"/>
    <w:rsid w:val="00D45720"/>
    <w:rsid w:val="00D45B41"/>
    <w:rsid w:val="00D50E44"/>
    <w:rsid w:val="00D52075"/>
    <w:rsid w:val="00D5312A"/>
    <w:rsid w:val="00D56544"/>
    <w:rsid w:val="00D615DF"/>
    <w:rsid w:val="00D61610"/>
    <w:rsid w:val="00D61B84"/>
    <w:rsid w:val="00D6328C"/>
    <w:rsid w:val="00D662A4"/>
    <w:rsid w:val="00D7105F"/>
    <w:rsid w:val="00D71E2E"/>
    <w:rsid w:val="00D71E3C"/>
    <w:rsid w:val="00D75DC2"/>
    <w:rsid w:val="00D75F62"/>
    <w:rsid w:val="00D8011A"/>
    <w:rsid w:val="00D81770"/>
    <w:rsid w:val="00D81D30"/>
    <w:rsid w:val="00D827E5"/>
    <w:rsid w:val="00D82AF4"/>
    <w:rsid w:val="00D82B6B"/>
    <w:rsid w:val="00D85EE5"/>
    <w:rsid w:val="00D92095"/>
    <w:rsid w:val="00D947D1"/>
    <w:rsid w:val="00D94AF1"/>
    <w:rsid w:val="00D97E63"/>
    <w:rsid w:val="00DA0D04"/>
    <w:rsid w:val="00DA2F67"/>
    <w:rsid w:val="00DB30BD"/>
    <w:rsid w:val="00DB7474"/>
    <w:rsid w:val="00DB7D50"/>
    <w:rsid w:val="00DC4B2A"/>
    <w:rsid w:val="00DC5767"/>
    <w:rsid w:val="00DC637E"/>
    <w:rsid w:val="00DD095F"/>
    <w:rsid w:val="00DD0BFD"/>
    <w:rsid w:val="00DD55D2"/>
    <w:rsid w:val="00DD6CB2"/>
    <w:rsid w:val="00DD7561"/>
    <w:rsid w:val="00DE1C41"/>
    <w:rsid w:val="00DF0C7A"/>
    <w:rsid w:val="00DF20D4"/>
    <w:rsid w:val="00DF38D9"/>
    <w:rsid w:val="00DF41C3"/>
    <w:rsid w:val="00E0298B"/>
    <w:rsid w:val="00E04854"/>
    <w:rsid w:val="00E1514B"/>
    <w:rsid w:val="00E21208"/>
    <w:rsid w:val="00E2287B"/>
    <w:rsid w:val="00E253F1"/>
    <w:rsid w:val="00E27247"/>
    <w:rsid w:val="00E3059E"/>
    <w:rsid w:val="00E31496"/>
    <w:rsid w:val="00E32AAC"/>
    <w:rsid w:val="00E3422D"/>
    <w:rsid w:val="00E418F2"/>
    <w:rsid w:val="00E41D99"/>
    <w:rsid w:val="00E42394"/>
    <w:rsid w:val="00E42428"/>
    <w:rsid w:val="00E52880"/>
    <w:rsid w:val="00E52A0B"/>
    <w:rsid w:val="00E548E7"/>
    <w:rsid w:val="00E55CB5"/>
    <w:rsid w:val="00E6509F"/>
    <w:rsid w:val="00E67EA9"/>
    <w:rsid w:val="00E70360"/>
    <w:rsid w:val="00E717CA"/>
    <w:rsid w:val="00E7305F"/>
    <w:rsid w:val="00E76311"/>
    <w:rsid w:val="00E90374"/>
    <w:rsid w:val="00E91203"/>
    <w:rsid w:val="00E91DBA"/>
    <w:rsid w:val="00E91F61"/>
    <w:rsid w:val="00E9624D"/>
    <w:rsid w:val="00E97018"/>
    <w:rsid w:val="00E97EA5"/>
    <w:rsid w:val="00E97EFD"/>
    <w:rsid w:val="00EA1C08"/>
    <w:rsid w:val="00EA44E9"/>
    <w:rsid w:val="00EA5ADD"/>
    <w:rsid w:val="00EA70C8"/>
    <w:rsid w:val="00EB03D6"/>
    <w:rsid w:val="00EB0DAA"/>
    <w:rsid w:val="00EB2515"/>
    <w:rsid w:val="00EB2C5A"/>
    <w:rsid w:val="00EB66B7"/>
    <w:rsid w:val="00EC280B"/>
    <w:rsid w:val="00EC45BA"/>
    <w:rsid w:val="00EC47E5"/>
    <w:rsid w:val="00ED026F"/>
    <w:rsid w:val="00ED0D9F"/>
    <w:rsid w:val="00ED1F4D"/>
    <w:rsid w:val="00ED45C6"/>
    <w:rsid w:val="00ED4DE7"/>
    <w:rsid w:val="00EE44A6"/>
    <w:rsid w:val="00EE5461"/>
    <w:rsid w:val="00EF0164"/>
    <w:rsid w:val="00EF0CCA"/>
    <w:rsid w:val="00EF15B6"/>
    <w:rsid w:val="00EF47EB"/>
    <w:rsid w:val="00EF4F5B"/>
    <w:rsid w:val="00EF6981"/>
    <w:rsid w:val="00F028CA"/>
    <w:rsid w:val="00F02A9C"/>
    <w:rsid w:val="00F02E2F"/>
    <w:rsid w:val="00F03A74"/>
    <w:rsid w:val="00F04734"/>
    <w:rsid w:val="00F06357"/>
    <w:rsid w:val="00F067B1"/>
    <w:rsid w:val="00F0688A"/>
    <w:rsid w:val="00F10452"/>
    <w:rsid w:val="00F108DA"/>
    <w:rsid w:val="00F10FB0"/>
    <w:rsid w:val="00F11393"/>
    <w:rsid w:val="00F1382A"/>
    <w:rsid w:val="00F13F6B"/>
    <w:rsid w:val="00F17B10"/>
    <w:rsid w:val="00F23E40"/>
    <w:rsid w:val="00F25D92"/>
    <w:rsid w:val="00F264D5"/>
    <w:rsid w:val="00F303AF"/>
    <w:rsid w:val="00F33887"/>
    <w:rsid w:val="00F35708"/>
    <w:rsid w:val="00F43E08"/>
    <w:rsid w:val="00F44EA0"/>
    <w:rsid w:val="00F528C4"/>
    <w:rsid w:val="00F531DB"/>
    <w:rsid w:val="00F53B59"/>
    <w:rsid w:val="00F560FB"/>
    <w:rsid w:val="00F5732C"/>
    <w:rsid w:val="00F57DB8"/>
    <w:rsid w:val="00F6301A"/>
    <w:rsid w:val="00F63D44"/>
    <w:rsid w:val="00F6697A"/>
    <w:rsid w:val="00F67A3C"/>
    <w:rsid w:val="00F71389"/>
    <w:rsid w:val="00F73CA1"/>
    <w:rsid w:val="00F8211A"/>
    <w:rsid w:val="00F825AC"/>
    <w:rsid w:val="00F83FCA"/>
    <w:rsid w:val="00F8564A"/>
    <w:rsid w:val="00F85D05"/>
    <w:rsid w:val="00F86D2C"/>
    <w:rsid w:val="00F944DF"/>
    <w:rsid w:val="00F96F78"/>
    <w:rsid w:val="00FA0A23"/>
    <w:rsid w:val="00FA0BDB"/>
    <w:rsid w:val="00FA4FA1"/>
    <w:rsid w:val="00FA6521"/>
    <w:rsid w:val="00FB1872"/>
    <w:rsid w:val="00FB3D0F"/>
    <w:rsid w:val="00FB5A75"/>
    <w:rsid w:val="00FC0AB2"/>
    <w:rsid w:val="00FC0BB2"/>
    <w:rsid w:val="00FC1277"/>
    <w:rsid w:val="00FC38C2"/>
    <w:rsid w:val="00FC444F"/>
    <w:rsid w:val="00FC4C10"/>
    <w:rsid w:val="00FC4CF4"/>
    <w:rsid w:val="00FC6158"/>
    <w:rsid w:val="00FC637A"/>
    <w:rsid w:val="00FC7B28"/>
    <w:rsid w:val="00FD27BD"/>
    <w:rsid w:val="00FD64F4"/>
    <w:rsid w:val="00FD74CF"/>
    <w:rsid w:val="00FD779D"/>
    <w:rsid w:val="00FD7D47"/>
    <w:rsid w:val="00FE009E"/>
    <w:rsid w:val="00FE2DB1"/>
    <w:rsid w:val="00FE557E"/>
    <w:rsid w:val="00FE79B3"/>
    <w:rsid w:val="00FF24A3"/>
    <w:rsid w:val="00FF55B2"/>
    <w:rsid w:val="00FF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899E78"/>
  <w15:docId w15:val="{4694943C-2BB5-47CD-B6F5-8342CBABF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F7D"/>
    <w:pPr>
      <w:keepNext/>
      <w:keepLines/>
      <w:spacing w:before="240" w:after="0"/>
      <w:outlineLvl w:val="0"/>
    </w:pPr>
    <w:rPr>
      <w:rFonts w:asciiTheme="majorHAnsi" w:eastAsiaTheme="majorEastAsia" w:hAnsiTheme="majorHAnsi" w:cstheme="majorBidi"/>
      <w:color w:val="608C30" w:themeColor="accent1" w:themeShade="BF"/>
      <w:sz w:val="32"/>
      <w:szCs w:val="32"/>
    </w:rPr>
  </w:style>
  <w:style w:type="paragraph" w:styleId="Heading2">
    <w:name w:val="heading 2"/>
    <w:basedOn w:val="Normal"/>
    <w:next w:val="Normal"/>
    <w:link w:val="Heading2Char"/>
    <w:uiPriority w:val="9"/>
    <w:semiHidden/>
    <w:unhideWhenUsed/>
    <w:qFormat/>
    <w:rsid w:val="00AD1F7D"/>
    <w:pPr>
      <w:keepNext/>
      <w:keepLines/>
      <w:spacing w:before="40" w:after="0"/>
      <w:outlineLvl w:val="1"/>
    </w:pPr>
    <w:rPr>
      <w:rFonts w:asciiTheme="majorHAnsi" w:eastAsiaTheme="majorEastAsia" w:hAnsiTheme="majorHAnsi" w:cstheme="majorBidi"/>
      <w:color w:val="608C30" w:themeColor="accent1" w:themeShade="BF"/>
      <w:sz w:val="26"/>
      <w:szCs w:val="26"/>
    </w:rPr>
  </w:style>
  <w:style w:type="paragraph" w:styleId="Heading3">
    <w:name w:val="heading 3"/>
    <w:basedOn w:val="Normal"/>
    <w:next w:val="Normal"/>
    <w:link w:val="Heading3Char"/>
    <w:uiPriority w:val="9"/>
    <w:semiHidden/>
    <w:unhideWhenUsed/>
    <w:qFormat/>
    <w:rsid w:val="00AD1F7D"/>
    <w:pPr>
      <w:keepNext/>
      <w:keepLines/>
      <w:spacing w:before="40" w:after="0"/>
      <w:outlineLvl w:val="2"/>
    </w:pPr>
    <w:rPr>
      <w:rFonts w:asciiTheme="majorHAnsi" w:eastAsiaTheme="majorEastAsia" w:hAnsiTheme="majorHAnsi" w:cstheme="majorBidi"/>
      <w:color w:val="405D20" w:themeColor="accent1" w:themeShade="7F"/>
      <w:sz w:val="24"/>
      <w:szCs w:val="24"/>
    </w:rPr>
  </w:style>
  <w:style w:type="paragraph" w:styleId="Heading4">
    <w:name w:val="heading 4"/>
    <w:basedOn w:val="Normal"/>
    <w:next w:val="Normal"/>
    <w:link w:val="Heading4Char"/>
    <w:uiPriority w:val="9"/>
    <w:semiHidden/>
    <w:unhideWhenUsed/>
    <w:qFormat/>
    <w:rsid w:val="00AD1F7D"/>
    <w:pPr>
      <w:keepNext/>
      <w:keepLines/>
      <w:spacing w:before="40" w:after="0"/>
      <w:outlineLvl w:val="3"/>
    </w:pPr>
    <w:rPr>
      <w:rFonts w:asciiTheme="majorHAnsi" w:eastAsiaTheme="majorEastAsia" w:hAnsiTheme="majorHAnsi" w:cstheme="majorBidi"/>
      <w:i/>
      <w:iCs/>
      <w:color w:val="608C30" w:themeColor="accent1" w:themeShade="BF"/>
    </w:rPr>
  </w:style>
  <w:style w:type="paragraph" w:styleId="Heading5">
    <w:name w:val="heading 5"/>
    <w:basedOn w:val="Normal"/>
    <w:next w:val="Normal"/>
    <w:link w:val="Heading5Char"/>
    <w:uiPriority w:val="9"/>
    <w:semiHidden/>
    <w:unhideWhenUsed/>
    <w:qFormat/>
    <w:rsid w:val="00AD1F7D"/>
    <w:pPr>
      <w:keepNext/>
      <w:keepLines/>
      <w:spacing w:before="40" w:after="0"/>
      <w:outlineLvl w:val="4"/>
    </w:pPr>
    <w:rPr>
      <w:rFonts w:asciiTheme="majorHAnsi" w:eastAsiaTheme="majorEastAsia" w:hAnsiTheme="majorHAnsi" w:cstheme="majorBidi"/>
      <w:color w:val="608C30" w:themeColor="accent1" w:themeShade="BF"/>
    </w:rPr>
  </w:style>
  <w:style w:type="paragraph" w:styleId="Heading6">
    <w:name w:val="heading 6"/>
    <w:basedOn w:val="Normal"/>
    <w:next w:val="Normal"/>
    <w:link w:val="Heading6Char"/>
    <w:uiPriority w:val="9"/>
    <w:semiHidden/>
    <w:unhideWhenUsed/>
    <w:qFormat/>
    <w:rsid w:val="00AD1F7D"/>
    <w:pPr>
      <w:keepNext/>
      <w:keepLines/>
      <w:spacing w:before="40" w:after="0"/>
      <w:outlineLvl w:val="5"/>
    </w:pPr>
    <w:rPr>
      <w:rFonts w:asciiTheme="majorHAnsi" w:eastAsiaTheme="majorEastAsia" w:hAnsiTheme="majorHAnsi" w:cstheme="majorBidi"/>
      <w:color w:val="405D20" w:themeColor="accent1" w:themeShade="7F"/>
    </w:rPr>
  </w:style>
  <w:style w:type="paragraph" w:styleId="Heading7">
    <w:name w:val="heading 7"/>
    <w:basedOn w:val="Normal"/>
    <w:next w:val="Normal"/>
    <w:link w:val="Heading7Char"/>
    <w:uiPriority w:val="9"/>
    <w:semiHidden/>
    <w:unhideWhenUsed/>
    <w:qFormat/>
    <w:rsid w:val="00AD1F7D"/>
    <w:pPr>
      <w:keepNext/>
      <w:keepLines/>
      <w:spacing w:before="40" w:after="0"/>
      <w:outlineLvl w:val="6"/>
    </w:pPr>
    <w:rPr>
      <w:rFonts w:asciiTheme="majorHAnsi" w:eastAsiaTheme="majorEastAsia" w:hAnsiTheme="majorHAnsi" w:cstheme="majorBidi"/>
      <w:i/>
      <w:iCs/>
      <w:color w:val="405D20" w:themeColor="accent1" w:themeShade="7F"/>
    </w:rPr>
  </w:style>
  <w:style w:type="paragraph" w:styleId="Heading8">
    <w:name w:val="heading 8"/>
    <w:basedOn w:val="Normal"/>
    <w:next w:val="Normal"/>
    <w:link w:val="Heading8Char"/>
    <w:uiPriority w:val="9"/>
    <w:semiHidden/>
    <w:unhideWhenUsed/>
    <w:qFormat/>
    <w:rsid w:val="00AD1F7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F7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D99"/>
  </w:style>
  <w:style w:type="paragraph" w:styleId="Footer">
    <w:name w:val="footer"/>
    <w:basedOn w:val="Normal"/>
    <w:link w:val="FooterChar"/>
    <w:uiPriority w:val="99"/>
    <w:unhideWhenUsed/>
    <w:rsid w:val="00E41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D99"/>
  </w:style>
  <w:style w:type="paragraph" w:styleId="BalloonText">
    <w:name w:val="Balloon Text"/>
    <w:basedOn w:val="Normal"/>
    <w:link w:val="BalloonTextChar"/>
    <w:uiPriority w:val="99"/>
    <w:semiHidden/>
    <w:unhideWhenUsed/>
    <w:rsid w:val="00F063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357"/>
    <w:rPr>
      <w:rFonts w:ascii="Segoe UI" w:hAnsi="Segoe UI" w:cs="Segoe UI"/>
      <w:sz w:val="18"/>
      <w:szCs w:val="18"/>
    </w:rPr>
  </w:style>
  <w:style w:type="paragraph" w:styleId="Revision">
    <w:name w:val="Revision"/>
    <w:hidden/>
    <w:uiPriority w:val="99"/>
    <w:semiHidden/>
    <w:rsid w:val="00D5312A"/>
    <w:pPr>
      <w:spacing w:after="0" w:line="240" w:lineRule="auto"/>
    </w:pPr>
  </w:style>
  <w:style w:type="paragraph" w:styleId="ListParagraph">
    <w:name w:val="List Paragraph"/>
    <w:basedOn w:val="Normal"/>
    <w:uiPriority w:val="34"/>
    <w:qFormat/>
    <w:rsid w:val="00EA5ADD"/>
    <w:pPr>
      <w:ind w:left="720"/>
      <w:contextualSpacing/>
    </w:pPr>
  </w:style>
  <w:style w:type="paragraph" w:styleId="Bibliography">
    <w:name w:val="Bibliography"/>
    <w:basedOn w:val="Normal"/>
    <w:next w:val="Normal"/>
    <w:uiPriority w:val="37"/>
    <w:semiHidden/>
    <w:unhideWhenUsed/>
    <w:rsid w:val="00AD1F7D"/>
  </w:style>
  <w:style w:type="paragraph" w:styleId="BlockText">
    <w:name w:val="Block Text"/>
    <w:basedOn w:val="Normal"/>
    <w:uiPriority w:val="99"/>
    <w:semiHidden/>
    <w:unhideWhenUsed/>
    <w:rsid w:val="00AD1F7D"/>
    <w:pPr>
      <w:pBdr>
        <w:top w:val="single" w:sz="2" w:space="10" w:color="81BC41" w:themeColor="accent1"/>
        <w:left w:val="single" w:sz="2" w:space="10" w:color="81BC41" w:themeColor="accent1"/>
        <w:bottom w:val="single" w:sz="2" w:space="10" w:color="81BC41" w:themeColor="accent1"/>
        <w:right w:val="single" w:sz="2" w:space="10" w:color="81BC41" w:themeColor="accent1"/>
      </w:pBdr>
      <w:ind w:left="1152" w:right="1152"/>
    </w:pPr>
    <w:rPr>
      <w:rFonts w:eastAsiaTheme="minorEastAsia"/>
      <w:i/>
      <w:iCs/>
      <w:color w:val="81BC41" w:themeColor="accent1"/>
    </w:rPr>
  </w:style>
  <w:style w:type="paragraph" w:styleId="BodyText">
    <w:name w:val="Body Text"/>
    <w:basedOn w:val="Normal"/>
    <w:link w:val="BodyTextChar"/>
    <w:uiPriority w:val="99"/>
    <w:semiHidden/>
    <w:unhideWhenUsed/>
    <w:rsid w:val="00AD1F7D"/>
    <w:pPr>
      <w:spacing w:after="120"/>
    </w:pPr>
  </w:style>
  <w:style w:type="character" w:customStyle="1" w:styleId="BodyTextChar">
    <w:name w:val="Body Text Char"/>
    <w:basedOn w:val="DefaultParagraphFont"/>
    <w:link w:val="BodyText"/>
    <w:uiPriority w:val="99"/>
    <w:semiHidden/>
    <w:rsid w:val="00AD1F7D"/>
  </w:style>
  <w:style w:type="paragraph" w:styleId="BodyText2">
    <w:name w:val="Body Text 2"/>
    <w:basedOn w:val="Normal"/>
    <w:link w:val="BodyText2Char"/>
    <w:uiPriority w:val="99"/>
    <w:semiHidden/>
    <w:unhideWhenUsed/>
    <w:rsid w:val="00AD1F7D"/>
    <w:pPr>
      <w:spacing w:after="120" w:line="480" w:lineRule="auto"/>
    </w:pPr>
  </w:style>
  <w:style w:type="character" w:customStyle="1" w:styleId="BodyText2Char">
    <w:name w:val="Body Text 2 Char"/>
    <w:basedOn w:val="DefaultParagraphFont"/>
    <w:link w:val="BodyText2"/>
    <w:uiPriority w:val="99"/>
    <w:semiHidden/>
    <w:rsid w:val="00AD1F7D"/>
  </w:style>
  <w:style w:type="paragraph" w:styleId="BodyText3">
    <w:name w:val="Body Text 3"/>
    <w:basedOn w:val="Normal"/>
    <w:link w:val="BodyText3Char"/>
    <w:uiPriority w:val="99"/>
    <w:semiHidden/>
    <w:unhideWhenUsed/>
    <w:rsid w:val="00AD1F7D"/>
    <w:pPr>
      <w:spacing w:after="120"/>
    </w:pPr>
    <w:rPr>
      <w:sz w:val="16"/>
      <w:szCs w:val="16"/>
    </w:rPr>
  </w:style>
  <w:style w:type="character" w:customStyle="1" w:styleId="BodyText3Char">
    <w:name w:val="Body Text 3 Char"/>
    <w:basedOn w:val="DefaultParagraphFont"/>
    <w:link w:val="BodyText3"/>
    <w:uiPriority w:val="99"/>
    <w:semiHidden/>
    <w:rsid w:val="00AD1F7D"/>
    <w:rPr>
      <w:sz w:val="16"/>
      <w:szCs w:val="16"/>
    </w:rPr>
  </w:style>
  <w:style w:type="paragraph" w:styleId="BodyTextFirstIndent">
    <w:name w:val="Body Text First Indent"/>
    <w:basedOn w:val="BodyText"/>
    <w:link w:val="BodyTextFirstIndentChar"/>
    <w:uiPriority w:val="99"/>
    <w:semiHidden/>
    <w:unhideWhenUsed/>
    <w:rsid w:val="00AD1F7D"/>
    <w:pPr>
      <w:spacing w:after="160"/>
      <w:ind w:firstLine="360"/>
    </w:pPr>
  </w:style>
  <w:style w:type="character" w:customStyle="1" w:styleId="BodyTextFirstIndentChar">
    <w:name w:val="Body Text First Indent Char"/>
    <w:basedOn w:val="BodyTextChar"/>
    <w:link w:val="BodyTextFirstIndent"/>
    <w:uiPriority w:val="99"/>
    <w:semiHidden/>
    <w:rsid w:val="00AD1F7D"/>
  </w:style>
  <w:style w:type="paragraph" w:styleId="BodyTextIndent">
    <w:name w:val="Body Text Indent"/>
    <w:basedOn w:val="Normal"/>
    <w:link w:val="BodyTextIndentChar"/>
    <w:uiPriority w:val="99"/>
    <w:semiHidden/>
    <w:unhideWhenUsed/>
    <w:rsid w:val="00AD1F7D"/>
    <w:pPr>
      <w:spacing w:after="120"/>
      <w:ind w:left="360"/>
    </w:pPr>
  </w:style>
  <w:style w:type="character" w:customStyle="1" w:styleId="BodyTextIndentChar">
    <w:name w:val="Body Text Indent Char"/>
    <w:basedOn w:val="DefaultParagraphFont"/>
    <w:link w:val="BodyTextIndent"/>
    <w:uiPriority w:val="99"/>
    <w:semiHidden/>
    <w:rsid w:val="00AD1F7D"/>
  </w:style>
  <w:style w:type="paragraph" w:styleId="BodyTextFirstIndent2">
    <w:name w:val="Body Text First Indent 2"/>
    <w:basedOn w:val="BodyTextIndent"/>
    <w:link w:val="BodyTextFirstIndent2Char"/>
    <w:uiPriority w:val="99"/>
    <w:semiHidden/>
    <w:unhideWhenUsed/>
    <w:rsid w:val="00AD1F7D"/>
    <w:pPr>
      <w:spacing w:after="160"/>
      <w:ind w:firstLine="360"/>
    </w:pPr>
  </w:style>
  <w:style w:type="character" w:customStyle="1" w:styleId="BodyTextFirstIndent2Char">
    <w:name w:val="Body Text First Indent 2 Char"/>
    <w:basedOn w:val="BodyTextIndentChar"/>
    <w:link w:val="BodyTextFirstIndent2"/>
    <w:uiPriority w:val="99"/>
    <w:semiHidden/>
    <w:rsid w:val="00AD1F7D"/>
  </w:style>
  <w:style w:type="paragraph" w:styleId="BodyTextIndent2">
    <w:name w:val="Body Text Indent 2"/>
    <w:basedOn w:val="Normal"/>
    <w:link w:val="BodyTextIndent2Char"/>
    <w:uiPriority w:val="99"/>
    <w:semiHidden/>
    <w:unhideWhenUsed/>
    <w:rsid w:val="00AD1F7D"/>
    <w:pPr>
      <w:spacing w:after="120" w:line="480" w:lineRule="auto"/>
      <w:ind w:left="360"/>
    </w:pPr>
  </w:style>
  <w:style w:type="character" w:customStyle="1" w:styleId="BodyTextIndent2Char">
    <w:name w:val="Body Text Indent 2 Char"/>
    <w:basedOn w:val="DefaultParagraphFont"/>
    <w:link w:val="BodyTextIndent2"/>
    <w:uiPriority w:val="99"/>
    <w:semiHidden/>
    <w:rsid w:val="00AD1F7D"/>
  </w:style>
  <w:style w:type="paragraph" w:styleId="BodyTextIndent3">
    <w:name w:val="Body Text Indent 3"/>
    <w:basedOn w:val="Normal"/>
    <w:link w:val="BodyTextIndent3Char"/>
    <w:uiPriority w:val="99"/>
    <w:semiHidden/>
    <w:unhideWhenUsed/>
    <w:rsid w:val="00AD1F7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D1F7D"/>
    <w:rPr>
      <w:sz w:val="16"/>
      <w:szCs w:val="16"/>
    </w:rPr>
  </w:style>
  <w:style w:type="paragraph" w:styleId="Caption">
    <w:name w:val="caption"/>
    <w:basedOn w:val="Normal"/>
    <w:next w:val="Normal"/>
    <w:uiPriority w:val="35"/>
    <w:semiHidden/>
    <w:unhideWhenUsed/>
    <w:qFormat/>
    <w:rsid w:val="00AD1F7D"/>
    <w:pPr>
      <w:spacing w:after="200" w:line="240" w:lineRule="auto"/>
    </w:pPr>
    <w:rPr>
      <w:i/>
      <w:iCs/>
      <w:color w:val="5B564D" w:themeColor="text2"/>
      <w:sz w:val="18"/>
      <w:szCs w:val="18"/>
    </w:rPr>
  </w:style>
  <w:style w:type="paragraph" w:styleId="Closing">
    <w:name w:val="Closing"/>
    <w:basedOn w:val="Normal"/>
    <w:link w:val="ClosingChar"/>
    <w:uiPriority w:val="99"/>
    <w:semiHidden/>
    <w:unhideWhenUsed/>
    <w:rsid w:val="00AD1F7D"/>
    <w:pPr>
      <w:spacing w:after="0" w:line="240" w:lineRule="auto"/>
      <w:ind w:left="4320"/>
    </w:pPr>
  </w:style>
  <w:style w:type="character" w:customStyle="1" w:styleId="ClosingChar">
    <w:name w:val="Closing Char"/>
    <w:basedOn w:val="DefaultParagraphFont"/>
    <w:link w:val="Closing"/>
    <w:uiPriority w:val="99"/>
    <w:semiHidden/>
    <w:rsid w:val="00AD1F7D"/>
  </w:style>
  <w:style w:type="paragraph" w:styleId="CommentText">
    <w:name w:val="annotation text"/>
    <w:basedOn w:val="Normal"/>
    <w:link w:val="CommentTextChar"/>
    <w:uiPriority w:val="99"/>
    <w:semiHidden/>
    <w:unhideWhenUsed/>
    <w:rsid w:val="00AD1F7D"/>
    <w:pPr>
      <w:spacing w:line="240" w:lineRule="auto"/>
    </w:pPr>
    <w:rPr>
      <w:sz w:val="20"/>
      <w:szCs w:val="20"/>
    </w:rPr>
  </w:style>
  <w:style w:type="character" w:customStyle="1" w:styleId="CommentTextChar">
    <w:name w:val="Comment Text Char"/>
    <w:basedOn w:val="DefaultParagraphFont"/>
    <w:link w:val="CommentText"/>
    <w:uiPriority w:val="99"/>
    <w:semiHidden/>
    <w:rsid w:val="00AD1F7D"/>
    <w:rPr>
      <w:sz w:val="20"/>
      <w:szCs w:val="20"/>
    </w:rPr>
  </w:style>
  <w:style w:type="paragraph" w:styleId="CommentSubject">
    <w:name w:val="annotation subject"/>
    <w:basedOn w:val="CommentText"/>
    <w:next w:val="CommentText"/>
    <w:link w:val="CommentSubjectChar"/>
    <w:uiPriority w:val="99"/>
    <w:semiHidden/>
    <w:unhideWhenUsed/>
    <w:rsid w:val="00AD1F7D"/>
    <w:rPr>
      <w:b/>
      <w:bCs/>
    </w:rPr>
  </w:style>
  <w:style w:type="character" w:customStyle="1" w:styleId="CommentSubjectChar">
    <w:name w:val="Comment Subject Char"/>
    <w:basedOn w:val="CommentTextChar"/>
    <w:link w:val="CommentSubject"/>
    <w:uiPriority w:val="99"/>
    <w:semiHidden/>
    <w:rsid w:val="00AD1F7D"/>
    <w:rPr>
      <w:b/>
      <w:bCs/>
      <w:sz w:val="20"/>
      <w:szCs w:val="20"/>
    </w:rPr>
  </w:style>
  <w:style w:type="paragraph" w:styleId="Date">
    <w:name w:val="Date"/>
    <w:basedOn w:val="Normal"/>
    <w:next w:val="Normal"/>
    <w:link w:val="DateChar"/>
    <w:uiPriority w:val="99"/>
    <w:semiHidden/>
    <w:unhideWhenUsed/>
    <w:rsid w:val="00AD1F7D"/>
  </w:style>
  <w:style w:type="character" w:customStyle="1" w:styleId="DateChar">
    <w:name w:val="Date Char"/>
    <w:basedOn w:val="DefaultParagraphFont"/>
    <w:link w:val="Date"/>
    <w:uiPriority w:val="99"/>
    <w:semiHidden/>
    <w:rsid w:val="00AD1F7D"/>
  </w:style>
  <w:style w:type="paragraph" w:styleId="DocumentMap">
    <w:name w:val="Document Map"/>
    <w:basedOn w:val="Normal"/>
    <w:link w:val="DocumentMapChar"/>
    <w:uiPriority w:val="99"/>
    <w:semiHidden/>
    <w:unhideWhenUsed/>
    <w:rsid w:val="00AD1F7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D1F7D"/>
    <w:rPr>
      <w:rFonts w:ascii="Segoe UI" w:hAnsi="Segoe UI" w:cs="Segoe UI"/>
      <w:sz w:val="16"/>
      <w:szCs w:val="16"/>
    </w:rPr>
  </w:style>
  <w:style w:type="paragraph" w:styleId="E-mailSignature">
    <w:name w:val="E-mail Signature"/>
    <w:basedOn w:val="Normal"/>
    <w:link w:val="E-mailSignatureChar"/>
    <w:uiPriority w:val="99"/>
    <w:semiHidden/>
    <w:unhideWhenUsed/>
    <w:rsid w:val="00AD1F7D"/>
    <w:pPr>
      <w:spacing w:after="0" w:line="240" w:lineRule="auto"/>
    </w:pPr>
  </w:style>
  <w:style w:type="character" w:customStyle="1" w:styleId="E-mailSignatureChar">
    <w:name w:val="E-mail Signature Char"/>
    <w:basedOn w:val="DefaultParagraphFont"/>
    <w:link w:val="E-mailSignature"/>
    <w:uiPriority w:val="99"/>
    <w:semiHidden/>
    <w:rsid w:val="00AD1F7D"/>
  </w:style>
  <w:style w:type="paragraph" w:styleId="EndnoteText">
    <w:name w:val="endnote text"/>
    <w:basedOn w:val="Normal"/>
    <w:link w:val="EndnoteTextChar"/>
    <w:uiPriority w:val="99"/>
    <w:semiHidden/>
    <w:unhideWhenUsed/>
    <w:rsid w:val="00AD1F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D1F7D"/>
    <w:rPr>
      <w:sz w:val="20"/>
      <w:szCs w:val="20"/>
    </w:rPr>
  </w:style>
  <w:style w:type="paragraph" w:styleId="EnvelopeAddress">
    <w:name w:val="envelope address"/>
    <w:basedOn w:val="Normal"/>
    <w:uiPriority w:val="99"/>
    <w:semiHidden/>
    <w:unhideWhenUsed/>
    <w:rsid w:val="00AD1F7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D1F7D"/>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AD1F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D1F7D"/>
    <w:rPr>
      <w:sz w:val="20"/>
      <w:szCs w:val="20"/>
    </w:rPr>
  </w:style>
  <w:style w:type="character" w:customStyle="1" w:styleId="Heading1Char">
    <w:name w:val="Heading 1 Char"/>
    <w:basedOn w:val="DefaultParagraphFont"/>
    <w:link w:val="Heading1"/>
    <w:uiPriority w:val="9"/>
    <w:rsid w:val="00AD1F7D"/>
    <w:rPr>
      <w:rFonts w:asciiTheme="majorHAnsi" w:eastAsiaTheme="majorEastAsia" w:hAnsiTheme="majorHAnsi" w:cstheme="majorBidi"/>
      <w:color w:val="608C30" w:themeColor="accent1" w:themeShade="BF"/>
      <w:sz w:val="32"/>
      <w:szCs w:val="32"/>
    </w:rPr>
  </w:style>
  <w:style w:type="character" w:customStyle="1" w:styleId="Heading2Char">
    <w:name w:val="Heading 2 Char"/>
    <w:basedOn w:val="DefaultParagraphFont"/>
    <w:link w:val="Heading2"/>
    <w:uiPriority w:val="9"/>
    <w:semiHidden/>
    <w:rsid w:val="00AD1F7D"/>
    <w:rPr>
      <w:rFonts w:asciiTheme="majorHAnsi" w:eastAsiaTheme="majorEastAsia" w:hAnsiTheme="majorHAnsi" w:cstheme="majorBidi"/>
      <w:color w:val="608C30" w:themeColor="accent1" w:themeShade="BF"/>
      <w:sz w:val="26"/>
      <w:szCs w:val="26"/>
    </w:rPr>
  </w:style>
  <w:style w:type="character" w:customStyle="1" w:styleId="Heading3Char">
    <w:name w:val="Heading 3 Char"/>
    <w:basedOn w:val="DefaultParagraphFont"/>
    <w:link w:val="Heading3"/>
    <w:uiPriority w:val="9"/>
    <w:semiHidden/>
    <w:rsid w:val="00AD1F7D"/>
    <w:rPr>
      <w:rFonts w:asciiTheme="majorHAnsi" w:eastAsiaTheme="majorEastAsia" w:hAnsiTheme="majorHAnsi" w:cstheme="majorBidi"/>
      <w:color w:val="405D20" w:themeColor="accent1" w:themeShade="7F"/>
      <w:sz w:val="24"/>
      <w:szCs w:val="24"/>
    </w:rPr>
  </w:style>
  <w:style w:type="character" w:customStyle="1" w:styleId="Heading4Char">
    <w:name w:val="Heading 4 Char"/>
    <w:basedOn w:val="DefaultParagraphFont"/>
    <w:link w:val="Heading4"/>
    <w:uiPriority w:val="9"/>
    <w:semiHidden/>
    <w:rsid w:val="00AD1F7D"/>
    <w:rPr>
      <w:rFonts w:asciiTheme="majorHAnsi" w:eastAsiaTheme="majorEastAsia" w:hAnsiTheme="majorHAnsi" w:cstheme="majorBidi"/>
      <w:i/>
      <w:iCs/>
      <w:color w:val="608C30" w:themeColor="accent1" w:themeShade="BF"/>
    </w:rPr>
  </w:style>
  <w:style w:type="character" w:customStyle="1" w:styleId="Heading5Char">
    <w:name w:val="Heading 5 Char"/>
    <w:basedOn w:val="DefaultParagraphFont"/>
    <w:link w:val="Heading5"/>
    <w:uiPriority w:val="9"/>
    <w:semiHidden/>
    <w:rsid w:val="00AD1F7D"/>
    <w:rPr>
      <w:rFonts w:asciiTheme="majorHAnsi" w:eastAsiaTheme="majorEastAsia" w:hAnsiTheme="majorHAnsi" w:cstheme="majorBidi"/>
      <w:color w:val="608C30" w:themeColor="accent1" w:themeShade="BF"/>
    </w:rPr>
  </w:style>
  <w:style w:type="character" w:customStyle="1" w:styleId="Heading6Char">
    <w:name w:val="Heading 6 Char"/>
    <w:basedOn w:val="DefaultParagraphFont"/>
    <w:link w:val="Heading6"/>
    <w:uiPriority w:val="9"/>
    <w:semiHidden/>
    <w:rsid w:val="00AD1F7D"/>
    <w:rPr>
      <w:rFonts w:asciiTheme="majorHAnsi" w:eastAsiaTheme="majorEastAsia" w:hAnsiTheme="majorHAnsi" w:cstheme="majorBidi"/>
      <w:color w:val="405D20" w:themeColor="accent1" w:themeShade="7F"/>
    </w:rPr>
  </w:style>
  <w:style w:type="character" w:customStyle="1" w:styleId="Heading7Char">
    <w:name w:val="Heading 7 Char"/>
    <w:basedOn w:val="DefaultParagraphFont"/>
    <w:link w:val="Heading7"/>
    <w:uiPriority w:val="9"/>
    <w:semiHidden/>
    <w:rsid w:val="00AD1F7D"/>
    <w:rPr>
      <w:rFonts w:asciiTheme="majorHAnsi" w:eastAsiaTheme="majorEastAsia" w:hAnsiTheme="majorHAnsi" w:cstheme="majorBidi"/>
      <w:i/>
      <w:iCs/>
      <w:color w:val="405D20" w:themeColor="accent1" w:themeShade="7F"/>
    </w:rPr>
  </w:style>
  <w:style w:type="character" w:customStyle="1" w:styleId="Heading8Char">
    <w:name w:val="Heading 8 Char"/>
    <w:basedOn w:val="DefaultParagraphFont"/>
    <w:link w:val="Heading8"/>
    <w:uiPriority w:val="9"/>
    <w:semiHidden/>
    <w:rsid w:val="00AD1F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F7D"/>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AD1F7D"/>
    <w:pPr>
      <w:spacing w:after="0" w:line="240" w:lineRule="auto"/>
    </w:pPr>
    <w:rPr>
      <w:i/>
      <w:iCs/>
    </w:rPr>
  </w:style>
  <w:style w:type="character" w:customStyle="1" w:styleId="HTMLAddressChar">
    <w:name w:val="HTML Address Char"/>
    <w:basedOn w:val="DefaultParagraphFont"/>
    <w:link w:val="HTMLAddress"/>
    <w:uiPriority w:val="99"/>
    <w:semiHidden/>
    <w:rsid w:val="00AD1F7D"/>
    <w:rPr>
      <w:i/>
      <w:iCs/>
    </w:rPr>
  </w:style>
  <w:style w:type="paragraph" w:styleId="HTMLPreformatted">
    <w:name w:val="HTML Preformatted"/>
    <w:basedOn w:val="Normal"/>
    <w:link w:val="HTMLPreformattedChar"/>
    <w:uiPriority w:val="99"/>
    <w:semiHidden/>
    <w:unhideWhenUsed/>
    <w:rsid w:val="00AD1F7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1F7D"/>
    <w:rPr>
      <w:rFonts w:ascii="Consolas" w:hAnsi="Consolas"/>
      <w:sz w:val="20"/>
      <w:szCs w:val="20"/>
    </w:rPr>
  </w:style>
  <w:style w:type="paragraph" w:styleId="Index1">
    <w:name w:val="index 1"/>
    <w:basedOn w:val="Normal"/>
    <w:next w:val="Normal"/>
    <w:autoRedefine/>
    <w:uiPriority w:val="99"/>
    <w:semiHidden/>
    <w:unhideWhenUsed/>
    <w:rsid w:val="00AD1F7D"/>
    <w:pPr>
      <w:spacing w:after="0" w:line="240" w:lineRule="auto"/>
      <w:ind w:left="220" w:hanging="220"/>
    </w:pPr>
  </w:style>
  <w:style w:type="paragraph" w:styleId="Index2">
    <w:name w:val="index 2"/>
    <w:basedOn w:val="Normal"/>
    <w:next w:val="Normal"/>
    <w:autoRedefine/>
    <w:uiPriority w:val="99"/>
    <w:semiHidden/>
    <w:unhideWhenUsed/>
    <w:rsid w:val="00AD1F7D"/>
    <w:pPr>
      <w:spacing w:after="0" w:line="240" w:lineRule="auto"/>
      <w:ind w:left="440" w:hanging="220"/>
    </w:pPr>
  </w:style>
  <w:style w:type="paragraph" w:styleId="Index3">
    <w:name w:val="index 3"/>
    <w:basedOn w:val="Normal"/>
    <w:next w:val="Normal"/>
    <w:autoRedefine/>
    <w:uiPriority w:val="99"/>
    <w:semiHidden/>
    <w:unhideWhenUsed/>
    <w:rsid w:val="00AD1F7D"/>
    <w:pPr>
      <w:spacing w:after="0" w:line="240" w:lineRule="auto"/>
      <w:ind w:left="660" w:hanging="220"/>
    </w:pPr>
  </w:style>
  <w:style w:type="paragraph" w:styleId="Index4">
    <w:name w:val="index 4"/>
    <w:basedOn w:val="Normal"/>
    <w:next w:val="Normal"/>
    <w:autoRedefine/>
    <w:uiPriority w:val="99"/>
    <w:semiHidden/>
    <w:unhideWhenUsed/>
    <w:rsid w:val="00AD1F7D"/>
    <w:pPr>
      <w:spacing w:after="0" w:line="240" w:lineRule="auto"/>
      <w:ind w:left="880" w:hanging="220"/>
    </w:pPr>
  </w:style>
  <w:style w:type="paragraph" w:styleId="Index5">
    <w:name w:val="index 5"/>
    <w:basedOn w:val="Normal"/>
    <w:next w:val="Normal"/>
    <w:autoRedefine/>
    <w:uiPriority w:val="99"/>
    <w:semiHidden/>
    <w:unhideWhenUsed/>
    <w:rsid w:val="00AD1F7D"/>
    <w:pPr>
      <w:spacing w:after="0" w:line="240" w:lineRule="auto"/>
      <w:ind w:left="1100" w:hanging="220"/>
    </w:pPr>
  </w:style>
  <w:style w:type="paragraph" w:styleId="Index6">
    <w:name w:val="index 6"/>
    <w:basedOn w:val="Normal"/>
    <w:next w:val="Normal"/>
    <w:autoRedefine/>
    <w:uiPriority w:val="99"/>
    <w:semiHidden/>
    <w:unhideWhenUsed/>
    <w:rsid w:val="00AD1F7D"/>
    <w:pPr>
      <w:spacing w:after="0" w:line="240" w:lineRule="auto"/>
      <w:ind w:left="1320" w:hanging="220"/>
    </w:pPr>
  </w:style>
  <w:style w:type="paragraph" w:styleId="Index7">
    <w:name w:val="index 7"/>
    <w:basedOn w:val="Normal"/>
    <w:next w:val="Normal"/>
    <w:autoRedefine/>
    <w:uiPriority w:val="99"/>
    <w:semiHidden/>
    <w:unhideWhenUsed/>
    <w:rsid w:val="00AD1F7D"/>
    <w:pPr>
      <w:spacing w:after="0" w:line="240" w:lineRule="auto"/>
      <w:ind w:left="1540" w:hanging="220"/>
    </w:pPr>
  </w:style>
  <w:style w:type="paragraph" w:styleId="Index8">
    <w:name w:val="index 8"/>
    <w:basedOn w:val="Normal"/>
    <w:next w:val="Normal"/>
    <w:autoRedefine/>
    <w:uiPriority w:val="99"/>
    <w:semiHidden/>
    <w:unhideWhenUsed/>
    <w:rsid w:val="00AD1F7D"/>
    <w:pPr>
      <w:spacing w:after="0" w:line="240" w:lineRule="auto"/>
      <w:ind w:left="1760" w:hanging="220"/>
    </w:pPr>
  </w:style>
  <w:style w:type="paragraph" w:styleId="Index9">
    <w:name w:val="index 9"/>
    <w:basedOn w:val="Normal"/>
    <w:next w:val="Normal"/>
    <w:autoRedefine/>
    <w:uiPriority w:val="99"/>
    <w:semiHidden/>
    <w:unhideWhenUsed/>
    <w:rsid w:val="00AD1F7D"/>
    <w:pPr>
      <w:spacing w:after="0" w:line="240" w:lineRule="auto"/>
      <w:ind w:left="1980" w:hanging="220"/>
    </w:pPr>
  </w:style>
  <w:style w:type="paragraph" w:styleId="IndexHeading">
    <w:name w:val="index heading"/>
    <w:basedOn w:val="Normal"/>
    <w:next w:val="Index1"/>
    <w:uiPriority w:val="99"/>
    <w:semiHidden/>
    <w:unhideWhenUsed/>
    <w:rsid w:val="00AD1F7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D1F7D"/>
    <w:pPr>
      <w:pBdr>
        <w:top w:val="single" w:sz="4" w:space="10" w:color="81BC41" w:themeColor="accent1"/>
        <w:bottom w:val="single" w:sz="4" w:space="10" w:color="81BC41" w:themeColor="accent1"/>
      </w:pBdr>
      <w:spacing w:before="360" w:after="360"/>
      <w:ind w:left="864" w:right="864"/>
      <w:jc w:val="center"/>
    </w:pPr>
    <w:rPr>
      <w:i/>
      <w:iCs/>
      <w:color w:val="81BC41" w:themeColor="accent1"/>
    </w:rPr>
  </w:style>
  <w:style w:type="character" w:customStyle="1" w:styleId="IntenseQuoteChar">
    <w:name w:val="Intense Quote Char"/>
    <w:basedOn w:val="DefaultParagraphFont"/>
    <w:link w:val="IntenseQuote"/>
    <w:uiPriority w:val="30"/>
    <w:rsid w:val="00AD1F7D"/>
    <w:rPr>
      <w:i/>
      <w:iCs/>
      <w:color w:val="81BC41" w:themeColor="accent1"/>
    </w:rPr>
  </w:style>
  <w:style w:type="paragraph" w:styleId="List">
    <w:name w:val="List"/>
    <w:basedOn w:val="Normal"/>
    <w:uiPriority w:val="99"/>
    <w:semiHidden/>
    <w:unhideWhenUsed/>
    <w:rsid w:val="00AD1F7D"/>
    <w:pPr>
      <w:ind w:left="360" w:hanging="360"/>
      <w:contextualSpacing/>
    </w:pPr>
  </w:style>
  <w:style w:type="paragraph" w:styleId="List2">
    <w:name w:val="List 2"/>
    <w:basedOn w:val="Normal"/>
    <w:uiPriority w:val="99"/>
    <w:semiHidden/>
    <w:unhideWhenUsed/>
    <w:rsid w:val="00AD1F7D"/>
    <w:pPr>
      <w:ind w:left="720" w:hanging="360"/>
      <w:contextualSpacing/>
    </w:pPr>
  </w:style>
  <w:style w:type="paragraph" w:styleId="List3">
    <w:name w:val="List 3"/>
    <w:basedOn w:val="Normal"/>
    <w:uiPriority w:val="99"/>
    <w:semiHidden/>
    <w:unhideWhenUsed/>
    <w:rsid w:val="00AD1F7D"/>
    <w:pPr>
      <w:ind w:left="1080" w:hanging="360"/>
      <w:contextualSpacing/>
    </w:pPr>
  </w:style>
  <w:style w:type="paragraph" w:styleId="List4">
    <w:name w:val="List 4"/>
    <w:basedOn w:val="Normal"/>
    <w:uiPriority w:val="99"/>
    <w:semiHidden/>
    <w:unhideWhenUsed/>
    <w:rsid w:val="00AD1F7D"/>
    <w:pPr>
      <w:ind w:left="1440" w:hanging="360"/>
      <w:contextualSpacing/>
    </w:pPr>
  </w:style>
  <w:style w:type="paragraph" w:styleId="List5">
    <w:name w:val="List 5"/>
    <w:basedOn w:val="Normal"/>
    <w:uiPriority w:val="99"/>
    <w:semiHidden/>
    <w:unhideWhenUsed/>
    <w:rsid w:val="00AD1F7D"/>
    <w:pPr>
      <w:ind w:left="1800" w:hanging="360"/>
      <w:contextualSpacing/>
    </w:pPr>
  </w:style>
  <w:style w:type="paragraph" w:styleId="ListBullet">
    <w:name w:val="List Bullet"/>
    <w:basedOn w:val="Normal"/>
    <w:uiPriority w:val="99"/>
    <w:semiHidden/>
    <w:unhideWhenUsed/>
    <w:rsid w:val="00AD1F7D"/>
    <w:pPr>
      <w:numPr>
        <w:numId w:val="3"/>
      </w:numPr>
      <w:contextualSpacing/>
    </w:pPr>
  </w:style>
  <w:style w:type="paragraph" w:styleId="ListBullet2">
    <w:name w:val="List Bullet 2"/>
    <w:basedOn w:val="Normal"/>
    <w:uiPriority w:val="99"/>
    <w:semiHidden/>
    <w:unhideWhenUsed/>
    <w:rsid w:val="00AD1F7D"/>
    <w:pPr>
      <w:numPr>
        <w:numId w:val="4"/>
      </w:numPr>
      <w:contextualSpacing/>
    </w:pPr>
  </w:style>
  <w:style w:type="paragraph" w:styleId="ListBullet3">
    <w:name w:val="List Bullet 3"/>
    <w:basedOn w:val="Normal"/>
    <w:uiPriority w:val="99"/>
    <w:semiHidden/>
    <w:unhideWhenUsed/>
    <w:rsid w:val="00AD1F7D"/>
    <w:pPr>
      <w:numPr>
        <w:numId w:val="5"/>
      </w:numPr>
      <w:contextualSpacing/>
    </w:pPr>
  </w:style>
  <w:style w:type="paragraph" w:styleId="ListBullet4">
    <w:name w:val="List Bullet 4"/>
    <w:basedOn w:val="Normal"/>
    <w:uiPriority w:val="99"/>
    <w:semiHidden/>
    <w:unhideWhenUsed/>
    <w:rsid w:val="00AD1F7D"/>
    <w:pPr>
      <w:numPr>
        <w:numId w:val="6"/>
      </w:numPr>
      <w:contextualSpacing/>
    </w:pPr>
  </w:style>
  <w:style w:type="paragraph" w:styleId="ListBullet5">
    <w:name w:val="List Bullet 5"/>
    <w:basedOn w:val="Normal"/>
    <w:uiPriority w:val="99"/>
    <w:semiHidden/>
    <w:unhideWhenUsed/>
    <w:rsid w:val="00AD1F7D"/>
    <w:pPr>
      <w:numPr>
        <w:numId w:val="7"/>
      </w:numPr>
      <w:contextualSpacing/>
    </w:pPr>
  </w:style>
  <w:style w:type="paragraph" w:styleId="ListContinue">
    <w:name w:val="List Continue"/>
    <w:basedOn w:val="Normal"/>
    <w:uiPriority w:val="99"/>
    <w:semiHidden/>
    <w:unhideWhenUsed/>
    <w:rsid w:val="00AD1F7D"/>
    <w:pPr>
      <w:spacing w:after="120"/>
      <w:ind w:left="360"/>
      <w:contextualSpacing/>
    </w:pPr>
  </w:style>
  <w:style w:type="paragraph" w:styleId="ListContinue2">
    <w:name w:val="List Continue 2"/>
    <w:basedOn w:val="Normal"/>
    <w:uiPriority w:val="99"/>
    <w:semiHidden/>
    <w:unhideWhenUsed/>
    <w:rsid w:val="00AD1F7D"/>
    <w:pPr>
      <w:spacing w:after="120"/>
      <w:ind w:left="720"/>
      <w:contextualSpacing/>
    </w:pPr>
  </w:style>
  <w:style w:type="paragraph" w:styleId="ListContinue3">
    <w:name w:val="List Continue 3"/>
    <w:basedOn w:val="Normal"/>
    <w:uiPriority w:val="99"/>
    <w:semiHidden/>
    <w:unhideWhenUsed/>
    <w:rsid w:val="00AD1F7D"/>
    <w:pPr>
      <w:spacing w:after="120"/>
      <w:ind w:left="1080"/>
      <w:contextualSpacing/>
    </w:pPr>
  </w:style>
  <w:style w:type="paragraph" w:styleId="ListContinue4">
    <w:name w:val="List Continue 4"/>
    <w:basedOn w:val="Normal"/>
    <w:uiPriority w:val="99"/>
    <w:semiHidden/>
    <w:unhideWhenUsed/>
    <w:rsid w:val="00AD1F7D"/>
    <w:pPr>
      <w:spacing w:after="120"/>
      <w:ind w:left="1440"/>
      <w:contextualSpacing/>
    </w:pPr>
  </w:style>
  <w:style w:type="paragraph" w:styleId="ListContinue5">
    <w:name w:val="List Continue 5"/>
    <w:basedOn w:val="Normal"/>
    <w:uiPriority w:val="99"/>
    <w:semiHidden/>
    <w:unhideWhenUsed/>
    <w:rsid w:val="00AD1F7D"/>
    <w:pPr>
      <w:spacing w:after="120"/>
      <w:ind w:left="1800"/>
      <w:contextualSpacing/>
    </w:pPr>
  </w:style>
  <w:style w:type="paragraph" w:styleId="ListNumber">
    <w:name w:val="List Number"/>
    <w:basedOn w:val="Normal"/>
    <w:uiPriority w:val="99"/>
    <w:semiHidden/>
    <w:unhideWhenUsed/>
    <w:rsid w:val="00AD1F7D"/>
    <w:pPr>
      <w:numPr>
        <w:numId w:val="8"/>
      </w:numPr>
      <w:contextualSpacing/>
    </w:pPr>
  </w:style>
  <w:style w:type="paragraph" w:styleId="ListNumber2">
    <w:name w:val="List Number 2"/>
    <w:basedOn w:val="Normal"/>
    <w:uiPriority w:val="99"/>
    <w:semiHidden/>
    <w:unhideWhenUsed/>
    <w:rsid w:val="00AD1F7D"/>
    <w:pPr>
      <w:numPr>
        <w:numId w:val="9"/>
      </w:numPr>
      <w:contextualSpacing/>
    </w:pPr>
  </w:style>
  <w:style w:type="paragraph" w:styleId="ListNumber3">
    <w:name w:val="List Number 3"/>
    <w:basedOn w:val="Normal"/>
    <w:uiPriority w:val="99"/>
    <w:semiHidden/>
    <w:unhideWhenUsed/>
    <w:rsid w:val="00AD1F7D"/>
    <w:pPr>
      <w:numPr>
        <w:numId w:val="10"/>
      </w:numPr>
      <w:contextualSpacing/>
    </w:pPr>
  </w:style>
  <w:style w:type="paragraph" w:styleId="ListNumber4">
    <w:name w:val="List Number 4"/>
    <w:basedOn w:val="Normal"/>
    <w:uiPriority w:val="99"/>
    <w:semiHidden/>
    <w:unhideWhenUsed/>
    <w:rsid w:val="00AD1F7D"/>
    <w:pPr>
      <w:numPr>
        <w:numId w:val="11"/>
      </w:numPr>
      <w:contextualSpacing/>
    </w:pPr>
  </w:style>
  <w:style w:type="paragraph" w:styleId="ListNumber5">
    <w:name w:val="List Number 5"/>
    <w:basedOn w:val="Normal"/>
    <w:uiPriority w:val="99"/>
    <w:semiHidden/>
    <w:unhideWhenUsed/>
    <w:rsid w:val="00AD1F7D"/>
    <w:pPr>
      <w:numPr>
        <w:numId w:val="12"/>
      </w:numPr>
      <w:contextualSpacing/>
    </w:pPr>
  </w:style>
  <w:style w:type="paragraph" w:styleId="MacroText">
    <w:name w:val="macro"/>
    <w:link w:val="MacroTextChar"/>
    <w:uiPriority w:val="99"/>
    <w:semiHidden/>
    <w:unhideWhenUsed/>
    <w:rsid w:val="00AD1F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AD1F7D"/>
    <w:rPr>
      <w:rFonts w:ascii="Consolas" w:hAnsi="Consolas"/>
      <w:sz w:val="20"/>
      <w:szCs w:val="20"/>
    </w:rPr>
  </w:style>
  <w:style w:type="paragraph" w:styleId="MessageHeader">
    <w:name w:val="Message Header"/>
    <w:basedOn w:val="Normal"/>
    <w:link w:val="MessageHeaderChar"/>
    <w:uiPriority w:val="99"/>
    <w:semiHidden/>
    <w:unhideWhenUsed/>
    <w:rsid w:val="00AD1F7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D1F7D"/>
    <w:rPr>
      <w:rFonts w:asciiTheme="majorHAnsi" w:eastAsiaTheme="majorEastAsia" w:hAnsiTheme="majorHAnsi" w:cstheme="majorBidi"/>
      <w:sz w:val="24"/>
      <w:szCs w:val="24"/>
      <w:shd w:val="pct20" w:color="auto" w:fill="auto"/>
    </w:rPr>
  </w:style>
  <w:style w:type="paragraph" w:styleId="NoSpacing">
    <w:name w:val="No Spacing"/>
    <w:uiPriority w:val="1"/>
    <w:qFormat/>
    <w:rsid w:val="00AD1F7D"/>
    <w:pPr>
      <w:spacing w:after="0" w:line="240" w:lineRule="auto"/>
    </w:pPr>
  </w:style>
  <w:style w:type="paragraph" w:styleId="NormalWeb">
    <w:name w:val="Normal (Web)"/>
    <w:basedOn w:val="Normal"/>
    <w:uiPriority w:val="99"/>
    <w:semiHidden/>
    <w:unhideWhenUsed/>
    <w:rsid w:val="00AD1F7D"/>
    <w:rPr>
      <w:rFonts w:ascii="Times New Roman" w:hAnsi="Times New Roman" w:cs="Times New Roman"/>
      <w:sz w:val="24"/>
      <w:szCs w:val="24"/>
    </w:rPr>
  </w:style>
  <w:style w:type="paragraph" w:styleId="NormalIndent">
    <w:name w:val="Normal Indent"/>
    <w:basedOn w:val="Normal"/>
    <w:uiPriority w:val="99"/>
    <w:semiHidden/>
    <w:unhideWhenUsed/>
    <w:rsid w:val="00AD1F7D"/>
    <w:pPr>
      <w:ind w:left="720"/>
    </w:pPr>
  </w:style>
  <w:style w:type="paragraph" w:styleId="NoteHeading">
    <w:name w:val="Note Heading"/>
    <w:basedOn w:val="Normal"/>
    <w:next w:val="Normal"/>
    <w:link w:val="NoteHeadingChar"/>
    <w:uiPriority w:val="99"/>
    <w:semiHidden/>
    <w:unhideWhenUsed/>
    <w:rsid w:val="00AD1F7D"/>
    <w:pPr>
      <w:spacing w:after="0" w:line="240" w:lineRule="auto"/>
    </w:pPr>
  </w:style>
  <w:style w:type="character" w:customStyle="1" w:styleId="NoteHeadingChar">
    <w:name w:val="Note Heading Char"/>
    <w:basedOn w:val="DefaultParagraphFont"/>
    <w:link w:val="NoteHeading"/>
    <w:uiPriority w:val="99"/>
    <w:semiHidden/>
    <w:rsid w:val="00AD1F7D"/>
  </w:style>
  <w:style w:type="paragraph" w:styleId="PlainText">
    <w:name w:val="Plain Text"/>
    <w:basedOn w:val="Normal"/>
    <w:link w:val="PlainTextChar"/>
    <w:uiPriority w:val="99"/>
    <w:semiHidden/>
    <w:unhideWhenUsed/>
    <w:rsid w:val="00AD1F7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D1F7D"/>
    <w:rPr>
      <w:rFonts w:ascii="Consolas" w:hAnsi="Consolas"/>
      <w:sz w:val="21"/>
      <w:szCs w:val="21"/>
    </w:rPr>
  </w:style>
  <w:style w:type="paragraph" w:styleId="Quote">
    <w:name w:val="Quote"/>
    <w:basedOn w:val="Normal"/>
    <w:next w:val="Normal"/>
    <w:link w:val="QuoteChar"/>
    <w:uiPriority w:val="29"/>
    <w:qFormat/>
    <w:rsid w:val="00AD1F7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1F7D"/>
    <w:rPr>
      <w:i/>
      <w:iCs/>
      <w:color w:val="404040" w:themeColor="text1" w:themeTint="BF"/>
    </w:rPr>
  </w:style>
  <w:style w:type="paragraph" w:styleId="Salutation">
    <w:name w:val="Salutation"/>
    <w:basedOn w:val="Normal"/>
    <w:next w:val="Normal"/>
    <w:link w:val="SalutationChar"/>
    <w:uiPriority w:val="99"/>
    <w:semiHidden/>
    <w:unhideWhenUsed/>
    <w:rsid w:val="00AD1F7D"/>
  </w:style>
  <w:style w:type="character" w:customStyle="1" w:styleId="SalutationChar">
    <w:name w:val="Salutation Char"/>
    <w:basedOn w:val="DefaultParagraphFont"/>
    <w:link w:val="Salutation"/>
    <w:uiPriority w:val="99"/>
    <w:semiHidden/>
    <w:rsid w:val="00AD1F7D"/>
  </w:style>
  <w:style w:type="paragraph" w:styleId="Signature">
    <w:name w:val="Signature"/>
    <w:basedOn w:val="Normal"/>
    <w:link w:val="SignatureChar"/>
    <w:uiPriority w:val="99"/>
    <w:semiHidden/>
    <w:unhideWhenUsed/>
    <w:rsid w:val="00AD1F7D"/>
    <w:pPr>
      <w:spacing w:after="0" w:line="240" w:lineRule="auto"/>
      <w:ind w:left="4320"/>
    </w:pPr>
  </w:style>
  <w:style w:type="character" w:customStyle="1" w:styleId="SignatureChar">
    <w:name w:val="Signature Char"/>
    <w:basedOn w:val="DefaultParagraphFont"/>
    <w:link w:val="Signature"/>
    <w:uiPriority w:val="99"/>
    <w:semiHidden/>
    <w:rsid w:val="00AD1F7D"/>
  </w:style>
  <w:style w:type="paragraph" w:styleId="Subtitle">
    <w:name w:val="Subtitle"/>
    <w:basedOn w:val="Normal"/>
    <w:next w:val="Normal"/>
    <w:link w:val="SubtitleChar"/>
    <w:uiPriority w:val="11"/>
    <w:qFormat/>
    <w:rsid w:val="00AD1F7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D1F7D"/>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AD1F7D"/>
    <w:pPr>
      <w:spacing w:after="0"/>
      <w:ind w:left="220" w:hanging="220"/>
    </w:pPr>
  </w:style>
  <w:style w:type="paragraph" w:styleId="TableofFigures">
    <w:name w:val="table of figures"/>
    <w:basedOn w:val="Normal"/>
    <w:next w:val="Normal"/>
    <w:uiPriority w:val="99"/>
    <w:semiHidden/>
    <w:unhideWhenUsed/>
    <w:rsid w:val="00AD1F7D"/>
    <w:pPr>
      <w:spacing w:after="0"/>
    </w:pPr>
  </w:style>
  <w:style w:type="paragraph" w:styleId="Title">
    <w:name w:val="Title"/>
    <w:basedOn w:val="Normal"/>
    <w:next w:val="Normal"/>
    <w:link w:val="TitleChar"/>
    <w:uiPriority w:val="10"/>
    <w:qFormat/>
    <w:rsid w:val="00AD1F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7D"/>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AD1F7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D1F7D"/>
    <w:pPr>
      <w:spacing w:after="100"/>
    </w:pPr>
  </w:style>
  <w:style w:type="paragraph" w:styleId="TOC2">
    <w:name w:val="toc 2"/>
    <w:basedOn w:val="Normal"/>
    <w:next w:val="Normal"/>
    <w:autoRedefine/>
    <w:uiPriority w:val="39"/>
    <w:semiHidden/>
    <w:unhideWhenUsed/>
    <w:rsid w:val="00AD1F7D"/>
    <w:pPr>
      <w:spacing w:after="100"/>
      <w:ind w:left="220"/>
    </w:pPr>
  </w:style>
  <w:style w:type="paragraph" w:styleId="TOC3">
    <w:name w:val="toc 3"/>
    <w:basedOn w:val="Normal"/>
    <w:next w:val="Normal"/>
    <w:autoRedefine/>
    <w:uiPriority w:val="39"/>
    <w:semiHidden/>
    <w:unhideWhenUsed/>
    <w:rsid w:val="00AD1F7D"/>
    <w:pPr>
      <w:spacing w:after="100"/>
      <w:ind w:left="440"/>
    </w:pPr>
  </w:style>
  <w:style w:type="paragraph" w:styleId="TOC4">
    <w:name w:val="toc 4"/>
    <w:basedOn w:val="Normal"/>
    <w:next w:val="Normal"/>
    <w:autoRedefine/>
    <w:uiPriority w:val="39"/>
    <w:semiHidden/>
    <w:unhideWhenUsed/>
    <w:rsid w:val="00AD1F7D"/>
    <w:pPr>
      <w:spacing w:after="100"/>
      <w:ind w:left="660"/>
    </w:pPr>
  </w:style>
  <w:style w:type="paragraph" w:styleId="TOC5">
    <w:name w:val="toc 5"/>
    <w:basedOn w:val="Normal"/>
    <w:next w:val="Normal"/>
    <w:autoRedefine/>
    <w:uiPriority w:val="39"/>
    <w:semiHidden/>
    <w:unhideWhenUsed/>
    <w:rsid w:val="00AD1F7D"/>
    <w:pPr>
      <w:spacing w:after="100"/>
      <w:ind w:left="880"/>
    </w:pPr>
  </w:style>
  <w:style w:type="paragraph" w:styleId="TOC6">
    <w:name w:val="toc 6"/>
    <w:basedOn w:val="Normal"/>
    <w:next w:val="Normal"/>
    <w:autoRedefine/>
    <w:uiPriority w:val="39"/>
    <w:semiHidden/>
    <w:unhideWhenUsed/>
    <w:rsid w:val="00AD1F7D"/>
    <w:pPr>
      <w:spacing w:after="100"/>
      <w:ind w:left="1100"/>
    </w:pPr>
  </w:style>
  <w:style w:type="paragraph" w:styleId="TOC7">
    <w:name w:val="toc 7"/>
    <w:basedOn w:val="Normal"/>
    <w:next w:val="Normal"/>
    <w:autoRedefine/>
    <w:uiPriority w:val="39"/>
    <w:semiHidden/>
    <w:unhideWhenUsed/>
    <w:rsid w:val="00AD1F7D"/>
    <w:pPr>
      <w:spacing w:after="100"/>
      <w:ind w:left="1320"/>
    </w:pPr>
  </w:style>
  <w:style w:type="paragraph" w:styleId="TOC8">
    <w:name w:val="toc 8"/>
    <w:basedOn w:val="Normal"/>
    <w:next w:val="Normal"/>
    <w:autoRedefine/>
    <w:uiPriority w:val="39"/>
    <w:semiHidden/>
    <w:unhideWhenUsed/>
    <w:rsid w:val="00AD1F7D"/>
    <w:pPr>
      <w:spacing w:after="100"/>
      <w:ind w:left="1540"/>
    </w:pPr>
  </w:style>
  <w:style w:type="paragraph" w:styleId="TOC9">
    <w:name w:val="toc 9"/>
    <w:basedOn w:val="Normal"/>
    <w:next w:val="Normal"/>
    <w:autoRedefine/>
    <w:uiPriority w:val="39"/>
    <w:semiHidden/>
    <w:unhideWhenUsed/>
    <w:rsid w:val="00AD1F7D"/>
    <w:pPr>
      <w:spacing w:after="100"/>
      <w:ind w:left="1760"/>
    </w:pPr>
  </w:style>
  <w:style w:type="paragraph" w:styleId="TOCHeading">
    <w:name w:val="TOC Heading"/>
    <w:basedOn w:val="Heading1"/>
    <w:next w:val="Normal"/>
    <w:uiPriority w:val="39"/>
    <w:semiHidden/>
    <w:unhideWhenUsed/>
    <w:qFormat/>
    <w:rsid w:val="00AD1F7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905">
      <w:bodyDiv w:val="1"/>
      <w:marLeft w:val="0"/>
      <w:marRight w:val="0"/>
      <w:marTop w:val="0"/>
      <w:marBottom w:val="0"/>
      <w:divBdr>
        <w:top w:val="none" w:sz="0" w:space="0" w:color="auto"/>
        <w:left w:val="none" w:sz="0" w:space="0" w:color="auto"/>
        <w:bottom w:val="none" w:sz="0" w:space="0" w:color="auto"/>
        <w:right w:val="none" w:sz="0" w:space="0" w:color="auto"/>
      </w:divBdr>
    </w:div>
    <w:div w:id="706838208">
      <w:bodyDiv w:val="1"/>
      <w:marLeft w:val="0"/>
      <w:marRight w:val="0"/>
      <w:marTop w:val="0"/>
      <w:marBottom w:val="0"/>
      <w:divBdr>
        <w:top w:val="none" w:sz="0" w:space="0" w:color="auto"/>
        <w:left w:val="none" w:sz="0" w:space="0" w:color="auto"/>
        <w:bottom w:val="none" w:sz="0" w:space="0" w:color="auto"/>
        <w:right w:val="none" w:sz="0" w:space="0" w:color="auto"/>
      </w:divBdr>
    </w:div>
    <w:div w:id="724912631">
      <w:bodyDiv w:val="1"/>
      <w:marLeft w:val="0"/>
      <w:marRight w:val="0"/>
      <w:marTop w:val="0"/>
      <w:marBottom w:val="0"/>
      <w:divBdr>
        <w:top w:val="none" w:sz="0" w:space="0" w:color="auto"/>
        <w:left w:val="none" w:sz="0" w:space="0" w:color="auto"/>
        <w:bottom w:val="none" w:sz="0" w:space="0" w:color="auto"/>
        <w:right w:val="none" w:sz="0" w:space="0" w:color="auto"/>
      </w:divBdr>
    </w:div>
    <w:div w:id="806431456">
      <w:bodyDiv w:val="1"/>
      <w:marLeft w:val="0"/>
      <w:marRight w:val="0"/>
      <w:marTop w:val="0"/>
      <w:marBottom w:val="0"/>
      <w:divBdr>
        <w:top w:val="none" w:sz="0" w:space="0" w:color="auto"/>
        <w:left w:val="none" w:sz="0" w:space="0" w:color="auto"/>
        <w:bottom w:val="none" w:sz="0" w:space="0" w:color="auto"/>
        <w:right w:val="none" w:sz="0" w:space="0" w:color="auto"/>
      </w:divBdr>
      <w:divsChild>
        <w:div w:id="2126345629">
          <w:marLeft w:val="0"/>
          <w:marRight w:val="0"/>
          <w:marTop w:val="0"/>
          <w:marBottom w:val="0"/>
          <w:divBdr>
            <w:top w:val="none" w:sz="0" w:space="0" w:color="auto"/>
            <w:left w:val="none" w:sz="0" w:space="0" w:color="auto"/>
            <w:bottom w:val="none" w:sz="0" w:space="0" w:color="auto"/>
            <w:right w:val="none" w:sz="0" w:space="0" w:color="auto"/>
          </w:divBdr>
          <w:divsChild>
            <w:div w:id="1300456572">
              <w:marLeft w:val="0"/>
              <w:marRight w:val="0"/>
              <w:marTop w:val="0"/>
              <w:marBottom w:val="0"/>
              <w:divBdr>
                <w:top w:val="none" w:sz="0" w:space="0" w:color="auto"/>
                <w:left w:val="none" w:sz="0" w:space="0" w:color="auto"/>
                <w:bottom w:val="none" w:sz="0" w:space="0" w:color="auto"/>
                <w:right w:val="none" w:sz="0" w:space="0" w:color="auto"/>
              </w:divBdr>
              <w:divsChild>
                <w:div w:id="737635741">
                  <w:marLeft w:val="0"/>
                  <w:marRight w:val="0"/>
                  <w:marTop w:val="0"/>
                  <w:marBottom w:val="0"/>
                  <w:divBdr>
                    <w:top w:val="none" w:sz="0" w:space="0" w:color="auto"/>
                    <w:left w:val="none" w:sz="0" w:space="0" w:color="auto"/>
                    <w:bottom w:val="none" w:sz="0" w:space="0" w:color="auto"/>
                    <w:right w:val="none" w:sz="0" w:space="0" w:color="auto"/>
                  </w:divBdr>
                  <w:divsChild>
                    <w:div w:id="435635336">
                      <w:marLeft w:val="0"/>
                      <w:marRight w:val="0"/>
                      <w:marTop w:val="0"/>
                      <w:marBottom w:val="0"/>
                      <w:divBdr>
                        <w:top w:val="none" w:sz="0" w:space="0" w:color="auto"/>
                        <w:left w:val="none" w:sz="0" w:space="0" w:color="auto"/>
                        <w:bottom w:val="none" w:sz="0" w:space="0" w:color="auto"/>
                        <w:right w:val="none" w:sz="0" w:space="0" w:color="auto"/>
                      </w:divBdr>
                      <w:divsChild>
                        <w:div w:id="1199783724">
                          <w:marLeft w:val="0"/>
                          <w:marRight w:val="0"/>
                          <w:marTop w:val="0"/>
                          <w:marBottom w:val="0"/>
                          <w:divBdr>
                            <w:top w:val="none" w:sz="0" w:space="0" w:color="auto"/>
                            <w:left w:val="none" w:sz="0" w:space="0" w:color="auto"/>
                            <w:bottom w:val="none" w:sz="0" w:space="0" w:color="auto"/>
                            <w:right w:val="none" w:sz="0" w:space="0" w:color="auto"/>
                          </w:divBdr>
                          <w:divsChild>
                            <w:div w:id="1392845378">
                              <w:marLeft w:val="0"/>
                              <w:marRight w:val="0"/>
                              <w:marTop w:val="0"/>
                              <w:marBottom w:val="0"/>
                              <w:divBdr>
                                <w:top w:val="none" w:sz="0" w:space="0" w:color="auto"/>
                                <w:left w:val="none" w:sz="0" w:space="0" w:color="auto"/>
                                <w:bottom w:val="none" w:sz="0" w:space="0" w:color="auto"/>
                                <w:right w:val="none" w:sz="0" w:space="0" w:color="auto"/>
                              </w:divBdr>
                              <w:divsChild>
                                <w:div w:id="1069694639">
                                  <w:marLeft w:val="0"/>
                                  <w:marRight w:val="0"/>
                                  <w:marTop w:val="0"/>
                                  <w:marBottom w:val="0"/>
                                  <w:divBdr>
                                    <w:top w:val="none" w:sz="0" w:space="0" w:color="auto"/>
                                    <w:left w:val="none" w:sz="0" w:space="0" w:color="auto"/>
                                    <w:bottom w:val="none" w:sz="0" w:space="0" w:color="auto"/>
                                    <w:right w:val="none" w:sz="0" w:space="0" w:color="auto"/>
                                  </w:divBdr>
                                  <w:divsChild>
                                    <w:div w:id="13673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1916832">
      <w:bodyDiv w:val="1"/>
      <w:marLeft w:val="0"/>
      <w:marRight w:val="0"/>
      <w:marTop w:val="0"/>
      <w:marBottom w:val="0"/>
      <w:divBdr>
        <w:top w:val="none" w:sz="0" w:space="0" w:color="auto"/>
        <w:left w:val="none" w:sz="0" w:space="0" w:color="auto"/>
        <w:bottom w:val="none" w:sz="0" w:space="0" w:color="auto"/>
        <w:right w:val="none" w:sz="0" w:space="0" w:color="auto"/>
      </w:divBdr>
      <w:divsChild>
        <w:div w:id="410850894">
          <w:marLeft w:val="0"/>
          <w:marRight w:val="0"/>
          <w:marTop w:val="0"/>
          <w:marBottom w:val="0"/>
          <w:divBdr>
            <w:top w:val="none" w:sz="0" w:space="0" w:color="auto"/>
            <w:left w:val="none" w:sz="0" w:space="0" w:color="auto"/>
            <w:bottom w:val="none" w:sz="0" w:space="0" w:color="auto"/>
            <w:right w:val="none" w:sz="0" w:space="0" w:color="auto"/>
          </w:divBdr>
          <w:divsChild>
            <w:div w:id="9100464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1162641">
      <w:bodyDiv w:val="1"/>
      <w:marLeft w:val="0"/>
      <w:marRight w:val="0"/>
      <w:marTop w:val="0"/>
      <w:marBottom w:val="0"/>
      <w:divBdr>
        <w:top w:val="none" w:sz="0" w:space="0" w:color="auto"/>
        <w:left w:val="none" w:sz="0" w:space="0" w:color="auto"/>
        <w:bottom w:val="none" w:sz="0" w:space="0" w:color="auto"/>
        <w:right w:val="none" w:sz="0" w:space="0" w:color="auto"/>
      </w:divBdr>
    </w:div>
    <w:div w:id="1199200051">
      <w:bodyDiv w:val="1"/>
      <w:marLeft w:val="0"/>
      <w:marRight w:val="0"/>
      <w:marTop w:val="0"/>
      <w:marBottom w:val="0"/>
      <w:divBdr>
        <w:top w:val="none" w:sz="0" w:space="0" w:color="auto"/>
        <w:left w:val="none" w:sz="0" w:space="0" w:color="auto"/>
        <w:bottom w:val="none" w:sz="0" w:space="0" w:color="auto"/>
        <w:right w:val="none" w:sz="0" w:space="0" w:color="auto"/>
      </w:divBdr>
    </w:div>
    <w:div w:id="1205558114">
      <w:bodyDiv w:val="1"/>
      <w:marLeft w:val="0"/>
      <w:marRight w:val="0"/>
      <w:marTop w:val="0"/>
      <w:marBottom w:val="0"/>
      <w:divBdr>
        <w:top w:val="none" w:sz="0" w:space="0" w:color="auto"/>
        <w:left w:val="none" w:sz="0" w:space="0" w:color="auto"/>
        <w:bottom w:val="none" w:sz="0" w:space="0" w:color="auto"/>
        <w:right w:val="none" w:sz="0" w:space="0" w:color="auto"/>
      </w:divBdr>
      <w:divsChild>
        <w:div w:id="72973753">
          <w:marLeft w:val="0"/>
          <w:marRight w:val="0"/>
          <w:marTop w:val="0"/>
          <w:marBottom w:val="0"/>
          <w:divBdr>
            <w:top w:val="none" w:sz="0" w:space="0" w:color="auto"/>
            <w:left w:val="none" w:sz="0" w:space="0" w:color="auto"/>
            <w:bottom w:val="none" w:sz="0" w:space="0" w:color="auto"/>
            <w:right w:val="none" w:sz="0" w:space="0" w:color="auto"/>
          </w:divBdr>
          <w:divsChild>
            <w:div w:id="15084434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9485152">
      <w:bodyDiv w:val="1"/>
      <w:marLeft w:val="0"/>
      <w:marRight w:val="0"/>
      <w:marTop w:val="0"/>
      <w:marBottom w:val="0"/>
      <w:divBdr>
        <w:top w:val="none" w:sz="0" w:space="0" w:color="auto"/>
        <w:left w:val="none" w:sz="0" w:space="0" w:color="auto"/>
        <w:bottom w:val="none" w:sz="0" w:space="0" w:color="auto"/>
        <w:right w:val="none" w:sz="0" w:space="0" w:color="auto"/>
      </w:divBdr>
    </w:div>
    <w:div w:id="1568491303">
      <w:bodyDiv w:val="1"/>
      <w:marLeft w:val="0"/>
      <w:marRight w:val="0"/>
      <w:marTop w:val="0"/>
      <w:marBottom w:val="0"/>
      <w:divBdr>
        <w:top w:val="none" w:sz="0" w:space="0" w:color="auto"/>
        <w:left w:val="none" w:sz="0" w:space="0" w:color="auto"/>
        <w:bottom w:val="none" w:sz="0" w:space="0" w:color="auto"/>
        <w:right w:val="none" w:sz="0" w:space="0" w:color="auto"/>
      </w:divBdr>
    </w:div>
    <w:div w:id="1704599856">
      <w:bodyDiv w:val="1"/>
      <w:marLeft w:val="0"/>
      <w:marRight w:val="0"/>
      <w:marTop w:val="0"/>
      <w:marBottom w:val="0"/>
      <w:divBdr>
        <w:top w:val="none" w:sz="0" w:space="0" w:color="auto"/>
        <w:left w:val="none" w:sz="0" w:space="0" w:color="auto"/>
        <w:bottom w:val="none" w:sz="0" w:space="0" w:color="auto"/>
        <w:right w:val="none" w:sz="0" w:space="0" w:color="auto"/>
      </w:divBdr>
      <w:divsChild>
        <w:div w:id="1808161367">
          <w:marLeft w:val="0"/>
          <w:marRight w:val="0"/>
          <w:marTop w:val="0"/>
          <w:marBottom w:val="0"/>
          <w:divBdr>
            <w:top w:val="none" w:sz="0" w:space="0" w:color="auto"/>
            <w:left w:val="none" w:sz="0" w:space="0" w:color="auto"/>
            <w:bottom w:val="none" w:sz="0" w:space="0" w:color="auto"/>
            <w:right w:val="none" w:sz="0" w:space="0" w:color="auto"/>
          </w:divBdr>
          <w:divsChild>
            <w:div w:id="45373299">
              <w:marLeft w:val="0"/>
              <w:marRight w:val="0"/>
              <w:marTop w:val="0"/>
              <w:marBottom w:val="0"/>
              <w:divBdr>
                <w:top w:val="none" w:sz="0" w:space="0" w:color="auto"/>
                <w:left w:val="none" w:sz="0" w:space="0" w:color="auto"/>
                <w:bottom w:val="none" w:sz="0" w:space="0" w:color="auto"/>
                <w:right w:val="none" w:sz="0" w:space="0" w:color="auto"/>
              </w:divBdr>
              <w:divsChild>
                <w:div w:id="632371638">
                  <w:marLeft w:val="0"/>
                  <w:marRight w:val="0"/>
                  <w:marTop w:val="0"/>
                  <w:marBottom w:val="0"/>
                  <w:divBdr>
                    <w:top w:val="none" w:sz="0" w:space="0" w:color="auto"/>
                    <w:left w:val="none" w:sz="0" w:space="0" w:color="auto"/>
                    <w:bottom w:val="none" w:sz="0" w:space="0" w:color="auto"/>
                    <w:right w:val="none" w:sz="0" w:space="0" w:color="auto"/>
                  </w:divBdr>
                  <w:divsChild>
                    <w:div w:id="705716922">
                      <w:marLeft w:val="0"/>
                      <w:marRight w:val="0"/>
                      <w:marTop w:val="0"/>
                      <w:marBottom w:val="0"/>
                      <w:divBdr>
                        <w:top w:val="none" w:sz="0" w:space="0" w:color="auto"/>
                        <w:left w:val="none" w:sz="0" w:space="0" w:color="auto"/>
                        <w:bottom w:val="none" w:sz="0" w:space="0" w:color="auto"/>
                        <w:right w:val="none" w:sz="0" w:space="0" w:color="auto"/>
                      </w:divBdr>
                      <w:divsChild>
                        <w:div w:id="2005738112">
                          <w:marLeft w:val="0"/>
                          <w:marRight w:val="0"/>
                          <w:marTop w:val="0"/>
                          <w:marBottom w:val="0"/>
                          <w:divBdr>
                            <w:top w:val="none" w:sz="0" w:space="0" w:color="auto"/>
                            <w:left w:val="none" w:sz="0" w:space="0" w:color="auto"/>
                            <w:bottom w:val="none" w:sz="0" w:space="0" w:color="auto"/>
                            <w:right w:val="none" w:sz="0" w:space="0" w:color="auto"/>
                          </w:divBdr>
                          <w:divsChild>
                            <w:div w:id="1722437210">
                              <w:marLeft w:val="0"/>
                              <w:marRight w:val="0"/>
                              <w:marTop w:val="0"/>
                              <w:marBottom w:val="0"/>
                              <w:divBdr>
                                <w:top w:val="none" w:sz="0" w:space="0" w:color="auto"/>
                                <w:left w:val="none" w:sz="0" w:space="0" w:color="auto"/>
                                <w:bottom w:val="none" w:sz="0" w:space="0" w:color="auto"/>
                                <w:right w:val="none" w:sz="0" w:space="0" w:color="auto"/>
                              </w:divBdr>
                              <w:divsChild>
                                <w:div w:id="1294484471">
                                  <w:marLeft w:val="0"/>
                                  <w:marRight w:val="0"/>
                                  <w:marTop w:val="0"/>
                                  <w:marBottom w:val="0"/>
                                  <w:divBdr>
                                    <w:top w:val="none" w:sz="0" w:space="0" w:color="auto"/>
                                    <w:left w:val="none" w:sz="0" w:space="0" w:color="auto"/>
                                    <w:bottom w:val="none" w:sz="0" w:space="0" w:color="auto"/>
                                    <w:right w:val="none" w:sz="0" w:space="0" w:color="auto"/>
                                  </w:divBdr>
                                  <w:divsChild>
                                    <w:div w:id="16409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q2">
      <a:dk1>
        <a:sysClr val="windowText" lastClr="000000"/>
      </a:dk1>
      <a:lt1>
        <a:sysClr val="window" lastClr="FFFFFF"/>
      </a:lt1>
      <a:dk2>
        <a:srgbClr val="5B564D"/>
      </a:dk2>
      <a:lt2>
        <a:srgbClr val="FFFFFF"/>
      </a:lt2>
      <a:accent1>
        <a:srgbClr val="81BC41"/>
      </a:accent1>
      <a:accent2>
        <a:srgbClr val="008DA8"/>
      </a:accent2>
      <a:accent3>
        <a:srgbClr val="FCB424"/>
      </a:accent3>
      <a:accent4>
        <a:srgbClr val="B35BA9"/>
      </a:accent4>
      <a:accent5>
        <a:srgbClr val="F25B4E"/>
      </a:accent5>
      <a:accent6>
        <a:srgbClr val="B35BA9"/>
      </a:accent6>
      <a:hlink>
        <a:srgbClr val="42B8CE"/>
      </a:hlink>
      <a:folHlink>
        <a:srgbClr val="B35BA9"/>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331C7F2D5E0148945B1DE0569CF4C4" ma:contentTypeVersion="15" ma:contentTypeDescription="Create a new document." ma:contentTypeScope="" ma:versionID="09b3626d1714c1ae347a075d959b8a3a">
  <xsd:schema xmlns:xsd="http://www.w3.org/2001/XMLSchema" xmlns:xs="http://www.w3.org/2001/XMLSchema" xmlns:p="http://schemas.microsoft.com/office/2006/metadata/properties" xmlns:ns1="http://schemas.microsoft.com/sharepoint/v3" xmlns:ns3="c86db98d-d4dd-40c2-9cdd-a02b20ffcbbd" xmlns:ns4="5a91c7bc-a1c9-47de-9eb1-c4d46fb1bd4c" targetNamespace="http://schemas.microsoft.com/office/2006/metadata/properties" ma:root="true" ma:fieldsID="c205a21a41669d40d8b2c6b429077cdb" ns1:_="" ns3:_="" ns4:_="">
    <xsd:import namespace="http://schemas.microsoft.com/sharepoint/v3"/>
    <xsd:import namespace="c86db98d-d4dd-40c2-9cdd-a02b20ffcbbd"/>
    <xsd:import namespace="5a91c7bc-a1c9-47de-9eb1-c4d46fb1bd4c"/>
    <xsd:element name="properties">
      <xsd:complexType>
        <xsd:sequence>
          <xsd:element name="documentManagement">
            <xsd:complexType>
              <xsd:all>
                <xsd:element ref="ns1:_ip_UnifiedCompliancePolicyProperties" minOccurs="0"/>
                <xsd:element ref="ns1:_ip_UnifiedCompliancePolicyUIAction" minOccurs="0"/>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6db98d-d4dd-40c2-9cdd-a02b20ffcbbd"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91c7bc-a1c9-47de-9eb1-c4d46fb1bd4c"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Location" ma:index="17" nillable="true" ma:displayName="MediaServiceLocation" ma:description="" ma:internalName="MediaServiceLocation"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AF5A8-20B4-4F84-9ED9-22CDB58AAE6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051ECCF-64EB-494B-9A1F-C65090FD8B84}">
  <ds:schemaRefs>
    <ds:schemaRef ds:uri="http://schemas.microsoft.com/sharepoint/v3/contenttype/forms"/>
  </ds:schemaRefs>
</ds:datastoreItem>
</file>

<file path=customXml/itemProps3.xml><?xml version="1.0" encoding="utf-8"?>
<ds:datastoreItem xmlns:ds="http://schemas.openxmlformats.org/officeDocument/2006/customXml" ds:itemID="{CF9CBD53-2313-417B-BB13-CBA31C1396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86db98d-d4dd-40c2-9cdd-a02b20ffcbbd"/>
    <ds:schemaRef ds:uri="5a91c7bc-a1c9-47de-9eb1-c4d46fb1b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45DD63-80AE-4D13-AA6C-AAEDC6309A1E}">
  <ds:schemaRefs>
    <ds:schemaRef ds:uri="http://schemas.openxmlformats.org/officeDocument/2006/bibliography"/>
  </ds:schemaRefs>
</ds:datastoreItem>
</file>

<file path=docMetadata/LabelInfo.xml><?xml version="1.0" encoding="utf-8"?>
<clbl:labelList xmlns:clbl="http://schemas.microsoft.com/office/2020/mipLabelMetadata">
  <clbl:label id="{86b38324-0fb6-44c7-b3dc-5dc60d472331}" enabled="0" method="" siteId="{86b38324-0fb6-44c7-b3dc-5dc60d472331}" removed="1"/>
</clbl:labelList>
</file>

<file path=docProps/app.xml><?xml version="1.0" encoding="utf-8"?>
<Properties xmlns="http://schemas.openxmlformats.org/officeDocument/2006/extended-properties" xmlns:vt="http://schemas.openxmlformats.org/officeDocument/2006/docPropsVTypes">
  <Template>Normal</Template>
  <TotalTime>21</TotalTime>
  <Pages>3</Pages>
  <Words>1030</Words>
  <Characters>5533</Characters>
  <Application>Microsoft Office Word</Application>
  <DocSecurity>0</DocSecurity>
  <Lines>117</Lines>
  <Paragraphs>68</Paragraphs>
  <ScaleCrop>false</ScaleCrop>
  <HeadingPairs>
    <vt:vector size="2" baseType="variant">
      <vt:variant>
        <vt:lpstr>Title</vt:lpstr>
      </vt:variant>
      <vt:variant>
        <vt:i4>1</vt:i4>
      </vt:variant>
    </vt:vector>
  </HeadingPairs>
  <TitlesOfParts>
    <vt:vector size="1" baseType="lpstr">
      <vt:lpstr/>
    </vt:vector>
  </TitlesOfParts>
  <Company>q2ebanking</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Desma Hart</dc:creator>
  <cp:keywords/>
  <dc:description/>
  <cp:lastModifiedBy>Q2 Legal</cp:lastModifiedBy>
  <cp:revision>6</cp:revision>
  <cp:lastPrinted>2024-09-30T14:08:00Z</cp:lastPrinted>
  <dcterms:created xsi:type="dcterms:W3CDTF">2026-01-15T19:02:00Z</dcterms:created>
  <dcterms:modified xsi:type="dcterms:W3CDTF">2026-06-10T16:36:00Z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0x0101009E331C7F2D5E0148945B1DE0569CF4C4</vt:lpwstr>
  </property>
</Properties>
</file>