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600"/>
              <w:left w:type="dxa" w:w="400"/>
              <w:bottom w:type="dxa" w:w="600"/>
              <w:right w:type="dxa" w:w="400"/>
            </w:tcMar>
          </w:tcPr>
          <w:p>
            <w:pPr>
              <w:spacing w:after="100" w:before="0"/>
              <w:jc w:val="center"/>
            </w:pPr>
            <w:r>
              <w:rPr>
                <w:rFonts w:ascii="Arial" w:cs="Arial" w:eastAsia="Arial" w:hAnsi="Arial"/>
                <w:b/>
                <w:bCs/>
                <w:color w:val="FFFFFF"/>
                <w:sz w:val="56"/>
                <w:szCs w:val="56"/>
              </w:rPr>
              <w:t xml:space="preserve">INTEGRATED INVESTMENT</w:t>
            </w:r>
          </w:p>
          <w:p>
            <w:pPr>
              <w:spacing w:after="200" w:before="0"/>
              <w:jc w:val="center"/>
            </w:pPr>
            <w:r>
              <w:rPr>
                <w:rFonts w:ascii="Arial" w:cs="Arial" w:eastAsia="Arial" w:hAnsi="Arial"/>
                <w:b/>
                <w:bCs/>
                <w:color w:val="FFFFFF"/>
                <w:sz w:val="56"/>
                <w:szCs w:val="56"/>
              </w:rPr>
              <w:t xml:space="preserve">DECISION FRAMEWORK</w:t>
            </w:r>
          </w:p>
          <w:p>
            <w:pPr>
              <w:spacing w:after="100" w:before="0"/>
              <w:jc w:val="center"/>
            </w:pPr>
            <w:r>
              <w:rPr>
                <w:rFonts w:ascii="Arial" w:cs="Arial" w:eastAsia="Arial" w:hAnsi="Arial"/>
                <w:i/>
                <w:iCs/>
                <w:color w:val="D6E4F0"/>
                <w:sz w:val="26"/>
                <w:szCs w:val="26"/>
              </w:rPr>
              <w:t xml:space="preserve">Think Like a Builder. Invest Like a Pro.</w:t>
            </w:r>
          </w:p>
          <w:p>
            <w:pPr>
              <w:spacing w:after="0" w:before="200"/>
              <w:jc w:val="center"/>
            </w:pPr>
            <w:r>
              <w:rPr>
                <w:rFonts w:ascii="Arial" w:cs="Arial" w:eastAsia="Arial" w:hAnsi="Arial"/>
                <w:color w:val="D6E4F0"/>
                <w:sz w:val="20"/>
                <w:szCs w:val="20"/>
              </w:rPr>
              <w:t xml:space="preserve">Multi-Agent System Architecture  ·  Valuation Science  ·  Portfolio Discipline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60"/>
              <w:left w:type="dxa" w:w="200"/>
              <w:bottom w:type="dxa" w:w="160"/>
              <w:right w:type="dxa" w:w="200"/>
            </w:tcMar>
          </w:tcPr>
          <w:p>
            <w:pPr>
              <w:spacing w:after="60" w:before="0"/>
            </w:pPr>
            <w:r>
              <w:rPr>
                <w:rFonts w:ascii="Arial" w:cs="Arial" w:eastAsia="Arial" w:hAnsi="Arial"/>
                <w:b/>
                <w:bCs/>
                <w:color w:val="D4851A"/>
                <w:sz w:val="20"/>
                <w:szCs w:val="20"/>
              </w:rPr>
              <w:t xml:space="preserve">★ Four-Layer Integrated Framework</w:t>
            </w:r>
          </w:p>
          <w:p>
            <w:pPr>
              <w:spacing w:after="0" w:before="0"/>
            </w:pPr>
            <w:r>
              <w:rPr>
                <w:rFonts w:ascii="Arial" w:cs="Arial" w:eastAsia="Arial" w:hAnsi="Arial"/>
                <w:color w:val="4A4A4A"/>
                <w:sz w:val="20"/>
                <w:szCs w:val="20"/>
              </w:rPr>
              <w:t xml:space="preserve">The most comprehensive private investor framework available. 16 integrated sections drawing on eight intellectual sources: original builder-first philosophy, Liberti valuation science, Graham + Lynch + Malkiel screening, SFM academic principles, Helmer 7 Powers, Soros reflexivity theory, Porter industry structure, and AI quality discipline. Enhanced with: 9-domain data cleaning, narrative scenario planning, regulatory risk probability-impact framework, reflexivity analysis, framework override protocol, risk quantification, management quality scoring, ESG as financial risk, alternative data, lifecycle-adjusted analysis, unit economics, TAM discipline, revenue quality scoring, systematic idea generation, Piotroski + Sloan + EPV quantitative screens, and performance attribution. Designed to be used — not admired.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SECTION 1  ·  MACRO COMPASS &amp; REGIME DETECTION</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1.1  Long-Range Macro View</w:t>
      </w:r>
    </w:p>
    <w:p>
      <w:pPr>
        <w:spacing w:after="80" w:before="60"/>
      </w:pPr>
      <w:r>
        <w:rPr>
          <w:rFonts w:ascii="Arial" w:cs="Arial" w:eastAsia="Arial" w:hAnsi="Arial"/>
          <w:color w:val="4A4A4A"/>
          <w:sz w:val="22"/>
          <w:szCs w:val="22"/>
        </w:rPr>
        <w:t xml:space="preserve">Macro is weather, not destiny — it sets conditions, not outcomes. The regime detection agent translates these inputs into an act / watch / wait signal that gates capital deployment.</w:t>
      </w:r>
    </w:p>
    <w:p>
      <w:pPr>
        <w:spacing w:after="80" w:before="0"/>
      </w:pPr>
      <w:r>
        <w:t xml:space="preserve"/>
      </w:r>
    </w:p>
    <w:p>
      <w:pPr>
        <w:spacing w:after="80" w:before="200"/>
      </w:pPr>
      <w:r>
        <w:rPr>
          <w:rFonts w:ascii="Arial" w:cs="Arial" w:eastAsia="Arial" w:hAnsi="Arial"/>
          <w:b/>
          <w:bCs/>
          <w:color w:val="2E6DA4"/>
          <w:sz w:val="24"/>
          <w:szCs w:val="24"/>
        </w:rPr>
        <w:t xml:space="preserve">Inflation Path</w:t>
      </w:r>
    </w:p>
    <w:p>
      <w:pPr>
        <w:pStyle w:val="ListParagraph"/>
        <w:numPr>
          <w:ilvl w:val="0"/>
          <w:numId w:val="2"/>
        </w:numPr>
        <w:spacing w:after="40" w:before="40"/>
      </w:pPr>
      <w:r>
        <w:rPr>
          <w:rFonts w:ascii="Arial" w:cs="Arial" w:eastAsia="Arial" w:hAnsi="Arial"/>
          <w:color w:val="4A4A4A"/>
          <w:sz w:val="22"/>
          <w:szCs w:val="22"/>
        </w:rPr>
        <w:t xml:space="preserve">Track core inflation (not headline CPI): sticky wages + housing = prolonged core pressure = higher-for-longer rates</w:t>
      </w:r>
    </w:p>
    <w:p>
      <w:pPr>
        <w:pStyle w:val="ListParagraph"/>
        <w:numPr>
          <w:ilvl w:val="0"/>
          <w:numId w:val="2"/>
        </w:numPr>
        <w:spacing w:after="40" w:before="40"/>
      </w:pPr>
      <w:r>
        <w:rPr>
          <w:rFonts w:ascii="Arial" w:cs="Arial" w:eastAsia="Arial" w:hAnsi="Arial"/>
          <w:color w:val="4A4A4A"/>
          <w:sz w:val="22"/>
          <w:szCs w:val="22"/>
        </w:rPr>
        <w:t xml:space="preserve">Tech-driven productivity gains can offset inflation via efficiency — monitor AI adoption curves and software margin expansion</w:t>
      </w:r>
    </w:p>
    <w:p>
      <w:pPr>
        <w:pStyle w:val="ListParagraph"/>
        <w:numPr>
          <w:ilvl w:val="0"/>
          <w:numId w:val="2"/>
        </w:numPr>
        <w:spacing w:after="40" w:before="40"/>
      </w:pPr>
      <w:r>
        <w:rPr>
          <w:rFonts w:ascii="Arial" w:cs="Arial" w:eastAsia="Arial" w:hAnsi="Arial"/>
          <w:color w:val="4A4A4A"/>
          <w:sz w:val="22"/>
          <w:szCs w:val="22"/>
        </w:rPr>
        <w:t xml:space="preserve">Services inflation vs. commodity deflation divergence — signals sectoral rotation opportunities</w:t>
      </w:r>
    </w:p>
    <w:p>
      <w:pPr>
        <w:spacing w:after="80" w:before="0"/>
      </w:pPr>
      <w:r>
        <w:t xml:space="preserve"/>
      </w:r>
    </w:p>
    <w:p>
      <w:pPr>
        <w:spacing w:after="80" w:before="200"/>
      </w:pPr>
      <w:r>
        <w:rPr>
          <w:rFonts w:ascii="Arial" w:cs="Arial" w:eastAsia="Arial" w:hAnsi="Arial"/>
          <w:b/>
          <w:bCs/>
          <w:color w:val="2E6DA4"/>
          <w:sz w:val="24"/>
          <w:szCs w:val="24"/>
        </w:rPr>
        <w:t xml:space="preserve">Rate Expectations — the Delta Matters</w:t>
      </w:r>
    </w:p>
    <w:p>
      <w:pPr>
        <w:pStyle w:val="ListParagraph"/>
        <w:numPr>
          <w:ilvl w:val="0"/>
          <w:numId w:val="2"/>
        </w:numPr>
        <w:spacing w:after="40" w:before="40"/>
      </w:pPr>
      <w:r>
        <w:rPr>
          <w:rFonts w:ascii="Arial" w:cs="Arial" w:eastAsia="Arial" w:hAnsi="Arial"/>
          <w:color w:val="4A4A4A"/>
          <w:sz w:val="22"/>
          <w:szCs w:val="22"/>
        </w:rPr>
        <w:t xml:space="preserve">Markets price the direction of change, not the level. A move from 5% → 3.5% over 18 months is highly bullish for duration and borrowing economics</w:t>
      </w:r>
    </w:p>
    <w:p>
      <w:pPr>
        <w:pStyle w:val="ListParagraph"/>
        <w:numPr>
          <w:ilvl w:val="0"/>
          <w:numId w:val="2"/>
        </w:numPr>
        <w:spacing w:after="40" w:before="40"/>
      </w:pPr>
      <w:r>
        <w:rPr>
          <w:rFonts w:ascii="Arial" w:cs="Arial" w:eastAsia="Arial" w:hAnsi="Arial"/>
          <w:color w:val="4A4A4A"/>
          <w:sz w:val="22"/>
          <w:szCs w:val="22"/>
        </w:rPr>
        <w:t xml:space="preserve">Monitor: SOFR futures curve, Fed dot plot dispersion, breakeven inflation spreads</w:t>
      </w:r>
    </w:p>
    <w:p>
      <w:pPr>
        <w:spacing w:after="80" w:before="0"/>
      </w:pPr>
      <w:r>
        <w:t xml:space="preserve"/>
      </w:r>
    </w:p>
    <w:p>
      <w:pPr>
        <w:spacing w:after="80" w:before="200"/>
      </w:pPr>
      <w:r>
        <w:rPr>
          <w:rFonts w:ascii="Arial" w:cs="Arial" w:eastAsia="Arial" w:hAnsi="Arial"/>
          <w:b/>
          <w:bCs/>
          <w:color w:val="2E6DA4"/>
          <w:sz w:val="24"/>
          <w:szCs w:val="24"/>
        </w:rPr>
        <w:t xml:space="preserve">★ Regime Detection Agent Output</w:t>
      </w:r>
    </w:p>
    <w:p>
      <w:pPr>
        <w:spacing w:after="60" w:before="80"/>
      </w:pPr>
      <w:r>
        <w:rPr>
          <w:rFonts w:ascii="Arial" w:cs="Arial" w:eastAsia="Arial" w:hAnsi="Arial"/>
          <w:b/>
          <w:bCs/>
          <w:color w:val="D4851A"/>
          <w:sz w:val="20"/>
          <w:szCs w:val="20"/>
        </w:rPr>
        <w:t xml:space="preserve">★ NEW: </w:t>
      </w:r>
      <w:r>
        <w:rPr>
          <w:rFonts w:ascii="Arial" w:cs="Arial" w:eastAsia="Arial" w:hAnsi="Arial"/>
          <w:i/>
          <w:iCs/>
          <w:color w:val="4A4A4A"/>
          <w:sz w:val="20"/>
          <w:szCs w:val="20"/>
        </w:rPr>
        <w:t xml:space="preserve">New addition — translates macro inputs into a binary action signal to gate Layer 2 opportunity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EE" w:val="clear"/>
            <w:tcMar>
              <w:top w:type="dxa" w:w="160"/>
              <w:left w:type="dxa" w:w="200"/>
              <w:bottom w:type="dxa" w:w="160"/>
              <w:right w:type="dxa" w:w="200"/>
            </w:tcMar>
          </w:tcPr>
          <w:p>
            <w:pPr>
              <w:spacing w:after="60" w:before="0"/>
            </w:pPr>
            <w:r>
              <w:rPr>
                <w:rFonts w:ascii="Arial" w:cs="Arial" w:eastAsia="Arial" w:hAnsi="Arial"/>
                <w:b/>
                <w:bCs/>
                <w:color w:val="1A6B5A"/>
                <w:sz w:val="20"/>
                <w:szCs w:val="20"/>
              </w:rPr>
              <w:t xml:space="preserve">Regime Signal Logic</w:t>
            </w:r>
          </w:p>
          <w:p>
            <w:pPr>
              <w:spacing w:after="0" w:before="0"/>
            </w:pPr>
            <w:r>
              <w:rPr>
                <w:rFonts w:ascii="Arial" w:cs="Arial" w:eastAsia="Arial" w:hAnsi="Arial"/>
                <w:color w:val="4A4A4A"/>
                <w:sz w:val="20"/>
                <w:szCs w:val="20"/>
              </w:rPr>
              <w:t xml:space="preserve">RISK-ON (Act): Inflation declining + productivity rising + yield curve steepening + sector momentum aligned
CAUTION (Watch): Mixed signals — deploy only highest-conviction names at maximum margin of safety
RISK-OFF (Wait): Tightening + margin compression + credit spreads widening — hold cash, build watchlist</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1.2  Secular Sector Themes</w:t>
      </w:r>
    </w:p>
    <w:p>
      <w:pPr>
        <w:spacing w:after="80" w:before="60"/>
      </w:pPr>
      <w:r>
        <w:rPr>
          <w:rFonts w:ascii="Arial" w:cs="Arial" w:eastAsia="Arial" w:hAnsi="Arial"/>
          <w:color w:val="4A4A4A"/>
          <w:sz w:val="22"/>
          <w:szCs w:val="22"/>
        </w:rPr>
        <w:t xml:space="preserve">Invest in sectors growing because the world is structurally changing — not because earnings were decent last quarter.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Secular Theme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Core Investable Areas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Risk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AI Infrastructure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Compute (fabs, chips, DCs), networking, cloud, power/cooling, cybersecurity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Capex overbuild; hyperscaler concentration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Healthcare Economics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Value-based care, payer savings tech, specialty drugs, med-tech, RCM automation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Regulatory pricing pressure; reimbursement cuts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Energy Transition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Grid modernization, renewables, battery/storage, electrification supply chains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Policy reversal; subsidy dependency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Enterprise Digitization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CRM, workflow automation, ERP, observability, API platforms, fintech infra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Multiple compression; AI commoditization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Defense &amp; Stability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National security tech, cyber, satellite, logistics modernization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Geopolitical cycle reversal; budget sequester</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SECTION 2  ·  DATA INGESTION &amp; METRIC CLEANING</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2.1  Data Sourcing Workflow</w:t>
      </w:r>
    </w:p>
    <w:p>
      <w:pPr>
        <w:spacing w:after="80" w:before="60"/>
      </w:pPr>
      <w:r>
        <w:rPr>
          <w:rFonts w:ascii="Arial" w:cs="Arial" w:eastAsia="Arial" w:hAnsi="Arial"/>
          <w:color w:val="4A4A4A"/>
          <w:sz w:val="22"/>
          <w:szCs w:val="22"/>
        </w:rPr>
        <w:t xml:space="preserve">Reliable inputs only — this is fine dining, not earnings fast-food. Four data ingestion agents run in parallel and feed the opportunity layer.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Data Collected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Market Data 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Price, volume, implied volatility, options flow, short interest, institutional positioning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Fundamental Agent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Income statement by segment, balance sheet, cash flow, guidance history, unit economics (CAC, NRR, LTV)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Sentiment 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News NLP, analyst upgrades/downgrades, earnings call tone analysis, social signal momentum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Macro Regime Agent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CPI components, Fed communications, yield curve shape, credit spreads, sector rotation signals</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2.2  ★ Metric Cleaning — Liberti Method</w:t>
      </w:r>
    </w:p>
    <w:p>
      <w:pPr>
        <w:spacing w:after="60" w:before="80"/>
      </w:pPr>
      <w:r>
        <w:rPr>
          <w:rFonts w:ascii="Arial" w:cs="Arial" w:eastAsia="Arial" w:hAnsi="Arial"/>
          <w:b/>
          <w:bCs/>
          <w:color w:val="D4851A"/>
          <w:sz w:val="20"/>
          <w:szCs w:val="20"/>
        </w:rPr>
        <w:t xml:space="preserve">★ NEW: </w:t>
      </w:r>
      <w:r>
        <w:rPr>
          <w:rFonts w:ascii="Arial" w:cs="Arial" w:eastAsia="Arial" w:hAnsi="Arial"/>
          <w:i/>
          <w:iCs/>
          <w:color w:val="4A4A4A"/>
          <w:sz w:val="20"/>
          <w:szCs w:val="20"/>
        </w:rPr>
        <w:t xml:space="preserve">Integrated from Liberti (2025): non-recurring item discipline is mandatory before any multiple is applied.</w:t>
      </w:r>
    </w:p>
    <w:p>
      <w:pPr>
        <w:spacing w:after="80" w:before="60"/>
      </w:pPr>
      <w:r>
        <w:rPr>
          <w:rFonts w:ascii="Arial" w:cs="Arial" w:eastAsia="Arial" w:hAnsi="Arial"/>
          <w:color w:val="4A4A4A"/>
          <w:sz w:val="22"/>
          <w:szCs w:val="22"/>
        </w:rPr>
        <w:t xml:space="preserve">A multiple applied to a noisy metric is worse than useless — it embeds false precision. Three cleaning steps are required before any valuation work:</w:t>
      </w:r>
    </w:p>
    <w:p>
      <w:pPr>
        <w:spacing w:after="80" w:before="0"/>
      </w:pPr>
      <w:r>
        <w:t xml:space="preserve"/>
      </w:r>
    </w:p>
    <w:p>
      <w:pPr>
        <w:spacing w:after="80" w:before="200"/>
      </w:pPr>
      <w:r>
        <w:rPr>
          <w:rFonts w:ascii="Arial" w:cs="Arial" w:eastAsia="Arial" w:hAnsi="Arial"/>
          <w:b/>
          <w:bCs/>
          <w:color w:val="2E6DA4"/>
          <w:sz w:val="24"/>
          <w:szCs w:val="24"/>
        </w:rPr>
        <w:t xml:space="preserve">Step 1: Strip Non-Recurring Items</w:t>
      </w:r>
    </w:p>
    <w:p>
      <w:pPr>
        <w:pStyle w:val="ListParagraph"/>
        <w:numPr>
          <w:ilvl w:val="0"/>
          <w:numId w:val="2"/>
        </w:numPr>
        <w:spacing w:after="40" w:before="40"/>
      </w:pPr>
      <w:r>
        <w:rPr>
          <w:rFonts w:ascii="Arial" w:cs="Arial" w:eastAsia="Arial" w:hAnsi="Arial"/>
          <w:color w:val="4A4A4A"/>
          <w:sz w:val="22"/>
          <w:szCs w:val="22"/>
        </w:rPr>
        <w:t xml:space="preserve">Remove: restructuring charges, impairments, write-downs, integration costs, one-off gains</w:t>
      </w:r>
    </w:p>
    <w:p>
      <w:pPr>
        <w:pStyle w:val="ListParagraph"/>
        <w:numPr>
          <w:ilvl w:val="0"/>
          <w:numId w:val="2"/>
        </w:numPr>
        <w:spacing w:after="40" w:before="40"/>
      </w:pPr>
      <w:r>
        <w:rPr>
          <w:rFonts w:ascii="Arial" w:cs="Arial" w:eastAsia="Arial" w:hAnsi="Arial"/>
          <w:color w:val="4A4A4A"/>
          <w:sz w:val="22"/>
          <w:szCs w:val="22"/>
        </w:rPr>
        <w:t xml:space="preserve">Hunt for: unexplained margin behavior, reconciliation-to-cash-flow notes, 'streamlining' / 'impairment' keywords in filings</w:t>
      </w:r>
    </w:p>
    <w:p>
      <w:pPr>
        <w:pStyle w:val="ListParagraph"/>
        <w:numPr>
          <w:ilvl w:val="0"/>
          <w:numId w:val="2"/>
        </w:numPr>
        <w:spacing w:after="40" w:before="40"/>
      </w:pPr>
      <w:r>
        <w:rPr>
          <w:rFonts w:ascii="Arial" w:cs="Arial" w:eastAsia="Arial" w:hAnsi="Arial"/>
          <w:color w:val="4A4A4A"/>
          <w:sz w:val="22"/>
          <w:szCs w:val="22"/>
        </w:rPr>
        <w:t xml:space="preserve">Rule: non-recurring expenses are added back; non-recurring income is deducted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0"/>
            </w:pPr>
            <w:r>
              <w:rPr>
                <w:rFonts w:ascii="Arial" w:cs="Arial" w:eastAsia="Arial" w:hAnsi="Arial"/>
                <w:b/>
                <w:bCs/>
                <w:color w:val="1E3A5F"/>
                <w:sz w:val="20"/>
                <w:szCs w:val="20"/>
              </w:rPr>
              <w:t xml:space="preserve">Metric Cleaning Example</w:t>
            </w:r>
          </w:p>
          <w:p>
            <w:pPr>
              <w:spacing w:after="0" w:before="0"/>
            </w:pPr>
            <w:r>
              <w:rPr>
                <w:rFonts w:ascii="Arial" w:cs="Arial" w:eastAsia="Arial" w:hAnsi="Arial"/>
                <w:color w:val="4A4A4A"/>
                <w:sz w:val="20"/>
                <w:szCs w:val="20"/>
              </w:rPr>
              <w:t xml:space="preserve">Reported EBITDA: 14,012 (includes 1,707 restructuring charge)
Clean EBITDA: 15,720 (restructuring removed)
At 12x multiple → valuation impact: +20,490
Additional step: deduct PV of restructuring cash cost from equity bridge → Implied Equity Value: 186,927</w:t>
            </w:r>
          </w:p>
        </w:tc>
      </w:tr>
    </w:tbl>
    <w:p>
      <w:pPr>
        <w:spacing w:after="80" w:before="0"/>
      </w:pPr>
      <w:r>
        <w:t xml:space="preserve"/>
      </w:r>
    </w:p>
    <w:p>
      <w:pPr>
        <w:spacing w:after="80" w:before="200"/>
      </w:pPr>
      <w:r>
        <w:rPr>
          <w:rFonts w:ascii="Arial" w:cs="Arial" w:eastAsia="Arial" w:hAnsi="Arial"/>
          <w:b/>
          <w:bCs/>
          <w:color w:val="2E6DA4"/>
          <w:sz w:val="24"/>
          <w:szCs w:val="24"/>
        </w:rPr>
        <w:t xml:space="preserve">Step 2: Handle JVA / Associate Income Correctly</w:t>
      </w:r>
    </w:p>
    <w:p>
      <w:pPr>
        <w:pStyle w:val="ListParagraph"/>
        <w:numPr>
          <w:ilvl w:val="0"/>
          <w:numId w:val="2"/>
        </w:numPr>
        <w:spacing w:after="40" w:before="40"/>
      </w:pPr>
      <w:r>
        <w:rPr>
          <w:rFonts w:ascii="Arial" w:cs="Arial" w:eastAsia="Arial" w:hAnsi="Arial"/>
          <w:color w:val="4A4A4A"/>
          <w:sz w:val="22"/>
          <w:szCs w:val="22"/>
        </w:rPr>
        <w:t xml:space="preserve">Income from JVAs is post-tax, post-interest (equity-level metric) — it must NOT sit inside EBITDA (enterprise-level metric)</w:t>
      </w:r>
    </w:p>
    <w:p>
      <w:pPr>
        <w:pStyle w:val="ListParagraph"/>
        <w:numPr>
          <w:ilvl w:val="0"/>
          <w:numId w:val="2"/>
        </w:numPr>
        <w:spacing w:after="40" w:before="40"/>
      </w:pPr>
      <w:r>
        <w:rPr>
          <w:rFonts w:ascii="Arial" w:cs="Arial" w:eastAsia="Arial" w:hAnsi="Arial"/>
          <w:color w:val="4A4A4A"/>
          <w:sz w:val="22"/>
          <w:szCs w:val="22"/>
        </w:rPr>
        <w:t xml:space="preserve">Correct treatment: remove JVA income from EBITDA, value the JVA stake separately using an appropriate PE multiple, add as a line item in the equity bridge</w:t>
      </w:r>
    </w:p>
    <w:p>
      <w:pPr>
        <w:pStyle w:val="ListParagraph"/>
        <w:numPr>
          <w:ilvl w:val="0"/>
          <w:numId w:val="2"/>
        </w:numPr>
        <w:spacing w:after="40" w:before="40"/>
      </w:pPr>
      <w:r>
        <w:rPr>
          <w:rFonts w:ascii="Arial" w:cs="Arial" w:eastAsia="Arial" w:hAnsi="Arial"/>
          <w:color w:val="4A4A4A"/>
          <w:sz w:val="22"/>
          <w:szCs w:val="22"/>
        </w:rPr>
        <w:t xml:space="preserve">Incorrect treatment at 12x EV/EBITDA: 22,344 implied value of JVAs vs. 39,102 when valued at 21x PE — a 75% valuation error</w:t>
      </w:r>
    </w:p>
    <w:p>
      <w:pPr>
        <w:spacing w:after="80" w:before="0"/>
      </w:pPr>
      <w:r>
        <w:t xml:space="preserve"/>
      </w:r>
    </w:p>
    <w:p>
      <w:pPr>
        <w:spacing w:after="80" w:before="200"/>
      </w:pPr>
      <w:r>
        <w:rPr>
          <w:rFonts w:ascii="Arial" w:cs="Arial" w:eastAsia="Arial" w:hAnsi="Arial"/>
          <w:b/>
          <w:bCs/>
          <w:color w:val="2E6DA4"/>
          <w:sz w:val="24"/>
          <w:szCs w:val="24"/>
        </w:rPr>
        <w:t xml:space="preserve">Step 3: Normalize EBIT for Multiple Use</w:t>
      </w:r>
    </w:p>
    <w:p>
      <w:pPr>
        <w:pStyle w:val="ListParagraph"/>
        <w:numPr>
          <w:ilvl w:val="0"/>
          <w:numId w:val="2"/>
        </w:numPr>
        <w:spacing w:after="40" w:before="40"/>
      </w:pPr>
      <w:r>
        <w:rPr>
          <w:rFonts w:ascii="Arial" w:cs="Arial" w:eastAsia="Arial" w:hAnsi="Arial"/>
          <w:color w:val="4A4A4A"/>
          <w:sz w:val="22"/>
          <w:szCs w:val="22"/>
        </w:rPr>
        <w:t xml:space="preserve">Remove: share of result in associates (post-tax equity number — inconsistent in pre-tax EBIT), impairment losses (non-recurring write-downs), volatile other income/expense lines</w:t>
      </w:r>
    </w:p>
    <w:p>
      <w:pPr>
        <w:pStyle w:val="ListParagraph"/>
        <w:numPr>
          <w:ilvl w:val="0"/>
          <w:numId w:val="2"/>
        </w:numPr>
        <w:spacing w:after="40" w:before="40"/>
      </w:pPr>
      <w:r>
        <w:rPr>
          <w:rFonts w:ascii="Arial" w:cs="Arial" w:eastAsia="Arial" w:hAnsi="Arial"/>
          <w:color w:val="4A4A4A"/>
          <w:sz w:val="22"/>
          <w:szCs w:val="22"/>
        </w:rPr>
        <w:t xml:space="preserve">Result: normalized EBIT margin that is stable, comparable, and suitable for multiple application</w:t>
      </w:r>
    </w:p>
    <w:p>
      <w:pPr>
        <w:spacing w:after="80" w:before="0"/>
      </w:pPr>
      <w:r>
        <w:t xml:space="preserve"/>
      </w:r>
    </w:p>
    <w:p>
      <w:pPr>
        <w:spacing w:after="80" w:before="0"/>
      </w:pPr>
      <w:r>
        <w:t xml:space="preserve"/>
      </w:r>
    </w:p>
    <w:p>
      <w:pPr>
        <w:pStyle w:val="Heading2"/>
        <w:spacing w:after="120" w:before="320"/>
      </w:pPr>
      <w:r>
        <w:rPr>
          <w:rFonts w:ascii="Arial" w:cs="Arial" w:eastAsia="Arial" w:hAnsi="Arial"/>
          <w:b/>
          <w:bCs/>
          <w:color w:val="1E3A5F"/>
          <w:sz w:val="28"/>
          <w:szCs w:val="28"/>
        </w:rPr>
        <w:t xml:space="preserve">2.3  Extended Data Cleaning — Six Additional Domains</w:t>
      </w:r>
    </w:p>
    <w:p>
      <w:pPr>
        <w:spacing w:after="80" w:before="60"/>
      </w:pPr>
      <w:r>
        <w:rPr>
          <w:rFonts w:ascii="Arial" w:cs="Arial" w:eastAsia="Arial" w:hAnsi="Arial"/>
          <w:color w:val="4A4A4A"/>
          <w:sz w:val="22"/>
          <w:szCs w:val="22"/>
        </w:rPr>
        <w:t xml:space="preserve">Liberti's three steps clean the income statement and EV construction. These six additional domains clean the comparability problem — ensuring that differences between two companies reflect economic reality rather than accounting policy choices. Combined, they can account for 30–50% of apparent EPS differences between peers in the same industry.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60"/>
              <w:left w:type="dxa" w:w="200"/>
              <w:bottom w:type="dxa" w:w="160"/>
              <w:right w:type="dxa" w:w="200"/>
            </w:tcMar>
          </w:tcPr>
          <w:p>
            <w:pPr>
              <w:spacing w:after="60" w:before="0"/>
            </w:pPr>
            <w:r>
              <w:rPr>
                <w:rFonts w:ascii="Arial" w:cs="Arial" w:eastAsia="Arial" w:hAnsi="Arial"/>
                <w:b/>
                <w:bCs/>
                <w:color w:val="D4851A"/>
                <w:sz w:val="20"/>
                <w:szCs w:val="20"/>
              </w:rPr>
              <w:t xml:space="preserve">The Comparability Problem</w:t>
            </w:r>
          </w:p>
          <w:p>
            <w:pPr>
              <w:spacing w:after="0" w:before="0"/>
            </w:pPr>
            <w:r>
              <w:rPr>
                <w:rFonts w:ascii="Arial" w:cs="Arial" w:eastAsia="Arial" w:hAnsi="Arial"/>
                <w:color w:val="4A4A4A"/>
                <w:sz w:val="20"/>
                <w:szCs w:val="20"/>
              </w:rPr>
              <w:t xml:space="preserve">The most common analytical error is not misreading a single company's numbers — it is comparing two companies whose numbers were constructed on different accounting foundations and concluding one is better run. These six domains close that gap.</w:t>
            </w:r>
          </w:p>
        </w:tc>
      </w:tr>
    </w:tbl>
    <w:p>
      <w:pPr>
        <w:spacing w:after="80" w:before="0"/>
      </w:pPr>
      <w:r>
        <w:t xml:space="preserve"/>
      </w:r>
    </w:p>
    <w:p>
      <w:pPr>
        <w:spacing w:after="80" w:before="200"/>
      </w:pPr>
      <w:r>
        <w:rPr>
          <w:rFonts w:ascii="Arial" w:cs="Arial" w:eastAsia="Arial" w:hAnsi="Arial"/>
          <w:b/>
          <w:bCs/>
          <w:color w:val="2E6DA4"/>
          <w:sz w:val="24"/>
          <w:szCs w:val="24"/>
        </w:rPr>
        <w:t xml:space="preserve">Domain 1 — Accounting Policy Harmonization</w:t>
      </w:r>
    </w:p>
    <w:p>
      <w:pPr>
        <w:spacing w:after="80" w:before="60"/>
      </w:pPr>
      <w:r>
        <w:rPr>
          <w:rFonts w:ascii="Arial" w:cs="Arial" w:eastAsia="Arial" w:hAnsi="Arial"/>
          <w:color w:val="4A4A4A"/>
          <w:sz w:val="22"/>
          <w:szCs w:val="22"/>
        </w:rPr>
        <w:t xml:space="preserve">Two companies in identical businesses can report materially different margins, asset values, and earnings purely because they follow different accounting rules. The most significant differences to normalize before any cross-company comparison:</w:t>
      </w:r>
    </w:p>
    <w:p>
      <w:pPr>
        <w:pStyle w:val="ListParagraph"/>
        <w:numPr>
          <w:ilvl w:val="0"/>
          <w:numId w:val="2"/>
        </w:numPr>
        <w:spacing w:after="40" w:before="40"/>
      </w:pPr>
      <w:r>
        <w:rPr>
          <w:rFonts w:ascii="Arial" w:cs="Arial" w:eastAsia="Arial" w:hAnsi="Arial"/>
          <w:color w:val="4A4A4A"/>
          <w:sz w:val="22"/>
          <w:szCs w:val="22"/>
        </w:rPr>
        <w:t xml:space="preserve">Inventory valuation: LIFO vs FIFO — during inflation, LIFO produces lower profits and lower inventory values than FIFO, creating distortions of up to 15–20% of gross margin in commodity businesses. Adjust all companies to FIFO before margin comparison</w:t>
      </w:r>
    </w:p>
    <w:p>
      <w:pPr>
        <w:pStyle w:val="ListParagraph"/>
        <w:numPr>
          <w:ilvl w:val="0"/>
          <w:numId w:val="2"/>
        </w:numPr>
        <w:spacing w:after="40" w:before="40"/>
      </w:pPr>
      <w:r>
        <w:rPr>
          <w:rFonts w:ascii="Arial" w:cs="Arial" w:eastAsia="Arial" w:hAnsi="Arial"/>
          <w:color w:val="4A4A4A"/>
          <w:sz w:val="22"/>
          <w:szCs w:val="22"/>
        </w:rPr>
        <w:t xml:space="preserve">R&amp;D capitalization: IFRS permits capitalizing development phase costs; GAAP generally expenses them — creating an artificial profitability premium for IFRS reporters vs GAAP peers in tech and pharma. Add back capitalized development costs to expenses for IFRS companies when comparing to GAAP peers</w:t>
      </w:r>
    </w:p>
    <w:p>
      <w:pPr>
        <w:pStyle w:val="ListParagraph"/>
        <w:numPr>
          <w:ilvl w:val="0"/>
          <w:numId w:val="2"/>
        </w:numPr>
        <w:spacing w:after="40" w:before="40"/>
      </w:pPr>
      <w:r>
        <w:rPr>
          <w:rFonts w:ascii="Arial" w:cs="Arial" w:eastAsia="Arial" w:hAnsi="Arial"/>
          <w:color w:val="4A4A4A"/>
          <w:sz w:val="22"/>
          <w:szCs w:val="22"/>
        </w:rPr>
        <w:t xml:space="preserve">Goodwill treatment: verify whether amortization is being taken and add it back consistently. Liberti's slides flag this — but the cross-standard variation makes it a comparability issue beyond a single-company cleaning step</w:t>
      </w:r>
    </w:p>
    <w:p>
      <w:pPr>
        <w:pStyle w:val="ListParagraph"/>
        <w:numPr>
          <w:ilvl w:val="0"/>
          <w:numId w:val="2"/>
        </w:numPr>
        <w:spacing w:after="40" w:before="40"/>
      </w:pPr>
      <w:r>
        <w:rPr>
          <w:rFonts w:ascii="Arial" w:cs="Arial" w:eastAsia="Arial" w:hAnsi="Arial"/>
          <w:color w:val="4A4A4A"/>
          <w:sz w:val="22"/>
          <w:szCs w:val="22"/>
        </w:rPr>
        <w:t xml:space="preserve">Rule: before comparing any two companies' margins or returns, verify they follow the same policy on inventory method, R&amp;D treatment, and revenue recognition. If they do not, adjust one to the other's basis before applying any multiple</w:t>
      </w:r>
    </w:p>
    <w:p>
      <w:pPr>
        <w:spacing w:after="80" w:before="0"/>
      </w:pPr>
      <w:r>
        <w:t xml:space="preserve"/>
      </w:r>
    </w:p>
    <w:p>
      <w:pPr>
        <w:spacing w:after="80" w:before="200"/>
      </w:pPr>
      <w:r>
        <w:rPr>
          <w:rFonts w:ascii="Arial" w:cs="Arial" w:eastAsia="Arial" w:hAnsi="Arial"/>
          <w:b/>
          <w:bCs/>
          <w:color w:val="2E6DA4"/>
          <w:sz w:val="24"/>
          <w:szCs w:val="24"/>
        </w:rPr>
        <w:t xml:space="preserve">Domain 2 — Lease and Off-Balance-Sheet Normalization</w:t>
      </w:r>
    </w:p>
    <w:p>
      <w:pPr>
        <w:spacing w:after="80" w:before="60"/>
      </w:pPr>
      <w:r>
        <w:rPr>
          <w:rFonts w:ascii="Arial" w:cs="Arial" w:eastAsia="Arial" w:hAnsi="Arial"/>
          <w:color w:val="4A4A4A"/>
          <w:sz w:val="22"/>
          <w:szCs w:val="22"/>
        </w:rPr>
        <w:t xml:space="preserve">IFRS 16 and ASC 842 brought most operating leases onto balance sheets after 2019, but treatment still differs enough to create meaningful distortions — and pre-2019 comparisons are riddled with them.</w:t>
      </w:r>
    </w:p>
    <w:p>
      <w:pPr>
        <w:pStyle w:val="ListParagraph"/>
        <w:numPr>
          <w:ilvl w:val="0"/>
          <w:numId w:val="2"/>
        </w:numPr>
        <w:spacing w:after="40" w:before="40"/>
      </w:pPr>
      <w:r>
        <w:rPr>
          <w:rFonts w:ascii="Arial" w:cs="Arial" w:eastAsia="Arial" w:hAnsi="Arial"/>
          <w:color w:val="4A4A4A"/>
          <w:sz w:val="22"/>
          <w:szCs w:val="22"/>
        </w:rPr>
        <w:t xml:space="preserve">Capitalized leases inflate both assets and debt, depress EBITDA (payments move from operating expenses to depreciation + interest), and improve EBIT margins relative to a company that owns its assets outright — a retailer leasing all stores looks like a better EBIT performer than one that owns them, as an accounting artifact</w:t>
      </w:r>
    </w:p>
    <w:p>
      <w:pPr>
        <w:pStyle w:val="ListParagraph"/>
        <w:numPr>
          <w:ilvl w:val="0"/>
          <w:numId w:val="2"/>
        </w:numPr>
        <w:spacing w:after="40" w:before="40"/>
      </w:pPr>
      <w:r>
        <w:rPr>
          <w:rFonts w:ascii="Arial" w:cs="Arial" w:eastAsia="Arial" w:hAnsi="Arial"/>
          <w:color w:val="4A4A4A"/>
          <w:sz w:val="22"/>
          <w:szCs w:val="22"/>
        </w:rPr>
        <w:t xml:space="preserve">Normalization: add back operating lease payments to EBITDA to arrive at EBITDAR (earnings before rent). Add PV of operating lease commitments to net debt in the equity bridge</w:t>
      </w:r>
    </w:p>
    <w:p>
      <w:pPr>
        <w:pStyle w:val="ListParagraph"/>
        <w:numPr>
          <w:ilvl w:val="0"/>
          <w:numId w:val="2"/>
        </w:numPr>
        <w:spacing w:after="40" w:before="40"/>
      </w:pPr>
      <w:r>
        <w:rPr>
          <w:rFonts w:ascii="Arial" w:cs="Arial" w:eastAsia="Arial" w:hAnsi="Arial"/>
          <w:color w:val="4A4A4A"/>
          <w:sz w:val="22"/>
          <w:szCs w:val="22"/>
        </w:rPr>
        <w:t xml:space="preserve">Impact: for airlines, retailers, and restaurant chains — where leasing is the dominant capital structure — this adjustment can move the apparent EV/EBITDA multiple by 3–5x</w:t>
      </w:r>
    </w:p>
    <w:p>
      <w:pPr>
        <w:pStyle w:val="ListParagraph"/>
        <w:numPr>
          <w:ilvl w:val="0"/>
          <w:numId w:val="2"/>
        </w:numPr>
        <w:spacing w:after="40" w:before="40"/>
      </w:pPr>
      <w:r>
        <w:rPr>
          <w:rFonts w:ascii="Arial" w:cs="Arial" w:eastAsia="Arial" w:hAnsi="Arial"/>
          <w:color w:val="4A4A4A"/>
          <w:sz w:val="22"/>
          <w:szCs w:val="22"/>
        </w:rPr>
        <w:t xml:space="preserve">Check for residual off-balance-sheet items: take-or-pay contracts, synthetic leases, sale-leaseback arrangements, and special purpose entities — these are the post-2019 equivalents of pre-IFRS 16 operating lease abuse</w:t>
      </w:r>
    </w:p>
    <w:p>
      <w:pPr>
        <w:spacing w:after="80" w:before="0"/>
      </w:pPr>
      <w:r>
        <w:t xml:space="preserve"/>
      </w:r>
    </w:p>
    <w:p>
      <w:pPr>
        <w:spacing w:after="80" w:before="200"/>
      </w:pPr>
      <w:r>
        <w:rPr>
          <w:rFonts w:ascii="Arial" w:cs="Arial" w:eastAsia="Arial" w:hAnsi="Arial"/>
          <w:b/>
          <w:bCs/>
          <w:color w:val="2E6DA4"/>
          <w:sz w:val="24"/>
          <w:szCs w:val="24"/>
        </w:rPr>
        <w:t xml:space="preserve">Domain 3 — Pension and Post-Retirement Obligation Cleaning</w:t>
      </w:r>
    </w:p>
    <w:p>
      <w:pPr>
        <w:spacing w:after="80" w:before="60"/>
      </w:pPr>
      <w:r>
        <w:rPr>
          <w:rFonts w:ascii="Arial" w:cs="Arial" w:eastAsia="Arial" w:hAnsi="Arial"/>
          <w:color w:val="4A4A4A"/>
          <w:sz w:val="22"/>
          <w:szCs w:val="22"/>
        </w:rPr>
        <w:t xml:space="preserve">Pension deficits are debt by another name — but they sit off the income statement and off the focused attention of most analysts.</w:t>
      </w:r>
    </w:p>
    <w:p>
      <w:pPr>
        <w:pStyle w:val="ListParagraph"/>
        <w:numPr>
          <w:ilvl w:val="0"/>
          <w:numId w:val="2"/>
        </w:numPr>
        <w:spacing w:after="40" w:before="40"/>
      </w:pPr>
      <w:r>
        <w:rPr>
          <w:rFonts w:ascii="Arial" w:cs="Arial" w:eastAsia="Arial" w:hAnsi="Arial"/>
          <w:color w:val="4A4A4A"/>
          <w:sz w:val="22"/>
          <w:szCs w:val="22"/>
        </w:rPr>
        <w:t xml:space="preserve">Equity bridge: the pension deficit (unfunded status from balance sheet) belongs as a debt-like deduction — exactly like financial debt. For industrials, utilities, and legacy manufacturing this can represent 20–40% of market cap</w:t>
      </w:r>
    </w:p>
    <w:p>
      <w:pPr>
        <w:pStyle w:val="ListParagraph"/>
        <w:numPr>
          <w:ilvl w:val="0"/>
          <w:numId w:val="2"/>
        </w:numPr>
        <w:spacing w:after="40" w:before="40"/>
      </w:pPr>
      <w:r>
        <w:rPr>
          <w:rFonts w:ascii="Arial" w:cs="Arial" w:eastAsia="Arial" w:hAnsi="Arial"/>
          <w:color w:val="4A4A4A"/>
          <w:sz w:val="22"/>
          <w:szCs w:val="22"/>
        </w:rPr>
        <w:t xml:space="preserve">Income statement: reported pension expense blends service cost (a real operating cost — belongs in EBIT) with expected return on plan assets and interest cost (financial items — should sit below EBIT). Separate and reclassify before comparing EBIT margins across companies with different pension structures</w:t>
      </w:r>
    </w:p>
    <w:p>
      <w:pPr>
        <w:pStyle w:val="ListParagraph"/>
        <w:numPr>
          <w:ilvl w:val="0"/>
          <w:numId w:val="2"/>
        </w:numPr>
        <w:spacing w:after="40" w:before="40"/>
      </w:pPr>
      <w:r>
        <w:rPr>
          <w:rFonts w:ascii="Arial" w:cs="Arial" w:eastAsia="Arial" w:hAnsi="Arial"/>
          <w:color w:val="4A4A4A"/>
          <w:sz w:val="22"/>
          <w:szCs w:val="22"/>
        </w:rPr>
        <w:t xml:space="preserve">Discount rate normalization: companies that use higher discount rates report smaller pension liabilities. Restate all pension liabilities to a common discount rate (current investment-grade corporate bond yield) for cross-company comparability</w:t>
      </w:r>
    </w:p>
    <w:p>
      <w:pPr>
        <w:spacing w:after="80" w:before="0"/>
      </w:pPr>
      <w:r>
        <w:t xml:space="preserve"/>
      </w:r>
    </w:p>
    <w:p>
      <w:pPr>
        <w:spacing w:after="80" w:before="200"/>
      </w:pPr>
      <w:r>
        <w:rPr>
          <w:rFonts w:ascii="Arial" w:cs="Arial" w:eastAsia="Arial" w:hAnsi="Arial"/>
          <w:b/>
          <w:bCs/>
          <w:color w:val="2E6DA4"/>
          <w:sz w:val="24"/>
          <w:szCs w:val="24"/>
        </w:rPr>
        <w:t xml:space="preserve">Domain 4 — Stock-Based Compensation and Dilution</w:t>
      </w:r>
    </w:p>
    <w:p>
      <w:pPr>
        <w:spacing w:after="80" w:before="60"/>
      </w:pPr>
      <w:r>
        <w:rPr>
          <w:rFonts w:ascii="Arial" w:cs="Arial" w:eastAsia="Arial" w:hAnsi="Arial"/>
          <w:color w:val="4A4A4A"/>
          <w:sz w:val="22"/>
          <w:szCs w:val="22"/>
        </w:rPr>
        <w:t xml:space="preserve">SBC is a real economic cost — it compensates employees by diluting existing shareholders — but GAAP allows exclusion from 'adjusted' earnings metrics. The result is that adjusted EPS for high-SBC tech companies systematically overstates economic earnings.</w:t>
      </w:r>
    </w:p>
    <w:p>
      <w:pPr>
        <w:pStyle w:val="ListParagraph"/>
        <w:numPr>
          <w:ilvl w:val="0"/>
          <w:numId w:val="2"/>
        </w:numPr>
        <w:spacing w:after="40" w:before="40"/>
      </w:pPr>
      <w:r>
        <w:rPr>
          <w:rFonts w:ascii="Arial" w:cs="Arial" w:eastAsia="Arial" w:hAnsi="Arial"/>
          <w:color w:val="4A4A4A"/>
          <w:sz w:val="22"/>
          <w:szCs w:val="22"/>
        </w:rPr>
        <w:t xml:space="preserve">GAAP floor rule: always use GAAP earnings as the floor for profitability assessment. Any adjusted metric excluding SBC must be treated with explicit skepticism. A company reporting 20% adjusted EBIT margins but running 8% of revenue in SBC has a true EBIT margin closer to 12%</w:t>
      </w:r>
    </w:p>
    <w:p>
      <w:pPr>
        <w:pStyle w:val="ListParagraph"/>
        <w:numPr>
          <w:ilvl w:val="0"/>
          <w:numId w:val="2"/>
        </w:numPr>
        <w:spacing w:after="40" w:before="40"/>
      </w:pPr>
      <w:r>
        <w:rPr>
          <w:rFonts w:ascii="Arial" w:cs="Arial" w:eastAsia="Arial" w:hAnsi="Arial"/>
          <w:color w:val="4A4A4A"/>
          <w:sz w:val="22"/>
          <w:szCs w:val="22"/>
        </w:rPr>
        <w:t xml:space="preserve">Threshold: SBC above 5% of FCF requires flagging. SBC above 10% of FCF is quiet but systematic dilution — treat as a recurring operating cost in all DCF scenarios</w:t>
      </w:r>
    </w:p>
    <w:p>
      <w:pPr>
        <w:pStyle w:val="ListParagraph"/>
        <w:numPr>
          <w:ilvl w:val="0"/>
          <w:numId w:val="2"/>
        </w:numPr>
        <w:spacing w:after="40" w:before="40"/>
      </w:pPr>
      <w:r>
        <w:rPr>
          <w:rFonts w:ascii="Arial" w:cs="Arial" w:eastAsia="Arial" w:hAnsi="Arial"/>
          <w:color w:val="4A4A4A"/>
          <w:sz w:val="22"/>
          <w:szCs w:val="22"/>
        </w:rPr>
        <w:t xml:space="preserve">Dilution: fully diluted share count must include all in-the-money options, RSUs, warrants, and convertible instruments. Verify the denominator in every per-share metric — basic vs diluted can diverge materially in high-SBC businesses</w:t>
      </w:r>
    </w:p>
    <w:p>
      <w:pPr>
        <w:pStyle w:val="ListParagraph"/>
        <w:numPr>
          <w:ilvl w:val="0"/>
          <w:numId w:val="2"/>
        </w:numPr>
        <w:spacing w:after="40" w:before="40"/>
      </w:pPr>
      <w:r>
        <w:rPr>
          <w:rFonts w:ascii="Arial" w:cs="Arial" w:eastAsia="Arial" w:hAnsi="Arial"/>
          <w:color w:val="4A4A4A"/>
          <w:sz w:val="22"/>
          <w:szCs w:val="22"/>
        </w:rPr>
        <w:t xml:space="preserve">Buyback quality check: if a company is simultaneously issuing SBC and buying back shares, calculate the net dilution. Buybacks that merely offset SBC are not returning capital — they are running a treadmill</w:t>
      </w:r>
    </w:p>
    <w:p>
      <w:pPr>
        <w:spacing w:after="80" w:before="0"/>
      </w:pPr>
      <w:r>
        <w:t xml:space="preserve"/>
      </w:r>
    </w:p>
    <w:p>
      <w:pPr>
        <w:spacing w:after="80" w:before="200"/>
      </w:pPr>
      <w:r>
        <w:rPr>
          <w:rFonts w:ascii="Arial" w:cs="Arial" w:eastAsia="Arial" w:hAnsi="Arial"/>
          <w:b/>
          <w:bCs/>
          <w:color w:val="2E6DA4"/>
          <w:sz w:val="24"/>
          <w:szCs w:val="24"/>
        </w:rPr>
        <w:t xml:space="preserve">Domain 5 — Revenue Recognition and Timing</w:t>
      </w:r>
    </w:p>
    <w:p>
      <w:pPr>
        <w:spacing w:after="80" w:before="60"/>
      </w:pPr>
      <w:r>
        <w:rPr>
          <w:rFonts w:ascii="Arial" w:cs="Arial" w:eastAsia="Arial" w:hAnsi="Arial"/>
          <w:color w:val="4A4A4A"/>
          <w:sz w:val="22"/>
          <w:szCs w:val="22"/>
        </w:rPr>
        <w:t xml:space="preserve">ASC 606 and IFRS 15 standardized recognition after 2018, but implementation choices still create comparability problems — and some behaviors that distort revenue timing persist regardless of standard.</w:t>
      </w:r>
    </w:p>
    <w:p>
      <w:pPr>
        <w:pStyle w:val="ListParagraph"/>
        <w:numPr>
          <w:ilvl w:val="0"/>
          <w:numId w:val="2"/>
        </w:numPr>
        <w:spacing w:after="40" w:before="40"/>
      </w:pPr>
      <w:r>
        <w:rPr>
          <w:rFonts w:ascii="Arial" w:cs="Arial" w:eastAsia="Arial" w:hAnsi="Arial"/>
          <w:color w:val="4A4A4A"/>
          <w:sz w:val="22"/>
          <w:szCs w:val="22"/>
        </w:rPr>
        <w:t xml:space="preserve">Channel stuffing detection: compare revenue growth to inventory build at distributor level and to accounts receivable growth. Persistent AR growth exceeding revenue growth is a red flag for premature recognition</w:t>
      </w:r>
    </w:p>
    <w:p>
      <w:pPr>
        <w:pStyle w:val="ListParagraph"/>
        <w:numPr>
          <w:ilvl w:val="0"/>
          <w:numId w:val="2"/>
        </w:numPr>
        <w:spacing w:after="40" w:before="40"/>
      </w:pPr>
      <w:r>
        <w:rPr>
          <w:rFonts w:ascii="Arial" w:cs="Arial" w:eastAsia="Arial" w:hAnsi="Arial"/>
          <w:color w:val="4A4A4A"/>
          <w:sz w:val="22"/>
          <w:szCs w:val="22"/>
        </w:rPr>
        <w:t xml:space="preserve">Bill-and-hold and percentage-of-completion: legitimate but discretionary — management controls the pace of recognition. Normalize by comparing to cash collection trends</w:t>
      </w:r>
    </w:p>
    <w:p>
      <w:pPr>
        <w:pStyle w:val="ListParagraph"/>
        <w:numPr>
          <w:ilvl w:val="0"/>
          <w:numId w:val="2"/>
        </w:numPr>
        <w:spacing w:after="40" w:before="40"/>
      </w:pPr>
      <w:r>
        <w:rPr>
          <w:rFonts w:ascii="Arial" w:cs="Arial" w:eastAsia="Arial" w:hAnsi="Arial"/>
          <w:color w:val="4A4A4A"/>
          <w:sz w:val="22"/>
          <w:szCs w:val="22"/>
        </w:rPr>
        <w:t xml:space="preserve">Deferred revenue signal: SaaS and subscription companies that front-load cash but recognize revenue ratably — the deferred revenue balance is real backlog and belongs in a comprehensive valuation but must not be confused with current-period economic activity</w:t>
      </w:r>
    </w:p>
    <w:p>
      <w:pPr>
        <w:pStyle w:val="ListParagraph"/>
        <w:numPr>
          <w:ilvl w:val="0"/>
          <w:numId w:val="2"/>
        </w:numPr>
        <w:spacing w:after="40" w:before="40"/>
      </w:pPr>
      <w:r>
        <w:rPr>
          <w:rFonts w:ascii="Arial" w:cs="Arial" w:eastAsia="Arial" w:hAnsi="Arial"/>
          <w:color w:val="4A4A4A"/>
          <w:sz w:val="22"/>
          <w:szCs w:val="22"/>
        </w:rPr>
        <w:t xml:space="preserve">Diagnostic rule: compare revenue growth to operating cash flow growth before working capital changes. Persistent divergence — revenue growing faster than cash — is the clearest signal of aggressive recognition</w:t>
      </w:r>
    </w:p>
    <w:p>
      <w:pPr>
        <w:spacing w:after="80" w:before="0"/>
      </w:pPr>
      <w:r>
        <w:t xml:space="preserve"/>
      </w:r>
    </w:p>
    <w:p>
      <w:pPr>
        <w:spacing w:after="80" w:before="200"/>
      </w:pPr>
      <w:r>
        <w:rPr>
          <w:rFonts w:ascii="Arial" w:cs="Arial" w:eastAsia="Arial" w:hAnsi="Arial"/>
          <w:b/>
          <w:bCs/>
          <w:color w:val="2E6DA4"/>
          <w:sz w:val="24"/>
          <w:szCs w:val="24"/>
        </w:rPr>
        <w:t xml:space="preserve">Domain 6 — Working Capital and Cash Flow Normalization</w:t>
      </w:r>
    </w:p>
    <w:p>
      <w:pPr>
        <w:spacing w:after="80" w:before="60"/>
      </w:pPr>
      <w:r>
        <w:rPr>
          <w:rFonts w:ascii="Arial" w:cs="Arial" w:eastAsia="Arial" w:hAnsi="Arial"/>
          <w:color w:val="4A4A4A"/>
          <w:sz w:val="22"/>
          <w:szCs w:val="22"/>
        </w:rPr>
        <w:t xml:space="preserve">This is the bridge between accrual accounting and economic reality. A company can report strong earnings while generating no cash — or report weak earnings while generating excellent cash — purely due to working capital movements.</w:t>
      </w:r>
    </w:p>
    <w:p>
      <w:pPr>
        <w:pStyle w:val="ListParagraph"/>
        <w:numPr>
          <w:ilvl w:val="0"/>
          <w:numId w:val="2"/>
        </w:numPr>
        <w:spacing w:after="40" w:before="40"/>
      </w:pPr>
      <w:r>
        <w:rPr>
          <w:rFonts w:ascii="Arial" w:cs="Arial" w:eastAsia="Arial" w:hAnsi="Arial"/>
          <w:color w:val="4A4A4A"/>
          <w:sz w:val="22"/>
          <w:szCs w:val="22"/>
        </w:rPr>
        <w:t xml:space="preserve">Structural vs cyclical separation: isolate the working capital level required to run the business at steady state (structural) from inventory pre-builds, receivables spikes from new customers, and seasonal swings (cyclical). Only structural working capital belongs in the DCF as a permanent capital requirement</w:t>
      </w:r>
    </w:p>
    <w:p>
      <w:pPr>
        <w:pStyle w:val="ListParagraph"/>
        <w:numPr>
          <w:ilvl w:val="0"/>
          <w:numId w:val="2"/>
        </w:numPr>
        <w:spacing w:after="40" w:before="40"/>
      </w:pPr>
      <w:r>
        <w:rPr>
          <w:rFonts w:ascii="Arial" w:cs="Arial" w:eastAsia="Arial" w:hAnsi="Arial"/>
          <w:color w:val="4A4A4A"/>
          <w:sz w:val="22"/>
          <w:szCs w:val="22"/>
        </w:rPr>
        <w:t xml:space="preserve">Capex split discipline: separate maintenance capex (recurring cost reducing true FCF) from growth capex (a forward investment tied to the revenue and margin forecast it funds). Companies that bundle both into a single capex line make it impossible to assess true earnings power — require segment-level disclosure or estimate from asset age and depreciation trends</w:t>
      </w:r>
    </w:p>
    <w:p>
      <w:pPr>
        <w:pStyle w:val="ListParagraph"/>
        <w:numPr>
          <w:ilvl w:val="0"/>
          <w:numId w:val="2"/>
        </w:numPr>
        <w:spacing w:after="40" w:before="40"/>
      </w:pPr>
      <w:r>
        <w:rPr>
          <w:rFonts w:ascii="Arial" w:cs="Arial" w:eastAsia="Arial" w:hAnsi="Arial"/>
          <w:color w:val="4A4A4A"/>
          <w:sz w:val="22"/>
          <w:szCs w:val="22"/>
        </w:rPr>
        <w:t xml:space="preserve">Seasonality normalization: for retailers, consumer goods, and industrials with significant seasonality, always use trailing-twelve-month working capital figures rather than single quarter-end snapshots, which can be managed to look favorable</w:t>
      </w:r>
    </w:p>
    <w:p>
      <w:pPr>
        <w:pStyle w:val="ListParagraph"/>
        <w:numPr>
          <w:ilvl w:val="0"/>
          <w:numId w:val="2"/>
        </w:numPr>
        <w:spacing w:after="40" w:before="40"/>
      </w:pPr>
      <w:r>
        <w:rPr>
          <w:rFonts w:ascii="Arial" w:cs="Arial" w:eastAsia="Arial" w:hAnsi="Arial"/>
          <w:color w:val="4A4A4A"/>
          <w:sz w:val="22"/>
          <w:szCs w:val="22"/>
        </w:rPr>
        <w:t xml:space="preserve">FCF quality score: compare reported FCF to NOPAT. Persistent FCF &gt; NOPAT suggests working capital release (potentially unsustainable). Persistent FCF &lt; NOPAT suggests working capital build or capex intensity — both require investigation before normalizing FCF for valuation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EE" w:val="clear"/>
            <w:tcMar>
              <w:top w:type="dxa" w:w="160"/>
              <w:left w:type="dxa" w:w="200"/>
              <w:bottom w:type="dxa" w:w="160"/>
              <w:right w:type="dxa" w:w="200"/>
            </w:tcMar>
          </w:tcPr>
          <w:p>
            <w:pPr>
              <w:spacing w:after="60" w:before="0"/>
            </w:pPr>
            <w:r>
              <w:rPr>
                <w:rFonts w:ascii="Arial" w:cs="Arial" w:eastAsia="Arial" w:hAnsi="Arial"/>
                <w:b/>
                <w:bCs/>
                <w:color w:val="1A6B5A"/>
                <w:sz w:val="20"/>
                <w:szCs w:val="20"/>
              </w:rPr>
              <w:t xml:space="preserve">Full 9-Domain Cleaning Standard</w:t>
            </w:r>
          </w:p>
          <w:p>
            <w:pPr>
              <w:spacing w:after="0" w:before="0"/>
            </w:pPr>
            <w:r>
              <w:rPr>
                <w:rFonts w:ascii="Arial" w:cs="Arial" w:eastAsia="Arial" w:hAnsi="Arial"/>
                <w:color w:val="4A4A4A"/>
                <w:sz w:val="20"/>
                <w:szCs w:val="20"/>
              </w:rPr>
              <w:t xml:space="preserve">Liberti (1-3): Non-recurring stripping · JVA separation · EBIT normalization. Extended (4-9): Accounting policy harmonization · Lease normalization · Pension cleaning · SBC/dilution adjustment · Revenue recognition · Working capital normalization. All 9 domains must be cleared before any multiple is applied or cross-company comparison is made.</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SECTION 3  ·  THE VALUATION ENGINE — MULTIPLES &amp; DCF INTEGRATION</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3.1  What Drives a Multiple — The Liberti Formula</w:t>
      </w:r>
    </w:p>
    <w:p>
      <w:pPr>
        <w:spacing w:after="80" w:before="60"/>
      </w:pPr>
      <w:r>
        <w:rPr>
          <w:rFonts w:ascii="Arial" w:cs="Arial" w:eastAsia="Arial" w:hAnsi="Arial"/>
          <w:color w:val="4A4A4A"/>
          <w:sz w:val="22"/>
          <w:szCs w:val="22"/>
        </w:rPr>
        <w:t xml:space="preserve">Every multiple is mathematically derivable from three fundamental drivers: cash conversion, risk (WACC), and value-added growth (ROIC &gt; WACC). This formula is the analytical engine behind multiple justification.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8"/>
              <w:bottom w:val="single" w:color="2E6DA4" w:sz="2"/>
              <w:right w:val="none" w:color="FFFFFF" w:sz="0"/>
            </w:tcBorders>
            <w:shd w:fill="EEF4FB" w:val="clear"/>
            <w:tcMar>
              <w:top w:type="dxa" w:w="120"/>
              <w:left w:type="dxa" w:w="200"/>
              <w:bottom w:type="dxa" w:w="120"/>
              <w:right w:type="dxa" w:w="200"/>
            </w:tcMar>
          </w:tcPr>
          <w:p>
            <w:pPr>
              <w:jc w:val="center"/>
            </w:pPr>
            <w:r>
              <w:rPr>
                <w:rFonts w:ascii="Courier New" w:cs="Courier New" w:eastAsia="Courier New" w:hAnsi="Courier New"/>
                <w:b/>
                <w:bCs/>
                <w:color w:val="1E3A5F"/>
                <w:sz w:val="22"/>
                <w:szCs w:val="22"/>
              </w:rPr>
              <w:t xml:space="preserve">EV/EBITDA  =  [ NOPATn × (1 - g/ROIC) / EBITDA ]  ÷  (WACC - 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Driver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Measures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Multiple Impact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Cash Conversion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Ability to translate EBITDA into FCFF. Function of reinvestment requirements (g/ROIC)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Better cash conversion → higher numerator → higher multiple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Risk (WACC)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Compensation for financial leverage, operating cyclicality, inflation, equity market risk premium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Higher WACC → lower denominator → lower multiple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Value-Added Growth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Growth that generates return in excess of cost of capital (ROIC &gt; WACC). Gordon Growth: g = Reinvestment × ROIC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ROIC &gt; WACC + positive g → materially higher multiple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EE" w:val="clear"/>
            <w:tcMar>
              <w:top w:type="dxa" w:w="160"/>
              <w:left w:type="dxa" w:w="200"/>
              <w:bottom w:type="dxa" w:w="160"/>
              <w:right w:type="dxa" w:w="200"/>
            </w:tcMar>
          </w:tcPr>
          <w:p>
            <w:pPr>
              <w:spacing w:after="60" w:before="0"/>
            </w:pPr>
            <w:r>
              <w:rPr>
                <w:rFonts w:ascii="Arial" w:cs="Arial" w:eastAsia="Arial" w:hAnsi="Arial"/>
                <w:b/>
                <w:bCs/>
                <w:color w:val="1A6B5A"/>
                <w:sz w:val="20"/>
                <w:szCs w:val="20"/>
              </w:rPr>
              <w:t xml:space="preserve">★ Practical Example — Multiple Justification</w:t>
            </w:r>
          </w:p>
          <w:p>
            <w:pPr>
              <w:spacing w:after="0" w:before="0"/>
            </w:pPr>
            <w:r>
              <w:rPr>
                <w:rFonts w:ascii="Arial" w:cs="Arial" w:eastAsia="Arial" w:hAnsi="Arial"/>
                <w:color w:val="4A4A4A"/>
                <w:sz w:val="20"/>
                <w:szCs w:val="20"/>
              </w:rPr>
              <w:t xml:space="preserve">Company A: ROIC=8%, WACC=8%, g=3% → EV/EBITDA = 9.9x (zero ROIC-WACC spread)
Company B: ROIC=9%, WACC=8%, g=3.5% → EV/EBITDA = 12.8x (positive 1% spread + higher growth)
Conclusion: A 3x multiple premium is mathematically explained by a 1% ROIC-WACC spread and 50bps extra growth — not narrative.</w:t>
            </w:r>
          </w:p>
        </w:tc>
      </w:tr>
    </w:tbl>
    <w:p>
      <w:pPr>
        <w:spacing w:after="80" w:before="0"/>
      </w:pPr>
      <w:r>
        <w:t xml:space="preserve"/>
      </w:r>
    </w:p>
    <w:p>
      <w:pPr>
        <w:spacing w:after="80" w:before="200"/>
      </w:pPr>
      <w:r>
        <w:rPr>
          <w:rFonts w:ascii="Arial" w:cs="Arial" w:eastAsia="Arial" w:hAnsi="Arial"/>
          <w:b/>
          <w:bCs/>
          <w:color w:val="2E6DA4"/>
          <w:sz w:val="24"/>
          <w:szCs w:val="24"/>
        </w:rPr>
        <w:t xml:space="preserve">★ P/Sales Multiple — The Margin Driver Formula (SFM)</w:t>
      </w:r>
    </w:p>
    <w:p>
      <w:pPr>
        <w:spacing w:after="60" w:before="80"/>
      </w:pPr>
      <w:r>
        <w:rPr>
          <w:rFonts w:ascii="Arial" w:cs="Arial" w:eastAsia="Arial" w:hAnsi="Arial"/>
          <w:b/>
          <w:bCs/>
          <w:color w:val="D4851A"/>
          <w:sz w:val="20"/>
          <w:szCs w:val="20"/>
        </w:rPr>
        <w:t xml:space="preserve">★ NEW: </w:t>
      </w:r>
      <w:r>
        <w:rPr>
          <w:rFonts w:ascii="Arial" w:cs="Arial" w:eastAsia="Arial" w:hAnsi="Arial"/>
          <w:i/>
          <w:iCs/>
          <w:color w:val="4A4A4A"/>
          <w:sz w:val="20"/>
          <w:szCs w:val="20"/>
        </w:rPr>
        <w:t xml:space="preserve">Integrated from SFM: P/Sales is meaningless without margin context — this formula reveals why.</w:t>
      </w:r>
    </w:p>
    <w:p>
      <w:pPr>
        <w:spacing w:after="80" w:before="60"/>
      </w:pPr>
      <w:r>
        <w:rPr>
          <w:rFonts w:ascii="Arial" w:cs="Arial" w:eastAsia="Arial" w:hAnsi="Arial"/>
          <w:color w:val="4A4A4A"/>
          <w:sz w:val="22"/>
          <w:szCs w:val="22"/>
        </w:rPr>
        <w:t xml:space="preserve">The Price/Sales multiple is the most commonly misused ratio in high-growth investing. Applied naively, it ignores the fundamental driver: profit margin. The correct formula shows that P/Sales is entirely a function of growth, risk, reinvestment, and margin: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8"/>
              <w:bottom w:val="single" w:color="2E6DA4" w:sz="2"/>
              <w:right w:val="none" w:color="FFFFFF" w:sz="0"/>
            </w:tcBorders>
            <w:shd w:fill="EEF4FB" w:val="clear"/>
            <w:tcMar>
              <w:top w:type="dxa" w:w="120"/>
              <w:left w:type="dxa" w:w="200"/>
              <w:bottom w:type="dxa" w:w="120"/>
              <w:right w:type="dxa" w:w="200"/>
            </w:tcMar>
          </w:tcPr>
          <w:p>
            <w:pPr>
              <w:jc w:val="center"/>
            </w:pPr>
            <w:r>
              <w:rPr>
                <w:rFonts w:ascii="Courier New" w:cs="Courier New" w:eastAsia="Courier New" w:hAnsi="Courier New"/>
                <w:b/>
                <w:bCs/>
                <w:color w:val="1E3A5F"/>
                <w:sz w:val="22"/>
                <w:szCs w:val="22"/>
              </w:rPr>
              <w:t xml:space="preserve">P/Sales  =  [(1 + g) / (r − g)]  ×  (1 − reinvestment rate)  ×  Profit margin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60"/>
              <w:left w:type="dxa" w:w="200"/>
              <w:bottom w:type="dxa" w:w="160"/>
              <w:right w:type="dxa" w:w="200"/>
            </w:tcMar>
          </w:tcPr>
          <w:p>
            <w:pPr>
              <w:spacing w:after="60" w:before="0"/>
            </w:pPr>
            <w:r>
              <w:rPr>
                <w:rFonts w:ascii="Arial" w:cs="Arial" w:eastAsia="Arial" w:hAnsi="Arial"/>
                <w:b/>
                <w:bCs/>
                <w:color w:val="D4851A"/>
                <w:sz w:val="20"/>
                <w:szCs w:val="20"/>
              </w:rPr>
              <w:t xml:space="preserve">Why This Matters — The Margin Trap</w:t>
            </w:r>
          </w:p>
          <w:p>
            <w:pPr>
              <w:spacing w:after="0" w:before="0"/>
            </w:pPr>
            <w:r>
              <w:rPr>
                <w:rFonts w:ascii="Arial" w:cs="Arial" w:eastAsia="Arial" w:hAnsi="Arial"/>
                <w:color w:val="4A4A4A"/>
                <w:sz w:val="20"/>
                <w:szCs w:val="20"/>
              </w:rPr>
              <w:t xml:space="preserve">Two companies with identical P/Sales multiples of 5x: Company A has a 20% net margin → implied P/E of 25x (reasonable for a grower). Company B has a 2% net margin → implied P/E of 250x (requires heroic margin improvement to justify). Comparing P/Sales across companies with different margins is not a valuation — it is a coincidence. Always decompose P/Sales into its margin component before drawing any conclusion.</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3.2  ★ Multiple Selection Matrix</w:t>
      </w:r>
    </w:p>
    <w:p>
      <w:pPr>
        <w:spacing w:after="60" w:before="80"/>
      </w:pPr>
      <w:r>
        <w:rPr>
          <w:rFonts w:ascii="Arial" w:cs="Arial" w:eastAsia="Arial" w:hAnsi="Arial"/>
          <w:b/>
          <w:bCs/>
          <w:color w:val="D4851A"/>
          <w:sz w:val="20"/>
          <w:szCs w:val="20"/>
        </w:rPr>
        <w:t xml:space="preserve">★ NEW: </w:t>
      </w:r>
      <w:r>
        <w:rPr>
          <w:rFonts w:ascii="Arial" w:cs="Arial" w:eastAsia="Arial" w:hAnsi="Arial"/>
          <w:i/>
          <w:iCs/>
          <w:color w:val="4A4A4A"/>
          <w:sz w:val="20"/>
          <w:szCs w:val="20"/>
        </w:rPr>
        <w:t xml:space="preserve">New: systematic multiple selection by company type — not one-size-fits-all.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Company Type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Preferred Multiple(s)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 When to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Mature profitable operator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EV/EBITDA, EV/EBIT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Stable capex, comparable depreciation; most popular EV multiple for comps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Capital-light compounder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EV/FCF, EV/NOPAT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FCF margin is the real value driver; avoids capex distortion in EBITDA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High-growth / unprofitable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EV/Sales, PEG ratio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 earnings to discount; sales stable across accounting policies; PEG stable at high growth rates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Asset-intensive / industrial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EV/EBIT, EV/Invested Capital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Depreciation matters; link to ROIC makes EV/IC powerful alongside ROIC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Financial / insurance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Price/Book, 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Asset-driven value; ROE is the primary return metric; leverage is structural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Early-stage / sector-specific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EV/Capacity, EV/Subscriber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Unit economics are the valuation anchor when financials are pre-profitability</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3.3  ★ Equity Bridge Construction — Rigorous Standard</w:t>
      </w:r>
    </w:p>
    <w:p>
      <w:pPr>
        <w:spacing w:after="60" w:before="80"/>
      </w:pPr>
      <w:r>
        <w:rPr>
          <w:rFonts w:ascii="Arial" w:cs="Arial" w:eastAsia="Arial" w:hAnsi="Arial"/>
          <w:b/>
          <w:bCs/>
          <w:color w:val="D4851A"/>
          <w:sz w:val="20"/>
          <w:szCs w:val="20"/>
        </w:rPr>
        <w:t xml:space="preserve">★ NEW: </w:t>
      </w:r>
      <w:r>
        <w:rPr>
          <w:rFonts w:ascii="Arial" w:cs="Arial" w:eastAsia="Arial" w:hAnsi="Arial"/>
          <w:i/>
          <w:iCs/>
          <w:color w:val="4A4A4A"/>
          <w:sz w:val="20"/>
          <w:szCs w:val="20"/>
        </w:rPr>
        <w:t xml:space="preserve">New: equity bridge discipline from Liberti (2025) — moves equity value by 10-25% when done properly.</w:t>
      </w:r>
    </w:p>
    <w:p>
      <w:pPr>
        <w:spacing w:after="80" w:before="60"/>
      </w:pPr>
      <w:r>
        <w:rPr>
          <w:rFonts w:ascii="Arial" w:cs="Arial" w:eastAsia="Arial" w:hAnsi="Arial"/>
          <w:color w:val="4A4A4A"/>
          <w:sz w:val="22"/>
          <w:szCs w:val="22"/>
        </w:rPr>
        <w:t xml:space="preserve">Enterprise value is not equity value. The bridge from EV to equity value requires meticulous treatment of every non-equity claim and equity claim omitted from EV.</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Treatment &amp; 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Commercial paper / current debt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Deduct at face value — non-equity claims included in EV</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Long-term debt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Deduct at face value; flag if &gt;40% maturing in 12 months without refinancing plan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Minority interests (NCI)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Deduct book value; material NCIs may require separate DCF or multiple valuation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Cash &amp; equivalents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Add — but haircut for: (a) working capital requirement (~3% of revenue), (b) restricted cash, (c) overseas repatriation tax impact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Short &amp; long-term marketable securities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Add liquid securities; verify accessibility (Apple example: $216bn overseas, 35% repatriation tax → $75.6bn equity value reduction, ~$14/share)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Investments in JVAs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Add at separately derived value (PE multiple on JVA net income) — never fold into EV/EBITDA multiple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Non-recurring items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Deduct PV of non-recurring cash costs; add PV of non-recurring gains only if realized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Other non-core assets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Add at market or assessed value — these were excluded from clean EV/clean EBITDA multiple work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60"/>
              <w:left w:type="dxa" w:w="200"/>
              <w:bottom w:type="dxa" w:w="160"/>
              <w:right w:type="dxa" w:w="200"/>
            </w:tcMar>
          </w:tcPr>
          <w:p>
            <w:pPr>
              <w:spacing w:after="60" w:before="0"/>
            </w:pPr>
            <w:r>
              <w:rPr>
                <w:rFonts w:ascii="Arial" w:cs="Arial" w:eastAsia="Arial" w:hAnsi="Arial"/>
                <w:b/>
                <w:bCs/>
                <w:color w:val="D4851A"/>
                <w:sz w:val="20"/>
                <w:szCs w:val="20"/>
              </w:rPr>
              <w:t xml:space="preserve">Cash Haircut Discipline</w:t>
            </w:r>
          </w:p>
          <w:p>
            <w:pPr>
              <w:spacing w:after="0" w:before="0"/>
            </w:pPr>
            <w:r>
              <w:rPr>
                <w:rFonts w:ascii="Arial" w:cs="Arial" w:eastAsia="Arial" w:hAnsi="Arial"/>
                <w:color w:val="4A4A4A"/>
                <w:sz w:val="20"/>
                <w:szCs w:val="20"/>
              </w:rPr>
              <w:t xml:space="preserve">Raw cash balance is rarely 100% available to equity holders. Always apply:
1. Working capital requirement: ~3% of revenue (needed for day-to-day operations)
2. Restricted cash: contractually unavailable — strip out if included in cash line
3. Overseas repatriation tax: apply marginal tax rate to offshore cash balances
Only the adjusted, accessible cash belongs in the equity bridge.</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3.4  Base-Case DCF Design</w:t>
      </w:r>
    </w:p>
    <w:p>
      <w:pPr>
        <w:spacing w:after="80" w:before="200"/>
      </w:pPr>
      <w:r>
        <w:rPr>
          <w:rFonts w:ascii="Arial" w:cs="Arial" w:eastAsia="Arial" w:hAnsi="Arial"/>
          <w:b/>
          <w:bCs/>
          <w:color w:val="2E6DA4"/>
          <w:sz w:val="24"/>
          <w:szCs w:val="24"/>
        </w:rPr>
        <w:t xml:space="preserve">★ Cash Flow from Assets — The Canonical DCF Input Formula (SFM)</w:t>
      </w:r>
    </w:p>
    <w:p>
      <w:pPr>
        <w:spacing w:after="60" w:before="80"/>
      </w:pPr>
      <w:r>
        <w:rPr>
          <w:rFonts w:ascii="Arial" w:cs="Arial" w:eastAsia="Arial" w:hAnsi="Arial"/>
          <w:b/>
          <w:bCs/>
          <w:color w:val="D4851A"/>
          <w:sz w:val="20"/>
          <w:szCs w:val="20"/>
        </w:rPr>
        <w:t xml:space="preserve">★ NEW: </w:t>
      </w:r>
      <w:r>
        <w:rPr>
          <w:rFonts w:ascii="Arial" w:cs="Arial" w:eastAsia="Arial" w:hAnsi="Arial"/>
          <w:i/>
          <w:iCs/>
          <w:color w:val="4A4A4A"/>
          <w:sz w:val="20"/>
          <w:szCs w:val="20"/>
        </w:rPr>
        <w:t xml:space="preserve">Integrated from SFM: the explicit CFA formula clarifies exactly what gets discounted — not earnings, not EBITDA, but after-tax operating cash flow after reinvestment.</w:t>
      </w:r>
    </w:p>
    <w:p>
      <w:pPr>
        <w:spacing w:after="80" w:before="60"/>
      </w:pPr>
      <w:r>
        <w:rPr>
          <w:rFonts w:ascii="Arial" w:cs="Arial" w:eastAsia="Arial" w:hAnsi="Arial"/>
          <w:color w:val="4A4A4A"/>
          <w:sz w:val="22"/>
          <w:szCs w:val="22"/>
        </w:rPr>
        <w:t xml:space="preserve">The foundation of every DCF is the Cash Flow from Assets formula. This is what is being discounted — not accounting earnings, not reported EBITDA, but economic cash generated after all investment required to sustain the business: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8"/>
              <w:bottom w:val="single" w:color="2E6DA4" w:sz="2"/>
              <w:right w:val="none" w:color="FFFFFF" w:sz="0"/>
            </w:tcBorders>
            <w:shd w:fill="EEF4FB" w:val="clear"/>
            <w:tcMar>
              <w:top w:type="dxa" w:w="120"/>
              <w:left w:type="dxa" w:w="200"/>
              <w:bottom w:type="dxa" w:w="120"/>
              <w:right w:type="dxa" w:w="200"/>
            </w:tcMar>
          </w:tcPr>
          <w:p>
            <w:pPr>
              <w:jc w:val="center"/>
            </w:pPr>
            <w:r>
              <w:rPr>
                <w:rFonts w:ascii="Courier New" w:cs="Courier New" w:eastAsia="Courier New" w:hAnsi="Courier New"/>
                <w:b/>
                <w:bCs/>
                <w:color w:val="1E3A5F"/>
                <w:sz w:val="22"/>
                <w:szCs w:val="22"/>
              </w:rPr>
              <w:t xml:space="preserve">CFA  =  Revenue − Operating Costs − Taxes + Depreciation − CapEx − ΔNWC</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CFA Component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Meaning and Cleaning Note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Revenue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Use normalized revenue — strip one-time contract wins, channel stuffing, and recognition timing distortions (Domain 5 cleaning)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Operating Costs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Use clean operating costs — strip restructuring, integration charges, and non-recurring items (Liberti Domain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Taxes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Use cash taxes paid, not GAAP effective tax rate. Adjust for NOL utilization and Pillar Two exposure (Section 12.1)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 Depreciation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Added back because it is a non-cash charge — but note this is not a free cash flow addition; it is offset by CapEx below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 CapEx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Split into maintenance CapEx (sustaining existing earnings power) and growth CapEx (funding new revenue). Only maintenance CapEx is a recurring cost; growth CapEx should match growth assumptions (Domain 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 ΔNWC</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Change in net working capital: use structural NWC requirement, not cyclical swings. A growing business requires more NWC as revenue scales — this is a real cash cost that cannot be omitted (Domain 6)</w:t>
            </w:r>
          </w:p>
        </w:tc>
      </w:tr>
    </w:tbl>
    <w:p>
      <w:pPr>
        <w:spacing w:after="80" w:before="0"/>
      </w:pPr>
      <w:r>
        <w:t xml:space="preserve"/>
      </w:r>
    </w:p>
    <w:p>
      <w:pPr>
        <w:spacing w:after="80" w:before="200"/>
      </w:pPr>
      <w:r>
        <w:rPr>
          <w:rFonts w:ascii="Arial" w:cs="Arial" w:eastAsia="Arial" w:hAnsi="Arial"/>
          <w:b/>
          <w:bCs/>
          <w:color w:val="2E6DA4"/>
          <w:sz w:val="24"/>
          <w:szCs w:val="24"/>
        </w:rPr>
        <w:t xml:space="preserve">★ Incremental Valuation and Cannibalization (SFM)</w:t>
      </w:r>
    </w:p>
    <w:p>
      <w:pPr>
        <w:spacing w:after="60" w:before="80"/>
      </w:pPr>
      <w:r>
        <w:rPr>
          <w:rFonts w:ascii="Arial" w:cs="Arial" w:eastAsia="Arial" w:hAnsi="Arial"/>
          <w:b/>
          <w:bCs/>
          <w:color w:val="D4851A"/>
          <w:sz w:val="20"/>
          <w:szCs w:val="20"/>
        </w:rPr>
        <w:t xml:space="preserve">★ NEW: </w:t>
      </w:r>
      <w:r>
        <w:rPr>
          <w:rFonts w:ascii="Arial" w:cs="Arial" w:eastAsia="Arial" w:hAnsi="Arial"/>
          <w:i/>
          <w:iCs/>
          <w:color w:val="4A4A4A"/>
          <w:sz w:val="20"/>
          <w:szCs w:val="20"/>
        </w:rPr>
        <w:t xml:space="preserve">Integrated from SFM: project value = firm value with project minus firm value without. Cannibalization must be subtracted from incremental cash flows.</w:t>
      </w:r>
    </w:p>
    <w:p>
      <w:pPr>
        <w:spacing w:after="80" w:before="60"/>
      </w:pPr>
      <w:r>
        <w:rPr>
          <w:rFonts w:ascii="Arial" w:cs="Arial" w:eastAsia="Arial" w:hAnsi="Arial"/>
          <w:color w:val="4A4A4A"/>
          <w:sz w:val="22"/>
          <w:szCs w:val="22"/>
        </w:rPr>
        <w:t xml:space="preserve">The correct DCF framework values a project or business line on an incremental basis, not in isolation. When a company launches a new product, the true incremental value is what is added to the firm — after accounting for any revenue it takes from existing products: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8"/>
              <w:bottom w:val="single" w:color="2E6DA4" w:sz="2"/>
              <w:right w:val="none" w:color="FFFFFF" w:sz="0"/>
            </w:tcBorders>
            <w:shd w:fill="EEF4FB" w:val="clear"/>
            <w:tcMar>
              <w:top w:type="dxa" w:w="120"/>
              <w:left w:type="dxa" w:w="200"/>
              <w:bottom w:type="dxa" w:w="120"/>
              <w:right w:type="dxa" w:w="200"/>
            </w:tcMar>
          </w:tcPr>
          <w:p>
            <w:pPr>
              <w:jc w:val="center"/>
            </w:pPr>
            <w:r>
              <w:rPr>
                <w:rFonts w:ascii="Courier New" w:cs="Courier New" w:eastAsia="Courier New" w:hAnsi="Courier New"/>
                <w:b/>
                <w:bCs/>
                <w:color w:val="1E3A5F"/>
                <w:sz w:val="22"/>
                <w:szCs w:val="22"/>
              </w:rPr>
              <w:t xml:space="preserve">Incremental Value  =  Value(Firm WITH project)  −  Value(Firm WITHOUT project)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Incremental Cash Flow 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Application in Analysis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Cannibalization adjustment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When a company launches an adjacent product or enters a new category, estimate the revenue it will divert from existing lines. Subtract this from the new product's incremental revenue. Platform businesses expanding into new verticals are particularly susceptible — an e-commerce platform launching advertising cannibalizes merchant fee economics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Sunk costs — never included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R&amp;D already spent, previous market research, prior capex on failed projects — these are gone regardless of the decision and must not influence the incremental analysis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Opportunity costs — always included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If an asset being repurposed for the new project could be sold or rented, the foregone value is a real cost of the project even though no cash changes hands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Side effects on existing business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Positive side effects (a new product that increases brand value and lifts existing product sales) should be added. Negative side effects (a new product that confuses the brand and reduces existing product pricing power) must be subtracted</w:t>
            </w:r>
          </w:p>
        </w:tc>
      </w:tr>
    </w:tbl>
    <w:p>
      <w:pPr>
        <w:spacing w:after="80" w:before="0"/>
      </w:pPr>
      <w:r>
        <w:t xml:space="preserve"/>
      </w:r>
    </w:p>
    <w:p>
      <w:pPr>
        <w:pStyle w:val="ListParagraph"/>
        <w:numPr>
          <w:ilvl w:val="0"/>
          <w:numId w:val="2"/>
        </w:numPr>
        <w:spacing w:after="40" w:before="40"/>
      </w:pPr>
      <w:r>
        <w:rPr>
          <w:rFonts w:ascii="Arial" w:cs="Arial" w:eastAsia="Arial" w:hAnsi="Arial"/>
          <w:color w:val="4A4A4A"/>
          <w:sz w:val="22"/>
          <w:szCs w:val="22"/>
        </w:rPr>
        <w:t xml:space="preserve">Forecast horizon: 5–10 years (20–40 quarters of quarterly build for high-conviction names)</w:t>
      </w:r>
    </w:p>
    <w:p>
      <w:pPr>
        <w:pStyle w:val="ListParagraph"/>
        <w:numPr>
          <w:ilvl w:val="0"/>
          <w:numId w:val="2"/>
        </w:numPr>
        <w:spacing w:after="40" w:before="40"/>
      </w:pPr>
      <w:r>
        <w:rPr>
          <w:rFonts w:ascii="Arial" w:cs="Arial" w:eastAsia="Arial" w:hAnsi="Arial"/>
          <w:color w:val="4A4A4A"/>
          <w:sz w:val="22"/>
          <w:szCs w:val="22"/>
        </w:rPr>
        <w:t xml:space="preserve">Discount rate: WACC = (E/V)×Ke + (D/V)×Kd×(1-T)</w:t>
      </w:r>
    </w:p>
    <w:p>
      <w:pPr>
        <w:pStyle w:val="ListParagraph"/>
        <w:numPr>
          <w:ilvl w:val="0"/>
          <w:numId w:val="3"/>
        </w:numPr>
        <w:spacing w:after="30" w:before="30"/>
      </w:pPr>
      <w:r>
        <w:rPr>
          <w:rFonts w:ascii="Arial" w:cs="Arial" w:eastAsia="Arial" w:hAnsi="Arial"/>
          <w:color w:val="4A4A4A"/>
          <w:sz w:val="20"/>
          <w:szCs w:val="20"/>
        </w:rPr>
        <w:t xml:space="preserve">Ke via CAPM: Rf + Beta × MRP (risk-free = current 10-yr Treasury; MRP = 4.5–6%)</w:t>
      </w:r>
    </w:p>
    <w:p>
      <w:pPr>
        <w:pStyle w:val="ListParagraph"/>
        <w:numPr>
          <w:ilvl w:val="0"/>
          <w:numId w:val="3"/>
        </w:numPr>
        <w:spacing w:after="30" w:before="30"/>
      </w:pPr>
      <w:r>
        <w:rPr>
          <w:rFonts w:ascii="Arial" w:cs="Arial" w:eastAsia="Arial" w:hAnsi="Arial"/>
          <w:color w:val="4A4A4A"/>
          <w:sz w:val="20"/>
          <w:szCs w:val="20"/>
        </w:rPr>
        <w:t xml:space="preserve">Kd = Interest Expense ÷ Average Debt</w:t>
      </w:r>
    </w:p>
    <w:p>
      <w:pPr>
        <w:pStyle w:val="ListParagraph"/>
        <w:numPr>
          <w:ilvl w:val="0"/>
          <w:numId w:val="2"/>
        </w:numPr>
        <w:spacing w:after="40" w:before="40"/>
      </w:pPr>
      <w:r>
        <w:rPr>
          <w:rFonts w:ascii="Arial" w:cs="Arial" w:eastAsia="Arial" w:hAnsi="Arial"/>
          <w:color w:val="4A4A4A"/>
          <w:sz w:val="22"/>
          <w:szCs w:val="22"/>
        </w:rPr>
        <w:t xml:space="preserve">Terminal value via Gordon Growth: TV = FCF_final × (1+g) ÷ (WACC - g); g = 2–4% base case</w:t>
      </w:r>
    </w:p>
    <w:p>
      <w:pPr>
        <w:pStyle w:val="ListParagraph"/>
        <w:numPr>
          <w:ilvl w:val="0"/>
          <w:numId w:val="2"/>
        </w:numPr>
        <w:spacing w:after="40" w:before="40"/>
      </w:pPr>
      <w:r>
        <w:rPr>
          <w:rFonts w:ascii="Arial" w:cs="Arial" w:eastAsia="Arial" w:hAnsi="Arial"/>
          <w:color w:val="4A4A4A"/>
          <w:sz w:val="22"/>
          <w:szCs w:val="22"/>
        </w:rPr>
        <w:t xml:space="preserve">Reinvestment-rate TV alternative: TV = NOPAT × (1 - g/ROIC) ÷ (WACC - g) — preferred for ROIC-rich businesses</w:t>
      </w:r>
    </w:p>
    <w:p>
      <w:pPr>
        <w:spacing w:after="80" w:before="0"/>
      </w:pPr>
      <w:r>
        <w:t xml:space="preserve"/>
      </w:r>
    </w:p>
    <w:p>
      <w:pPr>
        <w:spacing w:after="80" w:before="200"/>
      </w:pPr>
      <w:r>
        <w:rPr>
          <w:rFonts w:ascii="Arial" w:cs="Arial" w:eastAsia="Arial" w:hAnsi="Arial"/>
          <w:b/>
          <w:bCs/>
          <w:color w:val="2E6DA4"/>
          <w:sz w:val="24"/>
          <w:szCs w:val="24"/>
        </w:rPr>
        <w:t xml:space="preserve">★ Implied Multiple Sanity Check — Three Uses</w:t>
      </w:r>
    </w:p>
    <w:p>
      <w:pPr>
        <w:spacing w:after="60" w:before="80"/>
      </w:pPr>
      <w:r>
        <w:rPr>
          <w:rFonts w:ascii="Arial" w:cs="Arial" w:eastAsia="Arial" w:hAnsi="Arial"/>
          <w:b/>
          <w:bCs/>
          <w:color w:val="D4851A"/>
          <w:sz w:val="20"/>
          <w:szCs w:val="20"/>
        </w:rPr>
        <w:t xml:space="preserve">★ NEW: </w:t>
      </w:r>
      <w:r>
        <w:rPr>
          <w:rFonts w:ascii="Arial" w:cs="Arial" w:eastAsia="Arial" w:hAnsi="Arial"/>
          <w:i/>
          <w:iCs/>
          <w:color w:val="4A4A4A"/>
          <w:sz w:val="20"/>
          <w:szCs w:val="20"/>
        </w:rPr>
        <w:t xml:space="preserve">Reverse-DCF discipline: always derive implied multiples from your DCF, then interrogate them.</w:t>
      </w:r>
    </w:p>
    <w:p>
      <w:pPr>
        <w:pStyle w:val="ListParagraph"/>
        <w:numPr>
          <w:ilvl w:val="0"/>
          <w:numId w:val="2"/>
        </w:numPr>
        <w:spacing w:after="40" w:before="40"/>
      </w:pPr>
      <w:r>
        <w:rPr>
          <w:rFonts w:ascii="Arial" w:cs="Arial" w:eastAsia="Arial" w:hAnsi="Arial"/>
          <w:color w:val="4A4A4A"/>
          <w:sz w:val="22"/>
          <w:szCs w:val="22"/>
        </w:rPr>
        <w:t xml:space="preserve">What's priced in: run DCF with assumptions that replicate current market price → back-out implied growth and margins → is this realistic?</w:t>
      </w:r>
    </w:p>
    <w:p>
      <w:pPr>
        <w:pStyle w:val="ListParagraph"/>
        <w:numPr>
          <w:ilvl w:val="0"/>
          <w:numId w:val="2"/>
        </w:numPr>
        <w:spacing w:after="40" w:before="40"/>
      </w:pPr>
      <w:r>
        <w:rPr>
          <w:rFonts w:ascii="Arial" w:cs="Arial" w:eastAsia="Arial" w:hAnsi="Arial"/>
          <w:color w:val="4A4A4A"/>
          <w:sz w:val="22"/>
          <w:szCs w:val="22"/>
        </w:rPr>
        <w:t xml:space="preserve">Sensitivity tool: what happens to multiples if capex falls, margins fade, growth normalizes? If yields rise 100bps, what is the implied multiple impact?</w:t>
      </w:r>
    </w:p>
    <w:p>
      <w:pPr>
        <w:pStyle w:val="ListParagraph"/>
        <w:numPr>
          <w:ilvl w:val="0"/>
          <w:numId w:val="2"/>
        </w:numPr>
        <w:spacing w:after="40" w:before="40"/>
      </w:pPr>
      <w:r>
        <w:rPr>
          <w:rFonts w:ascii="Arial" w:cs="Arial" w:eastAsia="Arial" w:hAnsi="Arial"/>
          <w:color w:val="4A4A4A"/>
          <w:sz w:val="22"/>
          <w:szCs w:val="22"/>
        </w:rPr>
        <w:t xml:space="preserve">Terminal value sanity: TV often represents 70-80%+ of EV — derive implied terminal multiple (TV ÷ terminal year EBITDA) → should be below or in-line with current forward multiples as business matures; if terminal multiple &gt; current forward multiple, the valuation requires a very strong story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8"/>
              <w:bottom w:val="single" w:color="2E6DA4" w:sz="2"/>
              <w:right w:val="none" w:color="FFFFFF" w:sz="0"/>
            </w:tcBorders>
            <w:shd w:fill="EEF4FB" w:val="clear"/>
            <w:tcMar>
              <w:top w:type="dxa" w:w="120"/>
              <w:left w:type="dxa" w:w="200"/>
              <w:bottom w:type="dxa" w:w="120"/>
              <w:right w:type="dxa" w:w="200"/>
            </w:tcMar>
          </w:tcPr>
          <w:p>
            <w:pPr>
              <w:jc w:val="center"/>
            </w:pPr>
            <w:r>
              <w:rPr>
                <w:rFonts w:ascii="Courier New" w:cs="Courier New" w:eastAsia="Courier New" w:hAnsi="Courier New"/>
                <w:b/>
                <w:bCs/>
                <w:color w:val="1E3A5F"/>
                <w:sz w:val="22"/>
                <w:szCs w:val="22"/>
              </w:rPr>
              <w:t xml:space="preserve">TV implied EBITDA multiple  =  Terminal Value  ÷  Terminal Year EBITDA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Inputs &amp;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Base case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Revenue CAGR at consensus + historical discipline; WACC at current market; g = 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Bull case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Higher revenue CAGR + operating leverage (margin expansion 150-300bps); g = 3.5%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Bear case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Margin compression 200-400bps; WACC +100bps; g = 2%; test thesis survivability, not collapse logic</w:t>
            </w:r>
          </w:p>
        </w:tc>
      </w:tr>
    </w:tbl>
    <w:p>
      <w:pPr>
        <w:spacing w:after="80" w:before="0"/>
      </w:pPr>
      <w:r>
        <w:t xml:space="preserve"/>
      </w:r>
    </w:p>
    <w:p>
      <w:pPr>
        <w:spacing w:after="80" w:before="200"/>
      </w:pPr>
      <w:r>
        <w:rPr>
          <w:rFonts w:ascii="Arial" w:cs="Arial" w:eastAsia="Arial" w:hAnsi="Arial"/>
          <w:b/>
          <w:bCs/>
          <w:color w:val="2E6DA4"/>
          <w:sz w:val="24"/>
          <w:szCs w:val="24"/>
        </w:rPr>
        <w:t xml:space="preserve">★ Narrative Scenario Planning — Discontinuous Futures</w:t>
      </w:r>
    </w:p>
    <w:p>
      <w:pPr>
        <w:spacing w:after="60" w:before="80"/>
      </w:pPr>
      <w:r>
        <w:rPr>
          <w:rFonts w:ascii="Arial" w:cs="Arial" w:eastAsia="Arial" w:hAnsi="Arial"/>
          <w:b/>
          <w:bCs/>
          <w:color w:val="D4851A"/>
          <w:sz w:val="20"/>
          <w:szCs w:val="20"/>
        </w:rPr>
        <w:t xml:space="preserve">★ NEW: </w:t>
      </w:r>
      <w:r>
        <w:rPr>
          <w:rFonts w:ascii="Arial" w:cs="Arial" w:eastAsia="Arial" w:hAnsi="Arial"/>
          <w:i/>
          <w:iCs/>
          <w:color w:val="4A4A4A"/>
          <w:sz w:val="20"/>
          <w:szCs w:val="20"/>
        </w:rPr>
        <w:t xml:space="preserve">New: extends bull/base/bear to catch structural risks that parameter sensitivity cannot model.</w:t>
      </w:r>
    </w:p>
    <w:p>
      <w:pPr>
        <w:spacing w:after="80" w:before="60"/>
      </w:pPr>
      <w:r>
        <w:rPr>
          <w:rFonts w:ascii="Arial" w:cs="Arial" w:eastAsia="Arial" w:hAnsi="Arial"/>
          <w:color w:val="4A4A4A"/>
          <w:sz w:val="22"/>
          <w:szCs w:val="22"/>
        </w:rPr>
        <w:t xml:space="preserve">The three-scenario DCF models continuous distributions — margins 2% higher or lower, growth 2% faster or slower. It misses discontinuous futures: regulatory restructuring that eliminates a TAM, a technology shift that commoditises a core product, a platform giant bundling the company's offering natively. These are not captured by adjusting a growth rate. They require writing out a structurally different world and building a separate DCF for it. Every investment thesis must include at least one discontinuous scenario.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Narrative Scenario Type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Construction Method and DCF Treatment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Technology displacement scenario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Assume a plausible technology shift makes the company's core product obsolete or commoditised within 5–7 years. Model the revenue trajectory of a business losing its pricing power gradually: gross margin compresses 15–25% over 4 years, revenue growth stalls then declines 5–10% annually, WACC increases +200bps to reflect existential uncertainty. This is not a collapse scenario — it is a rational displacement scenario. If the DCF is still positive, the current price has a margin of safety even against this outcome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Regulatory restructuring scenario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For technology, healthcare, financial services, and energy: identify the single regulatory action most likely to affect the business model (antitrust breakup, pricing regulation, data localisation, carbon pricing). Model that action as certain (probability = 100%) and calculate the resulting DCF. Compare to the probability-weighted regulatory risk assessment in Section 12. The two should be internally consistent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Competitive platform scenario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Assume a hyperscaler or dominant platform decides to enter the company's market with bundled pricing. Model the pricing pressure: the company must match a product offered free or at cost by a much larger competitor. Revenue per customer declines 30–50%, growth stalls, customer retention drops. What is the value of the remaining defensible customer segments?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Macro dislocation scenario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A sustained macro shock — prolonged high rates, severe recession, credit crisis — that is more severe than the bear case parameter shift. Model a 2008-style scenario: revenue declines 20–30%, margins compress 400–600bps, credit markets close, the company cannot refinance. Does the business survive? What is the equity value at the trough? If equity is wiped out in this scenario, position sizing must reflect that tail risk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60"/>
              <w:left w:type="dxa" w:w="200"/>
              <w:bottom w:type="dxa" w:w="160"/>
              <w:right w:type="dxa" w:w="200"/>
            </w:tcMar>
          </w:tcPr>
          <w:p>
            <w:pPr>
              <w:spacing w:after="60" w:before="0"/>
            </w:pPr>
            <w:r>
              <w:rPr>
                <w:rFonts w:ascii="Arial" w:cs="Arial" w:eastAsia="Arial" w:hAnsi="Arial"/>
                <w:b/>
                <w:bCs/>
                <w:color w:val="D4851A"/>
                <w:sz w:val="20"/>
                <w:szCs w:val="20"/>
              </w:rPr>
              <w:t xml:space="preserve">The Discontinuous Scenario Rule</w:t>
            </w:r>
          </w:p>
          <w:p>
            <w:pPr>
              <w:spacing w:after="0" w:before="0"/>
            </w:pPr>
            <w:r>
              <w:rPr>
                <w:rFonts w:ascii="Arial" w:cs="Arial" w:eastAsia="Arial" w:hAnsi="Arial"/>
                <w:color w:val="4A4A4A"/>
                <w:sz w:val="20"/>
                <w:szCs w:val="20"/>
              </w:rPr>
              <w:t xml:space="preserve">If all four scenarios (bull, base, bear, and at least one narrative scenario) produce a positive equity value at your entry price, the investment has passed the full scenario suite. If the narrative scenario produces a negative or near-zero equity value, it does not automatically disqualify the investment — but it requires: (1) the narrative scenario to be assigned an explicit probability, (2) that probability to be reflected in position sizing, and (3) the specific catalyst that would increase or decrease that probability to be defined as a monthly monitoring trigger.</w:t>
            </w:r>
          </w:p>
        </w:tc>
      </w:tr>
    </w:tbl>
    <w:p>
      <w:pPr>
        <w:spacing w:after="80" w:before="0"/>
      </w:pPr>
      <w:r>
        <w:t xml:space="preserve"/>
      </w:r>
    </w:p>
    <w:p>
      <w:pPr>
        <w:spacing w:after="80" w:before="0"/>
      </w:pPr>
      <w:r>
        <w:t xml:space="preserve"/>
      </w:r>
    </w:p>
    <w:p>
      <w:pPr>
        <w:pStyle w:val="Heading2"/>
        <w:spacing w:after="120" w:before="320"/>
      </w:pPr>
      <w:r>
        <w:rPr>
          <w:rFonts w:ascii="Arial" w:cs="Arial" w:eastAsia="Arial" w:hAnsi="Arial"/>
          <w:b/>
          <w:bCs/>
          <w:color w:val="1E3A5F"/>
          <w:sz w:val="28"/>
          <w:szCs w:val="28"/>
        </w:rPr>
        <w:t xml:space="preserve">3.5  ★ Real Options Valuation (SFM)</w:t>
      </w:r>
    </w:p>
    <w:p>
      <w:pPr>
        <w:spacing w:after="60" w:before="80"/>
      </w:pPr>
      <w:r>
        <w:rPr>
          <w:rFonts w:ascii="Arial" w:cs="Arial" w:eastAsia="Arial" w:hAnsi="Arial"/>
          <w:b/>
          <w:bCs/>
          <w:color w:val="D4851A"/>
          <w:sz w:val="20"/>
          <w:szCs w:val="20"/>
        </w:rPr>
        <w:t xml:space="preserve">★ NEW: </w:t>
      </w:r>
      <w:r>
        <w:rPr>
          <w:rFonts w:ascii="Arial" w:cs="Arial" w:eastAsia="Arial" w:hAnsi="Arial"/>
          <w:i/>
          <w:iCs/>
          <w:color w:val="4A4A4A"/>
          <w:sz w:val="20"/>
          <w:szCs w:val="20"/>
        </w:rPr>
        <w:t xml:space="preserve">Integrated from SFM: for companies with embedded strategic flexibility, DCF alone systematically undervalues the business. Real options capture the value of optionality.</w:t>
      </w:r>
    </w:p>
    <w:p>
      <w:pPr>
        <w:spacing w:after="80" w:before="60"/>
      </w:pPr>
      <w:r>
        <w:rPr>
          <w:rFonts w:ascii="Arial" w:cs="Arial" w:eastAsia="Arial" w:hAnsi="Arial"/>
          <w:color w:val="4A4A4A"/>
          <w:sz w:val="22"/>
          <w:szCs w:val="22"/>
        </w:rPr>
        <w:t xml:space="preserve">Standard DCF assumes a company executes its current plan. Real options valuation recognizes that management has the right — but not the obligation — to make future decisions: expand if successful, abandon if failing, delay until uncertainty resolves, or switch between alternatives. These rights have quantifiable value that DCF misses entirely.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Real Option Type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Investment Context and Valuation Approach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Option to expand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 successful Phase 1 drug trial gives the right to fund Phase 2. A successful market entry gives the right to scale. Underlying asset = PV of expanded cash flows. Strike = investment required to expand. Value increases with uncertainty — high volatility is an asset for expansion options, not a risk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Option to abandon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Capital-intensive businesses can sell assets if the project fails. Underlying asset = PV of project cash flows. Strike = salvage value of assets. Particularly valuable in mining, energy, real estate, and airlines where assets have liquid secondary markets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Option to delay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The right to wait before committing capital — valuable when uncertainty will resolve over time. A pharmaceutical company holding a compound for a disease where new trial data is expected has a timing option. Value = NPV of waiting vs committing now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Option to switch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Flexible manufacturing or energy assets that can switch between inputs or outputs. A plant that can run on gas or oil has a switching option. Value = cost savings from always choosing the cheaper input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EE" w:val="clear"/>
            <w:tcMar>
              <w:top w:type="dxa" w:w="160"/>
              <w:left w:type="dxa" w:w="200"/>
              <w:bottom w:type="dxa" w:w="160"/>
              <w:right w:type="dxa" w:w="200"/>
            </w:tcMar>
          </w:tcPr>
          <w:p>
            <w:pPr>
              <w:spacing w:after="60" w:before="0"/>
            </w:pPr>
            <w:r>
              <w:rPr>
                <w:rFonts w:ascii="Arial" w:cs="Arial" w:eastAsia="Arial" w:hAnsi="Arial"/>
                <w:b/>
                <w:bCs/>
                <w:color w:val="1A6B5A"/>
                <w:sz w:val="20"/>
                <w:szCs w:val="20"/>
              </w:rPr>
              <w:t xml:space="preserve">The Five Real Option Inputs (SFM Framework)</w:t>
            </w:r>
          </w:p>
          <w:p>
            <w:pPr>
              <w:spacing w:after="0" w:before="0"/>
            </w:pPr>
            <w:r>
              <w:rPr>
                <w:rFonts w:ascii="Arial" w:cs="Arial" w:eastAsia="Arial" w:hAnsi="Arial"/>
                <w:color w:val="4A4A4A"/>
                <w:sz w:val="20"/>
                <w:szCs w:val="20"/>
              </w:rPr>
              <w:t xml:space="preserve">Every real option requires five inputs to value: (1) Underlying asset value = PV of cash flows from the opportunity, (2) Strike price = investment required to exercise the option, (3) Time to expiry = how long the option remains available, (4) Volatility = uncertainty in the underlying asset value — higher volatility increases option value, (5) Risk-free rate = time value of money during the option period. Exercise rule: only exercise when PV(Revenues) exceeds PV(Costs). Never exercise an out-of-the-money real option simply to avoid sunk cost loss.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Sector</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Where Real Options Are Material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Pharmaceuticals and biotech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Pipeline optionality is often the majority of enterprise value. A company with 5 Phase 2 compounds has 5 call options on blockbuster revenue streams. DCF on current products misses this entirely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Technology platforms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The right to enter adjacent markets as the platform scales. Amazon Web Services was a real option embedded in Amazon's retail business. The option was invisible to a DCF of retail cash flows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Natural resources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Mining and oil exploration companies hold options on reserves — the right to extract when commodity prices make it profitable. These are call options with the commodity price as the underlying asset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Early-stage high-growth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Companies burning cash to establish market position hold an option on future profitability. The DCF produces a negative value; the real option captures the asymmetric upside if the market position succeeds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Capital-intensive with flexible assets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Airlines, shipping, and energy companies with liquid secondary markets for assets hold abandonment options that reduce downside risk below what DCF models capture</w:t>
            </w:r>
          </w:p>
        </w:tc>
      </w:tr>
    </w:tbl>
    <w:p>
      <w:pPr>
        <w:spacing w:after="80" w:before="0"/>
      </w:pPr>
      <w:r>
        <w:t xml:space="preserve"/>
      </w:r>
    </w:p>
    <w:p>
      <w:pPr>
        <w:spacing w:after="80" w:before="200"/>
      </w:pPr>
      <w:r>
        <w:rPr>
          <w:rFonts w:ascii="Arial" w:cs="Arial" w:eastAsia="Arial" w:hAnsi="Arial"/>
          <w:b/>
          <w:bCs/>
          <w:color w:val="2E6DA4"/>
          <w:sz w:val="24"/>
          <w:szCs w:val="24"/>
        </w:rPr>
        <w:t xml:space="preserve">When to Use Real Options vs DCF</w:t>
      </w:r>
    </w:p>
    <w:p>
      <w:pPr>
        <w:pStyle w:val="ListParagraph"/>
        <w:numPr>
          <w:ilvl w:val="0"/>
          <w:numId w:val="2"/>
        </w:numPr>
        <w:spacing w:after="40" w:before="40"/>
      </w:pPr>
      <w:r>
        <w:rPr>
          <w:rFonts w:ascii="Arial" w:cs="Arial" w:eastAsia="Arial" w:hAnsi="Arial"/>
          <w:color w:val="4A4A4A"/>
          <w:sz w:val="22"/>
          <w:szCs w:val="22"/>
        </w:rPr>
        <w:t xml:space="preserve">Use DCF when: cash flows are predictable, the strategic plan is fixed, and management has limited flexibility to change course</w:t>
      </w:r>
    </w:p>
    <w:p>
      <w:pPr>
        <w:pStyle w:val="ListParagraph"/>
        <w:numPr>
          <w:ilvl w:val="0"/>
          <w:numId w:val="2"/>
        </w:numPr>
        <w:spacing w:after="40" w:before="40"/>
      </w:pPr>
      <w:r>
        <w:rPr>
          <w:rFonts w:ascii="Arial" w:cs="Arial" w:eastAsia="Arial" w:hAnsi="Arial"/>
          <w:color w:val="4A4A4A"/>
          <w:sz w:val="22"/>
          <w:szCs w:val="22"/>
        </w:rPr>
        <w:t xml:space="preserve">Use real options when: there is significant uncertainty that will resolve over time, management has genuine flexibility to respond to outcomes, and the option to delay or abandon has material value</w:t>
      </w:r>
    </w:p>
    <w:p>
      <w:pPr>
        <w:pStyle w:val="ListParagraph"/>
        <w:numPr>
          <w:ilvl w:val="0"/>
          <w:numId w:val="2"/>
        </w:numPr>
        <w:spacing w:after="40" w:before="40"/>
      </w:pPr>
      <w:r>
        <w:rPr>
          <w:rFonts w:ascii="Arial" w:cs="Arial" w:eastAsia="Arial" w:hAnsi="Arial"/>
          <w:color w:val="4A4A4A"/>
          <w:sz w:val="22"/>
          <w:szCs w:val="22"/>
        </w:rPr>
        <w:t xml:space="preserve">Use both when: the current business is valued by DCF and the strategic optionality (pipeline, expansion rights, switching flexibility) is valued as a real option portfolio added to the DCF base value</w:t>
      </w:r>
    </w:p>
    <w:p>
      <w:pPr>
        <w:pStyle w:val="ListParagraph"/>
        <w:numPr>
          <w:ilvl w:val="0"/>
          <w:numId w:val="2"/>
        </w:numPr>
        <w:spacing w:after="40" w:before="40"/>
      </w:pPr>
      <w:r>
        <w:rPr>
          <w:rFonts w:ascii="Arial" w:cs="Arial" w:eastAsia="Arial" w:hAnsi="Arial"/>
          <w:color w:val="4A4A4A"/>
          <w:sz w:val="22"/>
          <w:szCs w:val="22"/>
        </w:rPr>
        <w:t xml:space="preserve">Red flag: if a DCF produces a significantly negative NPV but the market is pricing the company at a large positive value, the market is pricing real options that your DCF is missing — do not dismiss the market price without accounting for optionality</w:t>
      </w:r>
    </w:p>
    <w:p>
      <w:pPr>
        <w:spacing w:after="80" w:before="0"/>
      </w:pPr>
      <w:r>
        <w:t xml:space="preserve"/>
      </w:r>
    </w:p>
    <w:p>
      <w:pPr>
        <w:spacing w:after="80" w:before="0"/>
      </w:pPr>
      <w:r>
        <w:t xml:space="preserve"/>
      </w:r>
    </w:p>
    <w:p>
      <w:pPr>
        <w:pStyle w:val="Heading2"/>
        <w:spacing w:after="120" w:before="320"/>
      </w:pPr>
      <w:r>
        <w:rPr>
          <w:rFonts w:ascii="Arial" w:cs="Arial" w:eastAsia="Arial" w:hAnsi="Arial"/>
          <w:b/>
          <w:bCs/>
          <w:color w:val="1E3A5F"/>
          <w:sz w:val="28"/>
          <w:szCs w:val="28"/>
        </w:rPr>
        <w:t xml:space="preserve">3.6  ★ Capital Structure — APV and Financial Distress (SFM)</w:t>
      </w:r>
    </w:p>
    <w:p>
      <w:pPr>
        <w:spacing w:after="60" w:before="80"/>
      </w:pPr>
      <w:r>
        <w:rPr>
          <w:rFonts w:ascii="Arial" w:cs="Arial" w:eastAsia="Arial" w:hAnsi="Arial"/>
          <w:b/>
          <w:bCs/>
          <w:color w:val="D4851A"/>
          <w:sz w:val="20"/>
          <w:szCs w:val="20"/>
        </w:rPr>
        <w:t xml:space="preserve">★ NEW: </w:t>
      </w:r>
      <w:r>
        <w:rPr>
          <w:rFonts w:ascii="Arial" w:cs="Arial" w:eastAsia="Arial" w:hAnsi="Arial"/>
          <w:i/>
          <w:iCs/>
          <w:color w:val="4A4A4A"/>
          <w:sz w:val="20"/>
          <w:szCs w:val="20"/>
        </w:rPr>
        <w:t xml:space="preserve">Integrated from SFM: WACC assumes constant leverage. APV is superior when capital structure is changing. Economic vs financial distress must be separated in bear case construction.</w:t>
      </w:r>
    </w:p>
    <w:p>
      <w:pPr>
        <w:spacing w:after="80" w:before="60"/>
      </w:pPr>
      <w:r>
        <w:rPr>
          <w:rFonts w:ascii="Arial" w:cs="Arial" w:eastAsia="Arial" w:hAnsi="Arial"/>
          <w:color w:val="4A4A4A"/>
          <w:sz w:val="22"/>
          <w:szCs w:val="22"/>
        </w:rPr>
        <w:t xml:space="preserve">The framework's WACC-based DCF assumes leverage remains constant throughout the forecast period. This is frequently wrong — particularly for companies actively deleveraging, for acquisition targets, or for businesses using leverage as a deliberate strategic tool. Adjusted Present Value separates the operating value from the financing value and handles these situations correctly.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8"/>
              <w:bottom w:val="single" w:color="2E6DA4" w:sz="2"/>
              <w:right w:val="none" w:color="FFFFFF" w:sz="0"/>
            </w:tcBorders>
            <w:shd w:fill="EEF4FB" w:val="clear"/>
            <w:tcMar>
              <w:top w:type="dxa" w:w="120"/>
              <w:left w:type="dxa" w:w="200"/>
              <w:bottom w:type="dxa" w:w="120"/>
              <w:right w:type="dxa" w:w="200"/>
            </w:tcMar>
          </w:tcPr>
          <w:p>
            <w:pPr>
              <w:jc w:val="center"/>
            </w:pPr>
            <w:r>
              <w:rPr>
                <w:rFonts w:ascii="Courier New" w:cs="Courier New" w:eastAsia="Courier New" w:hAnsi="Courier New"/>
                <w:b/>
                <w:bCs/>
                <w:color w:val="1E3A5F"/>
                <w:sz w:val="22"/>
                <w:szCs w:val="22"/>
              </w:rPr>
              <w:t xml:space="preserve">APV  =  NPV(Project assuming all-equity financing)  +  NPV(Financing effects)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APV Component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It Captures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Base NPV — all equity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The value of the business or project as if it were funded entirely with equity: no debt tax shield, no distress costs. Discount at unlevered cost of equity (asset beta, not equity beta). This is the pure operating 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Interest tax shield value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The PV of all future debt tax shields. Estimated as T × D for perpetual debt. For declining debt, discount each year's tax shield at the cost of debt. This is why leverage creates value in the real world — governments subsidize debt financing through tax deductibility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Costs of financial distress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Subtract the PV of expected financial distress costs: direct costs (legal, restructuring, management distraction) and indirect costs (customers avoiding long-term commitments, suppliers requiring cash in advance, employees leaving for stable employers). These costs are larger than they appear — they begin before formal distress occurs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Other financing effects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Issue costs, subsidized financing, and any other cash flows specifically generated by the financing decision</w:t>
            </w:r>
          </w:p>
        </w:tc>
      </w:tr>
    </w:tbl>
    <w:p>
      <w:pPr>
        <w:spacing w:after="80" w:before="0"/>
      </w:pPr>
      <w:r>
        <w:t xml:space="preserve"/>
      </w:r>
    </w:p>
    <w:p>
      <w:pPr>
        <w:spacing w:after="80" w:before="200"/>
      </w:pPr>
      <w:r>
        <w:rPr>
          <w:rFonts w:ascii="Arial" w:cs="Arial" w:eastAsia="Arial" w:hAnsi="Arial"/>
          <w:b/>
          <w:bCs/>
          <w:color w:val="2E6DA4"/>
          <w:sz w:val="24"/>
          <w:szCs w:val="24"/>
        </w:rPr>
        <w:t xml:space="preserve">★ Economic vs Financial Distress — Bear Case Discipline (SFM)</w:t>
      </w:r>
    </w:p>
    <w:p>
      <w:pPr>
        <w:spacing w:after="60" w:before="80"/>
      </w:pPr>
      <w:r>
        <w:rPr>
          <w:rFonts w:ascii="Arial" w:cs="Arial" w:eastAsia="Arial" w:hAnsi="Arial"/>
          <w:b/>
          <w:bCs/>
          <w:color w:val="D4851A"/>
          <w:sz w:val="20"/>
          <w:szCs w:val="20"/>
        </w:rPr>
        <w:t xml:space="preserve">★ NEW: </w:t>
      </w:r>
      <w:r>
        <w:rPr>
          <w:rFonts w:ascii="Arial" w:cs="Arial" w:eastAsia="Arial" w:hAnsi="Arial"/>
          <w:i/>
          <w:iCs/>
          <w:color w:val="4A4A4A"/>
          <w:sz w:val="20"/>
          <w:szCs w:val="20"/>
        </w:rPr>
        <w:t xml:space="preserve">Integrated from SFM: bear cases must separate operating deterioration from leverage-amplified distress. Conflating them makes every highly-leveraged company look equally fragile.</w:t>
      </w:r>
    </w:p>
    <w:p>
      <w:pPr>
        <w:spacing w:after="80" w:before="60"/>
      </w:pPr>
      <w:r>
        <w:rPr>
          <w:rFonts w:ascii="Arial" w:cs="Arial" w:eastAsia="Arial" w:hAnsi="Arial"/>
          <w:color w:val="4A4A4A"/>
          <w:sz w:val="22"/>
          <w:szCs w:val="22"/>
        </w:rPr>
        <w:t xml:space="preserve">When building a bear case for a company with significant leverage, two fundamentally different mechanisms must be modeled separately: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Distress Type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Definition and Bear Case Treatment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Economic distress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 negative revenue or margin shock that would affect the company regardless of its capital structure. A recession that reduces consumer spending hits both a zero-debt company and a highly leveraged one equally in operating terms. This is captured by the standard bear case revenue and margin compression assumptions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Financial distress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The additional value destruction caused specifically by having high debt during the economic shock. When earnings fall, a leveraged company faces: covenant breaches triggering accelerated repayment, inability to invest in the business while competitors with clean balance sheets do, customer and supplier defection because counterparties fear bankruptcy, management time consumed by lender negotiations instead of the business. Model this as an additional WACC increase (+150 to +300bps) applied specifically to the levered bear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The distinction matters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 company with 0.5x Net Debt/EBITDA and a company with 4x Net Debt/EBITDA face the same economic distress in a recession. Only the second faces financial distress costs. A bear case that applies the same assumptions to both companies produces a systematically wrong comparison — it under-penalizes leverage and causes investors to accept more balance sheet risk than they intend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0"/>
            </w:pPr>
            <w:r>
              <w:rPr>
                <w:rFonts w:ascii="Arial" w:cs="Arial" w:eastAsia="Arial" w:hAnsi="Arial"/>
                <w:b/>
                <w:bCs/>
                <w:color w:val="1E3A5F"/>
                <w:sz w:val="20"/>
                <w:szCs w:val="20"/>
              </w:rPr>
              <w:t xml:space="preserve">When to Use APV vs WACC</w:t>
            </w:r>
          </w:p>
          <w:p>
            <w:pPr>
              <w:spacing w:after="0" w:before="0"/>
            </w:pPr>
            <w:r>
              <w:rPr>
                <w:rFonts w:ascii="Arial" w:cs="Arial" w:eastAsia="Arial" w:hAnsi="Arial"/>
                <w:color w:val="4A4A4A"/>
                <w:sz w:val="20"/>
                <w:szCs w:val="20"/>
              </w:rPr>
              <w:t xml:space="preserve">Use WACC when: leverage is stable and expected to remain so throughout the forecast period. Use APV when: the company is actively changing its capital structure (deleveraging, refinancing, LBO target), the tax shield value is large and variable, or you want to separately value operating performance from financing decisions. Both methods give the same answer when leverage is truly constant — APV is simply more transparent about what each component contributes.</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SECTION 4  ·  MOAT &amp; QUALITY SCREENING</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4.1  Unified Screening Framework — Graham + Lynch + Malkiel + Liberti</w:t>
      </w:r>
    </w:p>
    <w:p>
      <w:pPr>
        <w:spacing w:after="80" w:before="60"/>
      </w:pPr>
      <w:r>
        <w:rPr>
          <w:rFonts w:ascii="Arial" w:cs="Arial" w:eastAsia="Arial" w:hAnsi="Arial"/>
          <w:color w:val="4A4A4A"/>
          <w:sz w:val="22"/>
          <w:szCs w:val="22"/>
        </w:rPr>
        <w:t xml:space="preserve">Four schools unified into one decision table. Every metric traces to a named authority and a formula. Apply Liberti metric cleaning (Section 2.2) before calculating any denominator.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260"/>
        <w:gridCol w:w="2400"/>
        <w:gridCol w:w="2500"/>
      </w:tblGrid>
      <w:tr>
        <w:tc>
          <w:tcPr>
            <w:tcW w:type="dxa" w:w="1500"/>
            <w:tcBorders>
              <w:top w:val="single" w:color="CCCCCC" w:sz="1"/>
              <w:left w:val="single" w:color="CCCCCC" w:sz="1"/>
              <w:bottom w:val="single" w:color="CCCCCC" w:sz="1"/>
              <w:right w:val="single" w:color="CCCCCC" w:sz="1"/>
            </w:tcBorders>
            <w:shd w:fill="1B2A4A" w:val="clear"/>
            <w:tcMar>
              <w:top w:type="dxa" w:w="70"/>
              <w:left w:type="dxa" w:w="90"/>
              <w:bottom w:type="dxa" w:w="70"/>
              <w:right w:type="dxa" w:w="90"/>
            </w:tcMar>
          </w:tcPr>
          <w:p>
            <w:pPr>
              <w:jc w:val="center"/>
            </w:pPr>
            <w:r>
              <w:rPr>
                <w:rFonts w:ascii="Arial" w:cs="Arial" w:eastAsia="Arial" w:hAnsi="Arial"/>
                <w:b/>
                <w:bCs/>
                <w:color w:val="FFFFFF"/>
                <w:sz w:val="16"/>
                <w:szCs w:val="16"/>
              </w:rPr>
              <w:t xml:space="preserve">Category</w:t>
            </w:r>
          </w:p>
        </w:tc>
        <w:tc>
          <w:tcPr>
            <w:tcW w:type="dxa" w:w="1700"/>
            <w:tcBorders>
              <w:top w:val="single" w:color="CCCCCC" w:sz="1"/>
              <w:left w:val="single" w:color="CCCCCC" w:sz="1"/>
              <w:bottom w:val="single" w:color="CCCCCC" w:sz="1"/>
              <w:right w:val="single" w:color="CCCCCC" w:sz="1"/>
            </w:tcBorders>
            <w:shd w:fill="1B2A4A" w:val="clear"/>
            <w:tcMar>
              <w:top w:type="dxa" w:w="70"/>
              <w:left w:type="dxa" w:w="90"/>
              <w:bottom w:type="dxa" w:w="70"/>
              <w:right w:type="dxa" w:w="90"/>
            </w:tcMar>
          </w:tcPr>
          <w:p>
            <w:pPr>
              <w:jc w:val="center"/>
            </w:pPr>
            <w:r>
              <w:rPr>
                <w:rFonts w:ascii="Arial" w:cs="Arial" w:eastAsia="Arial" w:hAnsi="Arial"/>
                <w:b/>
                <w:bCs/>
                <w:color w:val="FFFFFF"/>
                <w:sz w:val="16"/>
                <w:szCs w:val="16"/>
              </w:rPr>
              <w:t xml:space="preserve">Metric</w:t>
            </w:r>
          </w:p>
        </w:tc>
        <w:tc>
          <w:tcPr>
            <w:tcW w:type="dxa" w:w="1260"/>
            <w:tcBorders>
              <w:top w:val="single" w:color="CCCCCC" w:sz="1"/>
              <w:left w:val="single" w:color="CCCCCC" w:sz="1"/>
              <w:bottom w:val="single" w:color="CCCCCC" w:sz="1"/>
              <w:right w:val="single" w:color="CCCCCC" w:sz="1"/>
            </w:tcBorders>
            <w:shd w:fill="1B2A4A" w:val="clear"/>
            <w:tcMar>
              <w:top w:type="dxa" w:w="70"/>
              <w:left w:type="dxa" w:w="90"/>
              <w:bottom w:type="dxa" w:w="70"/>
              <w:right w:type="dxa" w:w="90"/>
            </w:tcMar>
          </w:tcPr>
          <w:p>
            <w:pPr>
              <w:jc w:val="center"/>
            </w:pPr>
            <w:r>
              <w:rPr>
                <w:rFonts w:ascii="Arial" w:cs="Arial" w:eastAsia="Arial" w:hAnsi="Arial"/>
                <w:b/>
                <w:bCs/>
                <w:color w:val="FFFFFF"/>
                <w:sz w:val="16"/>
                <w:szCs w:val="16"/>
              </w:rPr>
              <w:t xml:space="preserve">Authority</w:t>
            </w:r>
          </w:p>
        </w:tc>
        <w:tc>
          <w:tcPr>
            <w:tcW w:type="dxa" w:w="2400"/>
            <w:tcBorders>
              <w:top w:val="single" w:color="CCCCCC" w:sz="1"/>
              <w:left w:val="single" w:color="CCCCCC" w:sz="1"/>
              <w:bottom w:val="single" w:color="CCCCCC" w:sz="1"/>
              <w:right w:val="single" w:color="CCCCCC" w:sz="1"/>
            </w:tcBorders>
            <w:shd w:fill="1B2A4A" w:val="clear"/>
            <w:tcMar>
              <w:top w:type="dxa" w:w="70"/>
              <w:left w:type="dxa" w:w="90"/>
              <w:bottom w:type="dxa" w:w="70"/>
              <w:right w:type="dxa" w:w="90"/>
            </w:tcMar>
          </w:tcPr>
          <w:p>
            <w:pPr>
              <w:jc w:val="center"/>
            </w:pPr>
            <w:r>
              <w:rPr>
                <w:rFonts w:ascii="Arial" w:cs="Arial" w:eastAsia="Arial" w:hAnsi="Arial"/>
                <w:b/>
                <w:bCs/>
                <w:color w:val="FFFFFF"/>
                <w:sz w:val="16"/>
                <w:szCs w:val="16"/>
              </w:rPr>
              <w:t xml:space="preserve">Formula</w:t>
            </w:r>
          </w:p>
        </w:tc>
        <w:tc>
          <w:tcPr>
            <w:tcW w:type="dxa" w:w="2500"/>
            <w:tcBorders>
              <w:top w:val="single" w:color="CCCCCC" w:sz="1"/>
              <w:left w:val="single" w:color="CCCCCC" w:sz="1"/>
              <w:bottom w:val="single" w:color="CCCCCC" w:sz="1"/>
              <w:right w:val="single" w:color="CCCCCC" w:sz="1"/>
            </w:tcBorders>
            <w:shd w:fill="1B2A4A" w:val="clear"/>
            <w:tcMar>
              <w:top w:type="dxa" w:w="70"/>
              <w:left w:type="dxa" w:w="90"/>
              <w:bottom w:type="dxa" w:w="70"/>
              <w:right w:type="dxa" w:w="90"/>
            </w:tcMar>
          </w:tcPr>
          <w:p>
            <w:pPr>
              <w:jc w:val="center"/>
            </w:pPr>
            <w:r>
              <w:rPr>
                <w:rFonts w:ascii="Arial" w:cs="Arial" w:eastAsia="Arial" w:hAnsi="Arial"/>
                <w:b/>
                <w:bCs/>
                <w:color w:val="FFFFFF"/>
                <w:sz w:val="16"/>
                <w:szCs w:val="16"/>
              </w:rPr>
              <w:t xml:space="preserve">Threshold / Signal</w:t>
            </w:r>
          </w:p>
        </w:tc>
      </w:tr>
      <w:tr>
        <w:tc>
          <w:tcPr>
            <w:tcW w:type="dxa" w:w="1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E3A5F"/>
                <w:sz w:val="15"/>
                <w:szCs w:val="15"/>
              </w:rPr>
              <w:t xml:space="preserve">Valuation</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P/E Ratio</w:t>
            </w:r>
          </w:p>
        </w:tc>
        <w:tc>
          <w:tcPr>
            <w:tcW w:type="dxa" w:w="12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6B5A"/>
                <w:sz w:val="15"/>
                <w:szCs w:val="15"/>
              </w:rPr>
              <w:t xml:space="preserve">Graham / Lynch / Malkiel</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Price ÷ EPS</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 15 (Graham); relative to sector (Lynch, Malkiel)</w:t>
            </w:r>
          </w:p>
        </w:tc>
      </w:tr>
      <w:tr>
        <w:tc>
          <w:tcPr>
            <w:tcW w:type="dxa" w:w="1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bCs/>
                <w:color w:val="1E3A5F"/>
                <w:sz w:val="15"/>
                <w:szCs w:val="15"/>
              </w:rPr>
              <w:t xml:space="preserve">Valuation</w:t>
            </w:r>
          </w:p>
        </w:tc>
        <w:tc>
          <w:tcPr>
            <w:tcW w:type="dxa" w:w="17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PEG Ratio</w:t>
            </w:r>
          </w:p>
        </w:tc>
        <w:tc>
          <w:tcPr>
            <w:tcW w:type="dxa" w:w="126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1A6B5A"/>
                <w:sz w:val="15"/>
                <w:szCs w:val="15"/>
              </w:rPr>
              <w:t xml:space="preserve">Lynch / Malkiel</w:t>
            </w:r>
          </w:p>
        </w:tc>
        <w:tc>
          <w:tcPr>
            <w:tcW w:type="dxa" w:w="24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P/E ÷ EPS Growth Rate</w:t>
            </w:r>
          </w:p>
        </w:tc>
        <w:tc>
          <w:tcPr>
            <w:tcW w:type="dxa" w:w="2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&lt; 1 = undervalued; &lt; 0.5 = strong buy signal</w:t>
            </w:r>
          </w:p>
        </w:tc>
      </w:tr>
      <w:tr>
        <w:tc>
          <w:tcPr>
            <w:tcW w:type="dxa" w:w="1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E3A5F"/>
                <w:sz w:val="15"/>
                <w:szCs w:val="15"/>
              </w:rPr>
              <w:t xml:space="preserve">Valuation</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P/B Ratio</w:t>
            </w:r>
          </w:p>
        </w:tc>
        <w:tc>
          <w:tcPr>
            <w:tcW w:type="dxa" w:w="12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6B5A"/>
                <w:sz w:val="15"/>
                <w:szCs w:val="15"/>
              </w:rPr>
              <w:t xml:space="preserve">Graham / Malkiel</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Price ÷ Book Value per Share</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 1.5 (Graham); lower than peers (Malkiel)</w:t>
            </w:r>
          </w:p>
        </w:tc>
      </w:tr>
      <w:tr>
        <w:tc>
          <w:tcPr>
            <w:tcW w:type="dxa" w:w="1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bCs/>
                <w:color w:val="1E3A5F"/>
                <w:sz w:val="15"/>
                <w:szCs w:val="15"/>
              </w:rPr>
              <w:t xml:space="preserve">Valuation</w:t>
            </w:r>
          </w:p>
        </w:tc>
        <w:tc>
          <w:tcPr>
            <w:tcW w:type="dxa" w:w="17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EV/EBITDA (clean)</w:t>
            </w:r>
          </w:p>
        </w:tc>
        <w:tc>
          <w:tcPr>
            <w:tcW w:type="dxa" w:w="126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1A6B5A"/>
                <w:sz w:val="15"/>
                <w:szCs w:val="15"/>
              </w:rPr>
              <w:t xml:space="preserve">Liberti</w:t>
            </w:r>
          </w:p>
        </w:tc>
        <w:tc>
          <w:tcPr>
            <w:tcW w:type="dxa" w:w="24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Core EV ÷ Normalized EBITDA</w:t>
            </w:r>
          </w:p>
        </w:tc>
        <w:tc>
          <w:tcPr>
            <w:tcW w:type="dxa" w:w="2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Justify via ROIC-WACC spread; compare to sector comps</w:t>
            </w:r>
          </w:p>
        </w:tc>
      </w:tr>
      <w:tr>
        <w:tc>
          <w:tcPr>
            <w:tcW w:type="dxa" w:w="1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E3A5F"/>
                <w:sz w:val="15"/>
                <w:szCs w:val="15"/>
              </w:rPr>
              <w:t xml:space="preserve">Valuation</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EV/EBIT (normalized)</w:t>
            </w:r>
          </w:p>
        </w:tc>
        <w:tc>
          <w:tcPr>
            <w:tcW w:type="dxa" w:w="12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6B5A"/>
                <w:sz w:val="15"/>
                <w:szCs w:val="15"/>
              </w:rPr>
              <w:t xml:space="preserve">Liberti</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Core EV ÷ Normalized EBIT</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Use where capex intensity differs across peers</w:t>
            </w:r>
          </w:p>
        </w:tc>
      </w:tr>
      <w:tr>
        <w:tc>
          <w:tcPr>
            <w:tcW w:type="dxa" w:w="1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bCs/>
                <w:color w:val="1E3A5F"/>
                <w:sz w:val="15"/>
                <w:szCs w:val="15"/>
              </w:rPr>
              <w:t xml:space="preserve">Valuation</w:t>
            </w:r>
          </w:p>
        </w:tc>
        <w:tc>
          <w:tcPr>
            <w:tcW w:type="dxa" w:w="17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EV/FCF</w:t>
            </w:r>
          </w:p>
        </w:tc>
        <w:tc>
          <w:tcPr>
            <w:tcW w:type="dxa" w:w="126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1A6B5A"/>
                <w:sz w:val="15"/>
                <w:szCs w:val="15"/>
              </w:rPr>
              <w:t xml:space="preserve">Liberti / Lynch</w:t>
            </w:r>
          </w:p>
        </w:tc>
        <w:tc>
          <w:tcPr>
            <w:tcW w:type="dxa" w:w="24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Core EV ÷ Enterprise FCF</w:t>
            </w:r>
          </w:p>
        </w:tc>
        <w:tc>
          <w:tcPr>
            <w:tcW w:type="dxa" w:w="2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Preferred for capital-light compounders; &lt; 25x entry</w:t>
            </w:r>
          </w:p>
        </w:tc>
      </w:tr>
      <w:tr>
        <w:tc>
          <w:tcPr>
            <w:tcW w:type="dxa" w:w="1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E3A5F"/>
                <w:sz w:val="15"/>
                <w:szCs w:val="15"/>
              </w:rPr>
              <w:t xml:space="preserve">Valuation</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Margin of Safety</w:t>
            </w:r>
          </w:p>
        </w:tc>
        <w:tc>
          <w:tcPr>
            <w:tcW w:type="dxa" w:w="12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6B5A"/>
                <w:sz w:val="15"/>
                <w:szCs w:val="15"/>
              </w:rPr>
              <w:t xml:space="preserve">Graham</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(Intrinsic Value − Price) ÷ Intrinsic Value</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Buy at &lt; 65–85% of DCF intrinsic value estimate</w:t>
            </w:r>
          </w:p>
        </w:tc>
      </w:tr>
      <w:tr>
        <w:tc>
          <w:tcPr>
            <w:tcW w:type="dxa" w:w="1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bCs/>
                <w:color w:val="1E3A5F"/>
                <w:sz w:val="15"/>
                <w:szCs w:val="15"/>
              </w:rPr>
              <w:t xml:space="preserve">Valuation</w:t>
            </w:r>
          </w:p>
        </w:tc>
        <w:tc>
          <w:tcPr>
            <w:tcW w:type="dxa" w:w="17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Implied DCF Multiple</w:t>
            </w:r>
          </w:p>
        </w:tc>
        <w:tc>
          <w:tcPr>
            <w:tcW w:type="dxa" w:w="126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1A6B5A"/>
                <w:sz w:val="15"/>
                <w:szCs w:val="15"/>
              </w:rPr>
              <w:t xml:space="preserve">Liberti</w:t>
            </w:r>
          </w:p>
        </w:tc>
        <w:tc>
          <w:tcPr>
            <w:tcW w:type="dxa" w:w="24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DCF Enterprise Value ÷ Forward EBITDA</w:t>
            </w:r>
          </w:p>
        </w:tc>
        <w:tc>
          <w:tcPr>
            <w:tcW w:type="dxa" w:w="2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TV multiple should decline as business matures</w:t>
            </w:r>
          </w:p>
        </w:tc>
      </w:tr>
      <w:tr>
        <w:tc>
          <w:tcPr>
            <w:tcW w:type="dxa" w:w="1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E3A5F"/>
                <w:sz w:val="15"/>
                <w:szCs w:val="15"/>
              </w:rPr>
              <w:t xml:space="preserve">Growth</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Revenue CAGR (5-10yr)</w:t>
            </w:r>
          </w:p>
        </w:tc>
        <w:tc>
          <w:tcPr>
            <w:tcW w:type="dxa" w:w="12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6B5A"/>
                <w:sz w:val="15"/>
                <w:szCs w:val="15"/>
              </w:rPr>
              <w:t xml:space="preserve">Lynch / Malkiel</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(Rev_end ÷ Rev_start)^(1/n) − 1</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&gt; 10–20% depending on sector and TAM remaining</w:t>
            </w:r>
          </w:p>
        </w:tc>
      </w:tr>
      <w:tr>
        <w:tc>
          <w:tcPr>
            <w:tcW w:type="dxa" w:w="1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bCs/>
                <w:color w:val="1E3A5F"/>
                <w:sz w:val="15"/>
                <w:szCs w:val="15"/>
              </w:rPr>
              <w:t xml:space="preserve">Growth</w:t>
            </w:r>
          </w:p>
        </w:tc>
        <w:tc>
          <w:tcPr>
            <w:tcW w:type="dxa" w:w="17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EPS Growth Rate</w:t>
            </w:r>
          </w:p>
        </w:tc>
        <w:tc>
          <w:tcPr>
            <w:tcW w:type="dxa" w:w="126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1A6B5A"/>
                <w:sz w:val="15"/>
                <w:szCs w:val="15"/>
              </w:rPr>
              <w:t xml:space="preserve">Graham / Lynch / Malkiel</w:t>
            </w:r>
          </w:p>
        </w:tc>
        <w:tc>
          <w:tcPr>
            <w:tcW w:type="dxa" w:w="24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(EPS_end ÷ EPS_start)^(1/Years) − 1</w:t>
            </w:r>
          </w:p>
        </w:tc>
        <w:tc>
          <w:tcPr>
            <w:tcW w:type="dxa" w:w="2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 33% over 10 yrs (Graham); 10–20% annually (Lynch)</w:t>
            </w:r>
          </w:p>
        </w:tc>
      </w:tr>
      <w:tr>
        <w:tc>
          <w:tcPr>
            <w:tcW w:type="dxa" w:w="1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E3A5F"/>
                <w:sz w:val="15"/>
                <w:szCs w:val="15"/>
              </w:rPr>
              <w:t xml:space="preserve">Growth</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EPS Stability (10yr+)</w:t>
            </w:r>
          </w:p>
        </w:tc>
        <w:tc>
          <w:tcPr>
            <w:tcW w:type="dxa" w:w="12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6B5A"/>
                <w:sz w:val="15"/>
                <w:szCs w:val="15"/>
              </w:rPr>
              <w:t xml:space="preserve">Graham</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Positive EPS each year for ≥ 10 years</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Zero tolerance for negative EPS years in core positions</w:t>
            </w:r>
          </w:p>
        </w:tc>
      </w:tr>
      <w:tr>
        <w:tc>
          <w:tcPr>
            <w:tcW w:type="dxa" w:w="1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bCs/>
                <w:color w:val="1E3A5F"/>
                <w:sz w:val="15"/>
                <w:szCs w:val="15"/>
              </w:rPr>
              <w:t xml:space="preserve">Growth</w:t>
            </w:r>
          </w:p>
        </w:tc>
        <w:tc>
          <w:tcPr>
            <w:tcW w:type="dxa" w:w="17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EPS Leverage Signal</w:t>
            </w:r>
          </w:p>
        </w:tc>
        <w:tc>
          <w:tcPr>
            <w:tcW w:type="dxa" w:w="126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1A6B5A"/>
                <w:sz w:val="15"/>
                <w:szCs w:val="15"/>
              </w:rPr>
              <w:t xml:space="preserve">Framework</w:t>
            </w:r>
          </w:p>
        </w:tc>
        <w:tc>
          <w:tcPr>
            <w:tcW w:type="dxa" w:w="24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EPS CAGR − Revenue CAGR</w:t>
            </w:r>
          </w:p>
        </w:tc>
        <w:tc>
          <w:tcPr>
            <w:tcW w:type="dxa" w:w="2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Positive = profit leverage; Negative = profitless enthusiasm</w:t>
            </w:r>
          </w:p>
        </w:tc>
      </w:tr>
      <w:tr>
        <w:tc>
          <w:tcPr>
            <w:tcW w:type="dxa" w:w="1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E3A5F"/>
                <w:sz w:val="15"/>
                <w:szCs w:val="15"/>
              </w:rPr>
              <w:t xml:space="preserve">Growth</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Cash Flow Growth (5yr)</w:t>
            </w:r>
          </w:p>
        </w:tc>
        <w:tc>
          <w:tcPr>
            <w:tcW w:type="dxa" w:w="12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6B5A"/>
                <w:sz w:val="15"/>
                <w:szCs w:val="15"/>
              </w:rPr>
              <w:t xml:space="preserve">Lynch / Malkiel</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(FCF_end ÷ FCF_start)^(1/5) − 1</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Consistently positive; growing faster than revenue preferred</w:t>
            </w:r>
          </w:p>
        </w:tc>
      </w:tr>
      <w:tr>
        <w:tc>
          <w:tcPr>
            <w:tcW w:type="dxa" w:w="1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bCs/>
                <w:color w:val="1E3A5F"/>
                <w:sz w:val="15"/>
                <w:szCs w:val="15"/>
              </w:rPr>
              <w:t xml:space="preserve">Profitability</w:t>
            </w:r>
          </w:p>
        </w:tc>
        <w:tc>
          <w:tcPr>
            <w:tcW w:type="dxa" w:w="17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ROE</w:t>
            </w:r>
          </w:p>
        </w:tc>
        <w:tc>
          <w:tcPr>
            <w:tcW w:type="dxa" w:w="126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1A6B5A"/>
                <w:sz w:val="15"/>
                <w:szCs w:val="15"/>
              </w:rPr>
              <w:t xml:space="preserve">Lynch (implicit)</w:t>
            </w:r>
          </w:p>
        </w:tc>
        <w:tc>
          <w:tcPr>
            <w:tcW w:type="dxa" w:w="24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Net Income ÷ Shareholders Equity</w:t>
            </w:r>
          </w:p>
        </w:tc>
        <w:tc>
          <w:tcPr>
            <w:tcW w:type="dxa" w:w="2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 15% sustained across full cycle</w:t>
            </w:r>
          </w:p>
        </w:tc>
      </w:tr>
      <w:tr>
        <w:tc>
          <w:tcPr>
            <w:tcW w:type="dxa" w:w="1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E3A5F"/>
                <w:sz w:val="15"/>
                <w:szCs w:val="15"/>
              </w:rPr>
              <w:t xml:space="preserve">Profitability</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ROIC vs WACC</w:t>
            </w:r>
          </w:p>
        </w:tc>
        <w:tc>
          <w:tcPr>
            <w:tcW w:type="dxa" w:w="12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6B5A"/>
                <w:sz w:val="15"/>
                <w:szCs w:val="15"/>
              </w:rPr>
              <w:t xml:space="preserve">Liberti / Framework</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NOPAT ÷ Invested Capital vs WACC</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ROIC &gt; WACC = value creation; gap drives multiple premium</w:t>
            </w:r>
          </w:p>
        </w:tc>
      </w:tr>
      <w:tr>
        <w:tc>
          <w:tcPr>
            <w:tcW w:type="dxa" w:w="1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bCs/>
                <w:color w:val="1E3A5F"/>
                <w:sz w:val="15"/>
                <w:szCs w:val="15"/>
              </w:rPr>
              <w:t xml:space="preserve">Profitability</w:t>
            </w:r>
          </w:p>
        </w:tc>
        <w:tc>
          <w:tcPr>
            <w:tcW w:type="dxa" w:w="17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Gross Margin</w:t>
            </w:r>
          </w:p>
        </w:tc>
        <w:tc>
          <w:tcPr>
            <w:tcW w:type="dxa" w:w="126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1A6B5A"/>
                <w:sz w:val="15"/>
                <w:szCs w:val="15"/>
              </w:rPr>
              <w:t xml:space="preserve">Framework</w:t>
            </w:r>
          </w:p>
        </w:tc>
        <w:tc>
          <w:tcPr>
            <w:tcW w:type="dxa" w:w="24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Gross Profit ÷ Revenue</w:t>
            </w:r>
          </w:p>
        </w:tc>
        <w:tc>
          <w:tcPr>
            <w:tcW w:type="dxa" w:w="2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Software &gt; 60–70%; Healthcare &gt; 40%; Infra &gt; 35%</w:t>
            </w:r>
          </w:p>
        </w:tc>
      </w:tr>
      <w:tr>
        <w:tc>
          <w:tcPr>
            <w:tcW w:type="dxa" w:w="1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E3A5F"/>
                <w:sz w:val="15"/>
                <w:szCs w:val="15"/>
              </w:rPr>
              <w:t xml:space="preserve">Profitability</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Operating Margin Trend</w:t>
            </w:r>
          </w:p>
        </w:tc>
        <w:tc>
          <w:tcPr>
            <w:tcW w:type="dxa" w:w="12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6B5A"/>
                <w:sz w:val="15"/>
                <w:szCs w:val="15"/>
              </w:rPr>
              <w:t xml:space="preserve">Lynch</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Net Profit ÷ Revenue (tracked over time)</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Positive slope 6–8+ consecutive quarters</w:t>
            </w:r>
          </w:p>
        </w:tc>
      </w:tr>
      <w:tr>
        <w:tc>
          <w:tcPr>
            <w:tcW w:type="dxa" w:w="1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bCs/>
                <w:color w:val="1E3A5F"/>
                <w:sz w:val="15"/>
                <w:szCs w:val="15"/>
              </w:rPr>
              <w:t xml:space="preserve">Profitability</w:t>
            </w:r>
          </w:p>
        </w:tc>
        <w:tc>
          <w:tcPr>
            <w:tcW w:type="dxa" w:w="17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EBITDA Cash Conversion</w:t>
            </w:r>
          </w:p>
        </w:tc>
        <w:tc>
          <w:tcPr>
            <w:tcW w:type="dxa" w:w="126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1A6B5A"/>
                <w:sz w:val="15"/>
                <w:szCs w:val="15"/>
              </w:rPr>
              <w:t xml:space="preserve">Liberti</w:t>
            </w:r>
          </w:p>
        </w:tc>
        <w:tc>
          <w:tcPr>
            <w:tcW w:type="dxa" w:w="24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NOPAT × (1 − g/ROIC) ÷ EBITDA</w:t>
            </w:r>
          </w:p>
        </w:tc>
        <w:tc>
          <w:tcPr>
            <w:tcW w:type="dxa" w:w="2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Higher = better; captures reinvestment drag on FCF</w:t>
            </w:r>
          </w:p>
        </w:tc>
      </w:tr>
      <w:tr>
        <w:tc>
          <w:tcPr>
            <w:tcW w:type="dxa" w:w="1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E3A5F"/>
                <w:sz w:val="15"/>
                <w:szCs w:val="15"/>
              </w:rPr>
              <w:t xml:space="preserve">Balance Sheet</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Debt-to-Equity</w:t>
            </w:r>
          </w:p>
        </w:tc>
        <w:tc>
          <w:tcPr>
            <w:tcW w:type="dxa" w:w="12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6B5A"/>
                <w:sz w:val="15"/>
                <w:szCs w:val="15"/>
              </w:rPr>
              <w:t xml:space="preserve">Graham / Lynch / Malkiel</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Total Debt ÷ Shareholders Equity</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&lt; 1 preferred; Software 0–40%; Infra 20–90%</w:t>
            </w:r>
          </w:p>
        </w:tc>
      </w:tr>
      <w:tr>
        <w:tc>
          <w:tcPr>
            <w:tcW w:type="dxa" w:w="1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bCs/>
                <w:color w:val="1E3A5F"/>
                <w:sz w:val="15"/>
                <w:szCs w:val="15"/>
              </w:rPr>
              <w:t xml:space="preserve">Balance Sheet</w:t>
            </w:r>
          </w:p>
        </w:tc>
        <w:tc>
          <w:tcPr>
            <w:tcW w:type="dxa" w:w="17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Interest Coverage</w:t>
            </w:r>
          </w:p>
        </w:tc>
        <w:tc>
          <w:tcPr>
            <w:tcW w:type="dxa" w:w="126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1A6B5A"/>
                <w:sz w:val="15"/>
                <w:szCs w:val="15"/>
              </w:rPr>
              <w:t xml:space="preserve">Graham</w:t>
            </w:r>
          </w:p>
        </w:tc>
        <w:tc>
          <w:tcPr>
            <w:tcW w:type="dxa" w:w="24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EBIT ÷ Interest Expense</w:t>
            </w:r>
          </w:p>
        </w:tc>
        <w:tc>
          <w:tcPr>
            <w:tcW w:type="dxa" w:w="2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 5 (Graham); ≥ 4–7x minimum (Framework)</w:t>
            </w:r>
          </w:p>
        </w:tc>
      </w:tr>
      <w:tr>
        <w:tc>
          <w:tcPr>
            <w:tcW w:type="dxa" w:w="1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E3A5F"/>
                <w:sz w:val="15"/>
                <w:szCs w:val="15"/>
              </w:rPr>
              <w:t xml:space="preserve">Balance Sheet</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Current Ratio</w:t>
            </w:r>
          </w:p>
        </w:tc>
        <w:tc>
          <w:tcPr>
            <w:tcW w:type="dxa" w:w="12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6B5A"/>
                <w:sz w:val="15"/>
                <w:szCs w:val="15"/>
              </w:rPr>
              <w:t xml:space="preserve">Graham</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Current Assets ÷ Current Liabilities</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 2 (Graham); ≥ 1.5 for capital-light businesses</w:t>
            </w:r>
          </w:p>
        </w:tc>
      </w:tr>
      <w:tr>
        <w:tc>
          <w:tcPr>
            <w:tcW w:type="dxa" w:w="1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bCs/>
                <w:color w:val="1E3A5F"/>
                <w:sz w:val="15"/>
                <w:szCs w:val="15"/>
              </w:rPr>
              <w:t xml:space="preserve">Balance Sheet</w:t>
            </w:r>
          </w:p>
        </w:tc>
        <w:tc>
          <w:tcPr>
            <w:tcW w:type="dxa" w:w="17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Debt Maturity Risk</w:t>
            </w:r>
          </w:p>
        </w:tc>
        <w:tc>
          <w:tcPr>
            <w:tcW w:type="dxa" w:w="126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1A6B5A"/>
                <w:sz w:val="15"/>
                <w:szCs w:val="15"/>
              </w:rPr>
              <w:t xml:space="preserve">Framework</w:t>
            </w:r>
          </w:p>
        </w:tc>
        <w:tc>
          <w:tcPr>
            <w:tcW w:type="dxa" w:w="24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 of debt maturing within 12 months</w:t>
            </w:r>
          </w:p>
        </w:tc>
        <w:tc>
          <w:tcPr>
            <w:tcW w:type="dxa" w:w="2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&lt; 40% without confirmed refinancing plan</w:t>
            </w:r>
          </w:p>
        </w:tc>
      </w:tr>
      <w:tr>
        <w:tc>
          <w:tcPr>
            <w:tcW w:type="dxa" w:w="1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E3A5F"/>
                <w:sz w:val="15"/>
                <w:szCs w:val="15"/>
              </w:rPr>
              <w:t xml:space="preserve">Balance Sheet</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Net Debt / EBITDA</w:t>
            </w:r>
          </w:p>
        </w:tc>
        <w:tc>
          <w:tcPr>
            <w:tcW w:type="dxa" w:w="12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6B5A"/>
                <w:sz w:val="15"/>
                <w:szCs w:val="15"/>
              </w:rPr>
              <w:t xml:space="preserve">Liberti</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Net Debt ÷ Clean EBITDA</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&lt; 2x preferred; &lt; 3x acceptable; &gt; 4x = flag</w:t>
            </w:r>
          </w:p>
        </w:tc>
      </w:tr>
      <w:tr>
        <w:tc>
          <w:tcPr>
            <w:tcW w:type="dxa" w:w="1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bCs/>
                <w:color w:val="1E3A5F"/>
                <w:sz w:val="15"/>
                <w:szCs w:val="15"/>
              </w:rPr>
              <w:t xml:space="preserve">Cash &amp; Capital</w:t>
            </w:r>
          </w:p>
        </w:tc>
        <w:tc>
          <w:tcPr>
            <w:tcW w:type="dxa" w:w="17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FCF Margin</w:t>
            </w:r>
          </w:p>
        </w:tc>
        <w:tc>
          <w:tcPr>
            <w:tcW w:type="dxa" w:w="126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1A6B5A"/>
                <w:sz w:val="15"/>
                <w:szCs w:val="15"/>
              </w:rPr>
              <w:t xml:space="preserve">Lynch / Malkiel</w:t>
            </w:r>
          </w:p>
        </w:tc>
        <w:tc>
          <w:tcPr>
            <w:tcW w:type="dxa" w:w="24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(Operating CF − Capex) ÷ Revenue</w:t>
            </w:r>
          </w:p>
        </w:tc>
        <w:tc>
          <w:tcPr>
            <w:tcW w:type="dxa" w:w="2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 15%; growing over time</w:t>
            </w:r>
          </w:p>
        </w:tc>
      </w:tr>
      <w:tr>
        <w:tc>
          <w:tcPr>
            <w:tcW w:type="dxa" w:w="1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E3A5F"/>
                <w:sz w:val="15"/>
                <w:szCs w:val="15"/>
              </w:rPr>
              <w:t xml:space="preserve">Cash &amp; Capital</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SBC as % of FCF</w:t>
            </w:r>
          </w:p>
        </w:tc>
        <w:tc>
          <w:tcPr>
            <w:tcW w:type="dxa" w:w="12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6B5A"/>
                <w:sz w:val="15"/>
                <w:szCs w:val="15"/>
              </w:rPr>
              <w:t xml:space="preserve">Framework</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Stock-Based Compensation ÷ FCF</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&lt; 5% acceptable; &gt; 10% = quiet dilution, investigate</w:t>
            </w:r>
          </w:p>
        </w:tc>
      </w:tr>
      <w:tr>
        <w:tc>
          <w:tcPr>
            <w:tcW w:type="dxa" w:w="1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bCs/>
                <w:color w:val="1E3A5F"/>
                <w:sz w:val="15"/>
                <w:szCs w:val="15"/>
              </w:rPr>
              <w:t xml:space="preserve">Cash &amp; Capital</w:t>
            </w:r>
          </w:p>
        </w:tc>
        <w:tc>
          <w:tcPr>
            <w:tcW w:type="dxa" w:w="17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Capex Discipline</w:t>
            </w:r>
          </w:p>
        </w:tc>
        <w:tc>
          <w:tcPr>
            <w:tcW w:type="dxa" w:w="126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1A6B5A"/>
                <w:sz w:val="15"/>
                <w:szCs w:val="15"/>
              </w:rPr>
              <w:t xml:space="preserve">Framework</w:t>
            </w:r>
          </w:p>
        </w:tc>
        <w:tc>
          <w:tcPr>
            <w:tcW w:type="dxa" w:w="24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Capex trend vs operating leverage trend</w:t>
            </w:r>
          </w:p>
        </w:tc>
        <w:tc>
          <w:tcPr>
            <w:tcW w:type="dxa" w:w="2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Spiky capex OK if secular demand + leverage follows</w:t>
            </w:r>
          </w:p>
        </w:tc>
      </w:tr>
      <w:tr>
        <w:tc>
          <w:tcPr>
            <w:tcW w:type="dxa" w:w="1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E3A5F"/>
                <w:sz w:val="15"/>
                <w:szCs w:val="15"/>
              </w:rPr>
              <w:t xml:space="preserve">Cash &amp; Capital</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Buyback Quality</w:t>
            </w:r>
          </w:p>
        </w:tc>
        <w:tc>
          <w:tcPr>
            <w:tcW w:type="dxa" w:w="12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6B5A"/>
                <w:sz w:val="15"/>
                <w:szCs w:val="15"/>
              </w:rPr>
              <w:t xml:space="preserve">Framework</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Buyback timing vs DCF intrinsic value</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Below intrinsic value = accretive; above = ego signal</w:t>
            </w:r>
          </w:p>
        </w:tc>
      </w:tr>
      <w:tr>
        <w:tc>
          <w:tcPr>
            <w:tcW w:type="dxa" w:w="1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bCs/>
                <w:color w:val="1E3A5F"/>
                <w:sz w:val="15"/>
                <w:szCs w:val="15"/>
              </w:rPr>
              <w:t xml:space="preserve">Shareholder Returns</w:t>
            </w:r>
          </w:p>
        </w:tc>
        <w:tc>
          <w:tcPr>
            <w:tcW w:type="dxa" w:w="17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Dividend Yield</w:t>
            </w:r>
          </w:p>
        </w:tc>
        <w:tc>
          <w:tcPr>
            <w:tcW w:type="dxa" w:w="126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1A6B5A"/>
                <w:sz w:val="15"/>
                <w:szCs w:val="15"/>
              </w:rPr>
              <w:t xml:space="preserve">Graham / Malkiel / Lynch</w:t>
            </w:r>
          </w:p>
        </w:tc>
        <w:tc>
          <w:tcPr>
            <w:tcW w:type="dxa" w:w="24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Annual Dividend ÷ Price per Share</w:t>
            </w:r>
          </w:p>
        </w:tc>
        <w:tc>
          <w:tcPr>
            <w:tcW w:type="dxa" w:w="2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 2% sustainable; very high yield = distress signal</w:t>
            </w:r>
          </w:p>
        </w:tc>
      </w:tr>
      <w:tr>
        <w:tc>
          <w:tcPr>
            <w:tcW w:type="dxa" w:w="1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E3A5F"/>
                <w:sz w:val="15"/>
                <w:szCs w:val="15"/>
              </w:rPr>
              <w:t xml:space="preserve">Shareholder Returns</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Dividend Record (20yr+)</w:t>
            </w:r>
          </w:p>
        </w:tc>
        <w:tc>
          <w:tcPr>
            <w:tcW w:type="dxa" w:w="12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6B5A"/>
                <w:sz w:val="15"/>
                <w:szCs w:val="15"/>
              </w:rPr>
              <w:t xml:space="preserve">Graham</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Uninterrupted dividend history</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 20 years uninterrupted (Graham safety screen)</w:t>
            </w:r>
          </w:p>
        </w:tc>
      </w:tr>
      <w:tr>
        <w:tc>
          <w:tcPr>
            <w:tcW w:type="dxa" w:w="1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bCs/>
                <w:color w:val="1E3A5F"/>
                <w:sz w:val="15"/>
                <w:szCs w:val="15"/>
              </w:rPr>
              <w:t xml:space="preserve">Size &amp; Context</w:t>
            </w:r>
          </w:p>
        </w:tc>
        <w:tc>
          <w:tcPr>
            <w:tcW w:type="dxa" w:w="17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EV (Billions)</w:t>
            </w:r>
          </w:p>
        </w:tc>
        <w:tc>
          <w:tcPr>
            <w:tcW w:type="dxa" w:w="126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1A6B5A"/>
                <w:sz w:val="15"/>
                <w:szCs w:val="15"/>
              </w:rPr>
              <w:t xml:space="preserve">Liberti</w:t>
            </w:r>
          </w:p>
        </w:tc>
        <w:tc>
          <w:tcPr>
            <w:tcW w:type="dxa" w:w="24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Mkt Cap + Net Debt + NCI − Cash</w:t>
            </w:r>
          </w:p>
        </w:tc>
        <w:tc>
          <w:tcPr>
            <w:tcW w:type="dxa" w:w="2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Context for liquidity, index inclusion, institutional ownership</w:t>
            </w:r>
          </w:p>
        </w:tc>
      </w:tr>
      <w:tr>
        <w:tc>
          <w:tcPr>
            <w:tcW w:type="dxa" w:w="1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E3A5F"/>
                <w:sz w:val="15"/>
                <w:szCs w:val="15"/>
              </w:rPr>
              <w:t xml:space="preserve">Size &amp; Context</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EBITDA (Billions)</w:t>
            </w:r>
          </w:p>
        </w:tc>
        <w:tc>
          <w:tcPr>
            <w:tcW w:type="dxa" w:w="12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6B5A"/>
                <w:sz w:val="15"/>
                <w:szCs w:val="15"/>
              </w:rPr>
              <w:t xml:space="preserve">Liberti</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Clean normalized EBITDA</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Absolute size context for EV/EBITDA calibration</w:t>
            </w:r>
          </w:p>
        </w:tc>
      </w:tr>
      <w:tr>
        <w:tc>
          <w:tcPr>
            <w:tcW w:type="dxa" w:w="1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bCs/>
                <w:color w:val="1E3A5F"/>
                <w:sz w:val="15"/>
                <w:szCs w:val="15"/>
              </w:rPr>
              <w:t xml:space="preserve">Size &amp; Context</w:t>
            </w:r>
          </w:p>
        </w:tc>
        <w:tc>
          <w:tcPr>
            <w:tcW w:type="dxa" w:w="17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Market Cap (Billions)</w:t>
            </w:r>
          </w:p>
        </w:tc>
        <w:tc>
          <w:tcPr>
            <w:tcW w:type="dxa" w:w="126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1A6B5A"/>
                <w:sz w:val="15"/>
                <w:szCs w:val="15"/>
              </w:rPr>
              <w:t xml:space="preserve">Liberti</w:t>
            </w:r>
          </w:p>
        </w:tc>
        <w:tc>
          <w:tcPr>
            <w:tcW w:type="dxa" w:w="24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Share Price × Shares Outstanding</w:t>
            </w:r>
          </w:p>
        </w:tc>
        <w:tc>
          <w:tcPr>
            <w:tcW w:type="dxa" w:w="2500"/>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r>
              <w:rPr>
                <w:rFonts w:ascii="Arial" w:cs="Arial" w:eastAsia="Arial" w:hAnsi="Arial"/>
                <w:b w:val="false"/>
                <w:bCs w:val="false"/>
                <w:color w:val="4A4A4A"/>
                <w:sz w:val="15"/>
                <w:szCs w:val="15"/>
              </w:rPr>
              <w:t xml:space="preserve">Affects risk premium, liquidity, volatility profile</w:t>
            </w:r>
          </w:p>
        </w:tc>
      </w:tr>
      <w:tr>
        <w:tc>
          <w:tcPr>
            <w:tcW w:type="dxa" w:w="1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E3A5F"/>
                <w:sz w:val="15"/>
                <w:szCs w:val="15"/>
              </w:rPr>
              <w:t xml:space="preserve">Size &amp; Context</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Market Classification</w:t>
            </w:r>
          </w:p>
        </w:tc>
        <w:tc>
          <w:tcPr>
            <w:tcW w:type="dxa" w:w="12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6B5A"/>
                <w:sz w:val="15"/>
                <w:szCs w:val="15"/>
              </w:rPr>
              <w:t xml:space="preserve">Lynch</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Growth / Defensive / Cyclical / Turnaround</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4A4A4A"/>
                <w:sz w:val="15"/>
                <w:szCs w:val="15"/>
              </w:rPr>
              <w:t xml:space="preserve">Sets framework: growth→PEG; defensive→yield; cyclical→timing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EE" w:val="clear"/>
            <w:tcMar>
              <w:top w:type="dxa" w:w="160"/>
              <w:left w:type="dxa" w:w="200"/>
              <w:bottom w:type="dxa" w:w="160"/>
              <w:right w:type="dxa" w:w="200"/>
            </w:tcMar>
          </w:tcPr>
          <w:p>
            <w:pPr>
              <w:spacing w:after="60" w:before="0"/>
            </w:pPr>
            <w:r>
              <w:rPr>
                <w:rFonts w:ascii="Arial" w:cs="Arial" w:eastAsia="Arial" w:hAnsi="Arial"/>
                <w:b/>
                <w:bCs/>
                <w:color w:val="1A6B5A"/>
                <w:sz w:val="20"/>
                <w:szCs w:val="20"/>
              </w:rPr>
              <w:t xml:space="preserve">How to Read This Table</w:t>
            </w:r>
          </w:p>
          <w:p>
            <w:pPr>
              <w:spacing w:after="0" w:before="0"/>
            </w:pPr>
            <w:r>
              <w:rPr>
                <w:rFonts w:ascii="Arial" w:cs="Arial" w:eastAsia="Arial" w:hAnsi="Arial"/>
                <w:color w:val="4A4A4A"/>
                <w:sz w:val="20"/>
                <w:szCs w:val="20"/>
              </w:rPr>
              <w:t xml:space="preserve">Authority: Graham = value/safety, Lynch = growth at reasonable price, Malkiel = market-aware, Liberti = institutional EV science. Formula: apply ONLY to Liberti-cleaned numbers (Section 2.2 first). Threshold: a starting gate, not a finish line. Passing all thresholds still requires moat assessment, DCF validation, and equity bridge construction.</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4.2  Moat Assessment — Helmer's 7 Powers Framework</w:t>
      </w:r>
    </w:p>
    <w:p>
      <w:pPr>
        <w:spacing w:after="80" w:before="60"/>
      </w:pPr>
      <w:r>
        <w:rPr>
          <w:rFonts w:ascii="Arial" w:cs="Arial" w:eastAsia="Arial" w:hAnsi="Arial"/>
          <w:color w:val="4A4A4A"/>
          <w:sz w:val="22"/>
          <w:szCs w:val="22"/>
        </w:rPr>
        <w:t xml:space="preserve">The moat duration is more important than the moat width. This framework integrates Hamilton Helmer's 7 Powers — the most rigorous available framework for assessing competitive advantage durability. Helmer's core requirement is that every genuine power must have BOTH a benefit (material improvement to cash flows) AND a barrier (structural reason why competitors cannot replicate it). A benefit without a barrier is a temporary advantage, not a moat.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60"/>
              <w:left w:type="dxa" w:w="200"/>
              <w:bottom w:type="dxa" w:w="160"/>
              <w:right w:type="dxa" w:w="200"/>
            </w:tcMar>
          </w:tcPr>
          <w:p>
            <w:pPr>
              <w:spacing w:after="60" w:before="0"/>
            </w:pPr>
            <w:r>
              <w:rPr>
                <w:rFonts w:ascii="Arial" w:cs="Arial" w:eastAsia="Arial" w:hAnsi="Arial"/>
                <w:b/>
                <w:bCs/>
                <w:color w:val="D4851A"/>
                <w:sz w:val="20"/>
                <w:szCs w:val="20"/>
              </w:rPr>
              <w:t xml:space="preserve">The Helmer Test — Benefit AND Barrier</w:t>
            </w:r>
          </w:p>
          <w:p>
            <w:pPr>
              <w:spacing w:after="0" w:before="0"/>
            </w:pPr>
            <w:r>
              <w:rPr>
                <w:rFonts w:ascii="Arial" w:cs="Arial" w:eastAsia="Arial" w:hAnsi="Arial"/>
                <w:color w:val="4A4A4A"/>
                <w:sz w:val="20"/>
                <w:szCs w:val="20"/>
              </w:rPr>
              <w:t xml:space="preserve">For each moat type identified, ask two questions: (1) What is the specific benefit — does it enable higher prices, lower costs, or reduced investment relative to competitors? (2) What is the specific barrier — what structural reason prevents a well-capitalised competitor from replicating this benefit within 3 years? If you cannot answer both questions precisely, the moat is not confirmed. A benefit without a barrier is noise. Only both together constitute Power.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Power (Helmer)</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Benefit · Barrier · Investment 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1. Scale economies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Benefit: per-unit cost declines as volume grows, enabling lower prices or higher margins than competitors. Barrier: competitors cannot match costs without matching scale — but matching scale requires accepting losses during the build period that rational competitors will not accept. Test: does gross margin expand as revenue grows? Is the cost curve genuinely steeper than competitors at equivalent scale?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2. Network economies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Benefit: each additional user increases the value of the product for all existing users — the product literally improves for free as it grows. Barrier: tipping point — once critical mass is reached, the network effect becomes self-reinforcing and practically irreversible. New entrants must build a parallel network to compete, which is economically irrational. Test: is the company approaching, at, or past the tipping point? Winner-take-all dynamics apply only post-tipping-point. Same-side vs cross-side: same-side (users benefit from other users) is stronger than cross-side (buyers benefit from sellers).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3. Counter-positioning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Benefit: the challenger adopts a new, superior business model that generates better economics than the incumbent's model. Barrier: the incumbent rationally cannot copy the new model because doing so would damage their existing business — destroying margins, alienating existing customers, or cannibalising their most profitable segment. Test: does the incumbent know about this threat and still not respond? If yes, this is counter-positioning. Classic examples: streaming vs cable, cloud vs on-premise, direct-to-consumer vs retail. This power is the primary explanation for why great incumbent companies lose to challengers that are not obviously superior.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4. Switching costs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Benefit: customers bear a cost to move to a competitor — enabling the company to charge above-market prices and retain customers through product cycles. Barrier: the switching cost is embedded in the customer's operations such that the cost is borne by the customer, not the seller. Three types: (a) Financial — contractual penalties, sunk investment in the product. (b) Procedural — retraining costs, workflow disruption, migration risk. (c) Relational — personal relationships, brand affinity. Procedural and relational switching costs are more durable than financial ones, which erode at contract renewal. Test: what is the all-in cost (money + time + risk) for a customer to switch, and is that cost rising or falling over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5. Branding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Benefit: enables pricing above an objectively equivalent competitor — customers pay more for the same functional product because of attribution of higher value based on historical reputation. Barrier: brand is built over decades through consistent reinforcement — it cannot be acquired by spending more on advertising. An entrant cannot buy a brand by outspending the incumbent. Test: can the company demonstrably charge more than a generic equivalent and sustain that premium through a downturn? If the premium collapses under competitive pressure, it was perception not power.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6. Cornered resource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Benefit: preferential access to a coveted asset — patent portfolio, regulatory licence, unique geographic location, exclusive supply contract, or exceptional human capital — that directly improves the company's economics relative to competitors. Barrier: the resource is exclusive or practically impossible for competitors to replicate. Test: is the resource genuinely cornered or merely currently uncontested? A patent portfolio is cornered. A talented team is cornered only if the culture, mission, and equity structure make them unreplicable — human capital is the most fragile form of this power. Key question: what happens to this advantage when the patent expires, the licence is up for renewal, or the key employee leaves?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7. Process power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Benefit: embedded organisational capability that enables the company to produce something more efficiently or at higher quality than competitors — consistently and reliably over time. Barrier: the capability is so deeply embedded in culture, accumulated learning, systems, and tacit knowledge that competitors cannot replicate it even with full knowledge of what it is and intent to copy it. Toyota's production system is the canonical example — GM understood it completely and spent billions trying to implement it, and still could not. Test: can you describe the process advantage in detail and still conclude a competitor could not replicate it? If yes, you have process power. If knowing the description would allow replication, it is operational excellence, not process power.</w:t>
            </w:r>
          </w:p>
        </w:tc>
      </w:tr>
    </w:tbl>
    <w:p>
      <w:pPr>
        <w:spacing w:after="80" w:before="0"/>
      </w:pPr>
      <w:r>
        <w:t xml:space="preserve"/>
      </w:r>
    </w:p>
    <w:p>
      <w:pPr>
        <w:spacing w:after="80" w:before="200"/>
      </w:pPr>
      <w:r>
        <w:rPr>
          <w:rFonts w:ascii="Arial" w:cs="Arial" w:eastAsia="Arial" w:hAnsi="Arial"/>
          <w:b/>
          <w:bCs/>
          <w:color w:val="2E6DA4"/>
          <w:sz w:val="24"/>
          <w:szCs w:val="24"/>
        </w:rPr>
        <w:t xml:space="preserve">★ Power Progression — When Each Power Becomes Available (Helmer)</w:t>
      </w:r>
    </w:p>
    <w:p>
      <w:pPr>
        <w:spacing w:after="80" w:before="60"/>
      </w:pPr>
      <w:r>
        <w:rPr>
          <w:rFonts w:ascii="Arial" w:cs="Arial" w:eastAsia="Arial" w:hAnsi="Arial"/>
          <w:color w:val="4A4A4A"/>
          <w:sz w:val="22"/>
          <w:szCs w:val="22"/>
        </w:rPr>
        <w:t xml:space="preserve">Helmer's most important insight for investment analysis: different powers become available only at specific stages of a company's lifecycle. Identifying which power a company is building toward — and whether it is on schedule — is a leading indicator of long-term value creation.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Lifecycle Stage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Powers That Can Be Built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Origination (early stage)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Counter-positioning is the primary power available to startups — they attack incumbents with a new model the incumbent cannot copy. Cornered resource can also be established early if the founding team secures key IP, talent, or regulatory advantage.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Take-off (hypergrowth)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Network economies reach their tipping point during take-off — this is the critical window. Scale economies begin to accumulate. The company that reaches network tipping point first in a winner-take-all market has effectively won, regardless of subsequent competition.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Stability (mature)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Switching costs deepen as customers embed the product into operations over years. Process power accumulates through years of operational refinement. Branding compounds through sustained consistent reputation. Scale economies are fully realised.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Investment implication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A company in take-off phase that has not yet reached network tipping point is a binary investment — either it reaches critical mass and compounds for decades, or it does not and the economics collapse. A stability-phase company with deep switching costs and process power is a different risk profile entirely: lower upside, dramatically lower downside.</w:t>
            </w:r>
          </w:p>
        </w:tc>
      </w:tr>
    </w:tbl>
    <w:p>
      <w:pPr>
        <w:spacing w:after="80" w:before="0"/>
      </w:pPr>
      <w:r>
        <w:t xml:space="preserve"/>
      </w:r>
    </w:p>
    <w:p>
      <w:pPr>
        <w:spacing w:after="80" w:before="200"/>
      </w:pPr>
      <w:r>
        <w:rPr>
          <w:rFonts w:ascii="Arial" w:cs="Arial" w:eastAsia="Arial" w:hAnsi="Arial"/>
          <w:b/>
          <w:bCs/>
          <w:color w:val="2E6DA4"/>
          <w:sz w:val="24"/>
          <w:szCs w:val="24"/>
        </w:rPr>
        <w:t xml:space="preserve">Moat Durability Test — Updated</w:t>
      </w:r>
    </w:p>
    <w:p>
      <w:pPr>
        <w:pStyle w:val="ListParagraph"/>
        <w:numPr>
          <w:ilvl w:val="0"/>
          <w:numId w:val="2"/>
        </w:numPr>
        <w:spacing w:after="40" w:before="40"/>
      </w:pPr>
      <w:r>
        <w:rPr>
          <w:rFonts w:ascii="Arial" w:cs="Arial" w:eastAsia="Arial" w:hAnsi="Arial"/>
          <w:color w:val="4A4A4A"/>
          <w:sz w:val="22"/>
          <w:szCs w:val="22"/>
        </w:rPr>
        <w:t xml:space="preserve">Apply the Helmer benefit-and-barrier test to each power type identified. Score 0 (no power), 1 (benefit only — temporary), or 2 (benefit + barrier — genuine power)</w:t>
      </w:r>
    </w:p>
    <w:p>
      <w:pPr>
        <w:pStyle w:val="ListParagraph"/>
        <w:numPr>
          <w:ilvl w:val="0"/>
          <w:numId w:val="2"/>
        </w:numPr>
        <w:spacing w:after="40" w:before="40"/>
      </w:pPr>
      <w:r>
        <w:rPr>
          <w:rFonts w:ascii="Arial" w:cs="Arial" w:eastAsia="Arial" w:hAnsi="Arial"/>
          <w:color w:val="4A4A4A"/>
          <w:sz w:val="22"/>
          <w:szCs w:val="22"/>
        </w:rPr>
        <w:t xml:space="preserve">Count the number of confirmed powers (score 2). One confirmed power is defensible. Two or more is exceptional. Zero confirmed powers means the current ROIC will mean-revert toward WACC within 5–7 years regardless of current performance</w:t>
      </w:r>
    </w:p>
    <w:p>
      <w:pPr>
        <w:pStyle w:val="ListParagraph"/>
        <w:numPr>
          <w:ilvl w:val="0"/>
          <w:numId w:val="2"/>
        </w:numPr>
        <w:spacing w:after="40" w:before="40"/>
      </w:pPr>
      <w:r>
        <w:rPr>
          <w:rFonts w:ascii="Arial" w:cs="Arial" w:eastAsia="Arial" w:hAnsi="Arial"/>
          <w:color w:val="4A4A4A"/>
          <w:sz w:val="22"/>
          <w:szCs w:val="22"/>
        </w:rPr>
        <w:t xml:space="preserve">Apply the power progression test: is the company building the right type of power for its current lifecycle stage? Counter-positioning at origination, network tipping point at take-off, switching costs and process power at stability</w:t>
      </w:r>
    </w:p>
    <w:p>
      <w:pPr>
        <w:pStyle w:val="ListParagraph"/>
        <w:numPr>
          <w:ilvl w:val="0"/>
          <w:numId w:val="2"/>
        </w:numPr>
        <w:spacing w:after="40" w:before="40"/>
      </w:pPr>
      <w:r>
        <w:rPr>
          <w:rFonts w:ascii="Arial" w:cs="Arial" w:eastAsia="Arial" w:hAnsi="Arial"/>
          <w:color w:val="4A4A4A"/>
          <w:sz w:val="22"/>
          <w:szCs w:val="22"/>
        </w:rPr>
        <w:t xml:space="preserve">For network businesses: identify the tipping point. Has the company reached it? If not, what is the timeline and what could prevent it? This is the single most important question for any platform investment</w:t>
      </w:r>
    </w:p>
    <w:p>
      <w:pPr>
        <w:pStyle w:val="ListParagraph"/>
        <w:numPr>
          <w:ilvl w:val="0"/>
          <w:numId w:val="2"/>
        </w:numPr>
        <w:spacing w:after="40" w:before="40"/>
      </w:pPr>
      <w:r>
        <w:rPr>
          <w:rFonts w:ascii="Arial" w:cs="Arial" w:eastAsia="Arial" w:hAnsi="Arial"/>
          <w:color w:val="4A4A4A"/>
          <w:sz w:val="22"/>
          <w:szCs w:val="22"/>
        </w:rPr>
        <w:t xml:space="preserve">For incumbent companies: has a challenger adopted a counter-positioning model that the company rationally cannot respond to? If yes, the moat is broken even if current ROIC appears strong — the erosion is already structurally underway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EE" w:val="clear"/>
            <w:tcMar>
              <w:top w:type="dxa" w:w="160"/>
              <w:left w:type="dxa" w:w="200"/>
              <w:bottom w:type="dxa" w:w="160"/>
              <w:right w:type="dxa" w:w="200"/>
            </w:tcMar>
          </w:tcPr>
          <w:p>
            <w:pPr>
              <w:spacing w:after="60" w:before="0"/>
            </w:pPr>
            <w:r>
              <w:rPr>
                <w:rFonts w:ascii="Arial" w:cs="Arial" w:eastAsia="Arial" w:hAnsi="Arial"/>
                <w:b/>
                <w:bCs/>
                <w:color w:val="1A6B5A"/>
                <w:sz w:val="20"/>
                <w:szCs w:val="20"/>
              </w:rPr>
              <w:t xml:space="preserve">The Moat Durability Test — Final</w:t>
            </w:r>
          </w:p>
          <w:p>
            <w:pPr>
              <w:spacing w:after="0" w:before="0"/>
            </w:pPr>
            <w:r>
              <w:rPr>
                <w:rFonts w:ascii="Arial" w:cs="Arial" w:eastAsia="Arial" w:hAnsi="Arial"/>
                <w:color w:val="4A4A4A"/>
                <w:sz w:val="20"/>
                <w:szCs w:val="20"/>
              </w:rPr>
              <w:t xml:space="preserve">If this company disappeared tomorrow: Customers die, systems fail, infrastructure collapses → durable power confirmed. Someone else plugs in within 30 minutes → rental advantage, not power. Apply this test to each product line. Then apply the Helmer test: identify the specific barrier preventing replication. If you cannot name the barrier precisely, the moat is not confirmed regardless of how the first test answers.</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SECTION 5  ·  CONVICTION SCORING — 5 PILLARS</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5.1  The 5-Pillar Scoring System</w:t>
      </w:r>
    </w:p>
    <w:p>
      <w:pPr>
        <w:spacing w:after="80" w:before="60"/>
      </w:pPr>
      <w:r>
        <w:rPr>
          <w:rFonts w:ascii="Arial" w:cs="Arial" w:eastAsia="Arial" w:hAnsi="Arial"/>
          <w:color w:val="4A4A4A"/>
          <w:sz w:val="22"/>
          <w:szCs w:val="22"/>
        </w:rPr>
        <w:t xml:space="preserve">Score each pillar 1–5. Only invest full-size positions in companies scoring 23+ (average 4.6+). Starter positions at 20-22. Watchlist below 20.</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Pillar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 1 (Weak)</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 5 (Fortress)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Moat Strength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Commodity product, no switching costs, replicated easily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Multi-layered moats: network effects + switching costs + data flywheel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Fundamental Health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Fragile balance sheet, FCF negative, ROIC &lt; WACC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Net cash position, FCF margin 20%+, ROIC sustainably &gt; WACC + 5%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Secular Tailwind Exposure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Cyclical or trend-dependent revenue, commodity exposure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Multi-decade structural demand: aging, AI adoption, digitization, energy transition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Margin of Safety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Trading at or above intrinsic value estimate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Trading at &lt; 70% of base-case DCF intrinsic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Leadership Quality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Noisy guidance, ego-driven M&amp;A, SBC &gt; 5% of FCF, dilutive buybacks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Equity-aligned, consistent delivery, buybacks at value, R&amp;D tied to future revenue engine</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5.2  Multiple-Justified Conviction</w:t>
      </w:r>
    </w:p>
    <w:p>
      <w:pPr>
        <w:spacing w:after="60" w:before="80"/>
      </w:pPr>
      <w:r>
        <w:rPr>
          <w:rFonts w:ascii="Arial" w:cs="Arial" w:eastAsia="Arial" w:hAnsi="Arial"/>
          <w:b/>
          <w:bCs/>
          <w:color w:val="D4851A"/>
          <w:sz w:val="20"/>
          <w:szCs w:val="20"/>
        </w:rPr>
        <w:t xml:space="preserve">★ NEW: </w:t>
      </w:r>
      <w:r>
        <w:rPr>
          <w:rFonts w:ascii="Arial" w:cs="Arial" w:eastAsia="Arial" w:hAnsi="Arial"/>
          <w:i/>
          <w:iCs/>
          <w:color w:val="4A4A4A"/>
          <w:sz w:val="20"/>
          <w:szCs w:val="20"/>
        </w:rPr>
        <w:t xml:space="preserve">New: conviction score must now include a multiple justification using the Liberti ROIC-WACC-growth decomposition.</w:t>
      </w:r>
    </w:p>
    <w:p>
      <w:pPr>
        <w:spacing w:after="80" w:before="60"/>
      </w:pPr>
      <w:r>
        <w:rPr>
          <w:rFonts w:ascii="Arial" w:cs="Arial" w:eastAsia="Arial" w:hAnsi="Arial"/>
          <w:color w:val="4A4A4A"/>
          <w:sz w:val="22"/>
          <w:szCs w:val="22"/>
        </w:rPr>
        <w:t xml:space="preserve">A company scoring 5 on moat and 5 on fundamentals must have its multiple premium mathematically explainable. Document for each position:</w:t>
      </w:r>
    </w:p>
    <w:p>
      <w:pPr>
        <w:pStyle w:val="ListParagraph"/>
        <w:numPr>
          <w:ilvl w:val="0"/>
          <w:numId w:val="2"/>
        </w:numPr>
        <w:spacing w:after="40" w:before="40"/>
      </w:pPr>
      <w:r>
        <w:rPr>
          <w:rFonts w:ascii="Arial" w:cs="Arial" w:eastAsia="Arial" w:hAnsi="Arial"/>
          <w:color w:val="4A4A4A"/>
          <w:sz w:val="22"/>
          <w:szCs w:val="22"/>
        </w:rPr>
        <w:t xml:space="preserve">Current EV/EBITDA multiple vs. peer median — what is the premium/discount?</w:t>
      </w:r>
    </w:p>
    <w:p>
      <w:pPr>
        <w:pStyle w:val="ListParagraph"/>
        <w:numPr>
          <w:ilvl w:val="0"/>
          <w:numId w:val="2"/>
        </w:numPr>
        <w:spacing w:after="40" w:before="40"/>
      </w:pPr>
      <w:r>
        <w:rPr>
          <w:rFonts w:ascii="Arial" w:cs="Arial" w:eastAsia="Arial" w:hAnsi="Arial"/>
          <w:color w:val="4A4A4A"/>
          <w:sz w:val="22"/>
          <w:szCs w:val="22"/>
        </w:rPr>
        <w:t xml:space="preserve">ROIC-WACC spread — does it justify the premium vs. peers with similar spreads?</w:t>
      </w:r>
    </w:p>
    <w:p>
      <w:pPr>
        <w:pStyle w:val="ListParagraph"/>
        <w:numPr>
          <w:ilvl w:val="0"/>
          <w:numId w:val="2"/>
        </w:numPr>
        <w:spacing w:after="40" w:before="40"/>
      </w:pPr>
      <w:r>
        <w:rPr>
          <w:rFonts w:ascii="Arial" w:cs="Arial" w:eastAsia="Arial" w:hAnsi="Arial"/>
          <w:color w:val="4A4A4A"/>
          <w:sz w:val="22"/>
          <w:szCs w:val="22"/>
        </w:rPr>
        <w:t xml:space="preserve">Growth differential — is the incremental growth value-additive (ROIC &gt; WACC) or value-destructive (ROIC &lt; WACC)?</w:t>
      </w:r>
    </w:p>
    <w:p>
      <w:pPr>
        <w:pStyle w:val="ListParagraph"/>
        <w:numPr>
          <w:ilvl w:val="0"/>
          <w:numId w:val="2"/>
        </w:numPr>
        <w:spacing w:after="40" w:before="40"/>
      </w:pPr>
      <w:r>
        <w:rPr>
          <w:rFonts w:ascii="Arial" w:cs="Arial" w:eastAsia="Arial" w:hAnsi="Arial"/>
          <w:color w:val="4A4A4A"/>
          <w:sz w:val="22"/>
          <w:szCs w:val="22"/>
        </w:rPr>
        <w:t xml:space="preserve">Implied multiple from reverse-DCF — what is the market pricing in? Is the implied growth realistic given moat and market size?</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SECTION 6  ·  PORTFOLIO CONSTRUCTION &amp; DISCIPLINE</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6.1  Position Sizing — Power Law Logic</w:t>
      </w:r>
    </w:p>
    <w:p>
      <w:pPr>
        <w:pStyle w:val="ListParagraph"/>
        <w:numPr>
          <w:ilvl w:val="0"/>
          <w:numId w:val="2"/>
        </w:numPr>
        <w:spacing w:after="40" w:before="40"/>
      </w:pPr>
      <w:r>
        <w:rPr>
          <w:rFonts w:ascii="Arial" w:cs="Arial" w:eastAsia="Arial" w:hAnsi="Arial"/>
          <w:color w:val="4A4A4A"/>
          <w:sz w:val="22"/>
          <w:szCs w:val="22"/>
        </w:rPr>
        <w:t xml:space="preserve">Core portfolio (top 5 highest conviction): up to 10–20% per position</w:t>
      </w:r>
    </w:p>
    <w:p>
      <w:pPr>
        <w:pStyle w:val="ListParagraph"/>
        <w:numPr>
          <w:ilvl w:val="0"/>
          <w:numId w:val="2"/>
        </w:numPr>
        <w:spacing w:after="40" w:before="40"/>
      </w:pPr>
      <w:r>
        <w:rPr>
          <w:rFonts w:ascii="Arial" w:cs="Arial" w:eastAsia="Arial" w:hAnsi="Arial"/>
          <w:color w:val="4A4A4A"/>
          <w:sz w:val="22"/>
          <w:szCs w:val="22"/>
        </w:rPr>
        <w:t xml:space="preserve">Next 10 best ideas: 3–6% each</w:t>
      </w:r>
    </w:p>
    <w:p>
      <w:pPr>
        <w:pStyle w:val="ListParagraph"/>
        <w:numPr>
          <w:ilvl w:val="0"/>
          <w:numId w:val="2"/>
        </w:numPr>
        <w:spacing w:after="40" w:before="40"/>
      </w:pPr>
      <w:r>
        <w:rPr>
          <w:rFonts w:ascii="Arial" w:cs="Arial" w:eastAsia="Arial" w:hAnsi="Arial"/>
          <w:color w:val="4A4A4A"/>
          <w:sz w:val="22"/>
          <w:szCs w:val="22"/>
        </w:rPr>
        <w:t xml:space="preserve">Starter / watchlist positions: 0.5–2%</w:t>
      </w:r>
    </w:p>
    <w:p>
      <w:pPr>
        <w:pStyle w:val="ListParagraph"/>
        <w:numPr>
          <w:ilvl w:val="0"/>
          <w:numId w:val="2"/>
        </w:numPr>
        <w:spacing w:after="40" w:before="40"/>
      </w:pPr>
      <w:r>
        <w:rPr>
          <w:rFonts w:ascii="Arial" w:cs="Arial" w:eastAsia="Arial" w:hAnsi="Arial"/>
          <w:color w:val="4A4A4A"/>
          <w:sz w:val="22"/>
          <w:szCs w:val="22"/>
        </w:rPr>
        <w:t xml:space="preserve">Cash reserve: 5–15% depending on regime signal (higher in CAUTION / RISK-OFF)</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6.2  Correlation &amp; Concentration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60"/>
              <w:left w:type="dxa" w:w="200"/>
              <w:bottom w:type="dxa" w:w="160"/>
              <w:right w:type="dxa" w:w="200"/>
            </w:tcMar>
          </w:tcPr>
          <w:p>
            <w:pPr>
              <w:spacing w:after="60" w:before="0"/>
            </w:pPr>
            <w:r>
              <w:rPr>
                <w:rFonts w:ascii="Arial" w:cs="Arial" w:eastAsia="Arial" w:hAnsi="Arial"/>
                <w:b/>
                <w:bCs/>
                <w:color w:val="D4851A"/>
                <w:sz w:val="20"/>
                <w:szCs w:val="20"/>
              </w:rPr>
              <w:t xml:space="preserve">Avoid These Concentration Traps</w:t>
            </w:r>
          </w:p>
          <w:p>
            <w:pPr>
              <w:spacing w:after="0" w:before="0"/>
            </w:pPr>
            <w:r>
              <w:rPr>
                <w:rFonts w:ascii="Arial" w:cs="Arial" w:eastAsia="Arial" w:hAnsi="Arial"/>
                <w:color w:val="4A4A4A"/>
                <w:sz w:val="20"/>
                <w:szCs w:val="20"/>
              </w:rPr>
              <w:t xml:space="preserve">✗ 6 companies all dependent on hyperscaler capex simultaneously
✗ 4 companies all tied to oil prices or commodity cycles
✗ 10 companies all levered to SaaS multiple expansion
✗ 5 companies all exposed to the same regulatory cycle
✓ Target mix: AI infrastructure + healthcare economics + digitization + consumption beneficiaries = uncorrelated dominance</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6.3  Rebalancing Philosophy</w:t>
      </w:r>
    </w:p>
    <w:p>
      <w:pPr>
        <w:pStyle w:val="ListParagraph"/>
        <w:numPr>
          <w:ilvl w:val="0"/>
          <w:numId w:val="2"/>
        </w:numPr>
        <w:spacing w:after="40" w:before="40"/>
      </w:pPr>
      <w:r>
        <w:rPr>
          <w:rFonts w:ascii="Arial" w:cs="Arial" w:eastAsia="Arial" w:hAnsi="Arial"/>
          <w:color w:val="4A4A4A"/>
          <w:sz w:val="22"/>
          <w:szCs w:val="22"/>
        </w:rPr>
        <w:t xml:space="preserve">Trim to redeploy only when the marginal dollar is worth more in a better idea — not because price moved</w:t>
      </w:r>
    </w:p>
    <w:p>
      <w:pPr>
        <w:pStyle w:val="ListParagraph"/>
        <w:numPr>
          <w:ilvl w:val="0"/>
          <w:numId w:val="2"/>
        </w:numPr>
        <w:spacing w:after="40" w:before="40"/>
      </w:pPr>
      <w:r>
        <w:rPr>
          <w:rFonts w:ascii="Arial" w:cs="Arial" w:eastAsia="Arial" w:hAnsi="Arial"/>
          <w:color w:val="4A4A4A"/>
          <w:sz w:val="22"/>
          <w:szCs w:val="22"/>
        </w:rPr>
        <w:t xml:space="preserve">Never rebalance because a position moved 8% in two weeks (that's motion, not meaning)</w:t>
      </w:r>
    </w:p>
    <w:p>
      <w:pPr>
        <w:pStyle w:val="ListParagraph"/>
        <w:numPr>
          <w:ilvl w:val="0"/>
          <w:numId w:val="2"/>
        </w:numPr>
        <w:spacing w:after="40" w:before="40"/>
      </w:pPr>
      <w:r>
        <w:rPr>
          <w:rFonts w:ascii="Arial" w:cs="Arial" w:eastAsia="Arial" w:hAnsi="Arial"/>
          <w:color w:val="4A4A4A"/>
          <w:sz w:val="22"/>
          <w:szCs w:val="22"/>
        </w:rPr>
        <w:t xml:space="preserve">Rebalance because: thesis improved elsewhere, moat deteriorated here, or margin of safety has fully closed</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6.4  Exit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0"/>
            </w:pPr>
            <w:r>
              <w:rPr>
                <w:rFonts w:ascii="Arial" w:cs="Arial" w:eastAsia="Arial" w:hAnsi="Arial"/>
                <w:b/>
                <w:bCs/>
                <w:color w:val="1E3A5F"/>
                <w:sz w:val="20"/>
                <w:szCs w:val="20"/>
              </w:rPr>
              <w:t xml:space="preserve">Exit Only When</w:t>
            </w:r>
          </w:p>
          <w:p>
            <w:pPr>
              <w:spacing w:after="0" w:before="0"/>
            </w:pPr>
            <w:r>
              <w:rPr>
                <w:rFonts w:ascii="Arial" w:cs="Arial" w:eastAsia="Arial" w:hAnsi="Arial"/>
                <w:color w:val="4A4A4A"/>
                <w:sz w:val="20"/>
                <w:szCs w:val="20"/>
              </w:rPr>
              <w:t xml:space="preserve">❗ Moat is broken — a competitor has replicated the core value proposition
❗ Management abandons capital discipline — ego-driven M&amp;A, reckless dilution, SBC explosion
❗ Secular trend fades or reverses — the world stopped needing what they solve
❗ Growth quality deteriorates structurally — revenue growing but EPS stalling (profitless enthusiasm)
❗ Regulatory risk outweighs business value — terminal risk, not cyclical risk
❗ Multiple fully closed — trading above DCF intrinsic value with no margin of safety</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SECTION 7  ·  MULTI-AGENT SYSTEM ARCHITECTURE</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7.1  Agent Layer Design</w:t>
      </w:r>
    </w:p>
    <w:p>
      <w:pPr>
        <w:spacing w:after="80" w:before="60"/>
      </w:pPr>
      <w:r>
        <w:rPr>
          <w:rFonts w:ascii="Arial" w:cs="Arial" w:eastAsia="Arial" w:hAnsi="Arial"/>
          <w:color w:val="4A4A4A"/>
          <w:sz w:val="22"/>
          <w:szCs w:val="22"/>
        </w:rPr>
        <w:t xml:space="preserve">The framework is operationalized through five agent layers. Each layer gates the next — poor regime signal means Layer 2 operates in reduced scope; poor conviction score means Layer 4 allocates minimum size.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Layer / Agent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Function &amp; Key Outputs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L1: Market Data 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Price, volume, options flow, short interest, institutional positioning — real-time feed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L1: Fundamental Agent ★</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FCF, ROIC, clean EBITDA (Liberti method), normalized EBIT, equity bridge construction, guidance consistency score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L1: Sentiment 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News NLP, analyst upgrade/downgrade flow, earnings call tone, social signal momentum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L1: Macro Regime Agent ★</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Outputs: ACT / WATCH / WAIT signal based on inflation, rates, productivity, credit spreads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L2: Screener 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Filters universe by quality thresholds (Section 4) — produces qualified candidate list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L2: Regime Detection Agent ★</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Cross-references macro signal with sector momentum — gates capital deployment timing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L2: Catalyst 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Upcoming earnings, FDA dates, product launches, M&amp;A activity, management change flags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L2: Reverse-DCF Agent ★</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For each candidate: what growth is priced in? Is implied growth realistic vs. moat + TAM?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L3: Conviction Scorer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Runs 5-pillar scoring + multiple decomposition (ROIC-WACC-g) → conviction score 1-25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L3: Risk Management Agent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Position sizing, portfolio correlation check, drawdown limits, debt maturity flag scanner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L3: Entry Timing Agent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Technical momentum + margin of safety confirmation — optimizes entry within DCF-defined range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L4: Portfolio Fit Agent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Checks correlation with existing holdings, power law sizing, rebalance logic, exit trigger monitoring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L4: Daily Guidance Orchestrator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Synthesizes all inputs → daily briefing: top opportunities ranked by conviction, updated theses, act/watch/exit signals</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7.2  Recommended Tech Stack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Recommended Approach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Orchestration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LangGraph, CrewAI, or AutoGen for agent workflow management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Data Sources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Polygon.io (market), Alpha Vantage, SEC EDGAR (fundamentals), news APIs (sentiment)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Reasoning Models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Claude / GPT-class for reasoning agents; specialized ML for anomaly detection and price prediction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Memory / Vector Store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Pinecone or Chroma — store thesis history, past conviction scores, earnings summaries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Daily 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Structured briefing: JSON → rendered dashboard or PDF report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Valuation Engine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Python-based DCF model with Liberti metric cleaning pipeline; outputs both intrinsic value AND implied multiples</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SECTION 8  ·  REPEATABLE WORKFLOW</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8.1  Monthly Scan — 15–30 Minutes</w:t>
      </w:r>
    </w:p>
    <w:p>
      <w:pPr>
        <w:pStyle w:val="ListParagraph"/>
        <w:numPr>
          <w:ilvl w:val="0"/>
          <w:numId w:val="2"/>
        </w:numPr>
        <w:spacing w:after="40" w:before="40"/>
      </w:pPr>
      <w:r>
        <w:rPr>
          <w:rFonts w:ascii="Arial" w:cs="Arial" w:eastAsia="Arial" w:hAnsi="Arial"/>
          <w:color w:val="4A4A4A"/>
          <w:sz w:val="22"/>
          <w:szCs w:val="22"/>
        </w:rPr>
        <w:t xml:space="preserve">Check: inflation trend, yield curve slope, Fed policy trajectory, sector momentum → update regime signal</w:t>
      </w:r>
    </w:p>
    <w:p>
      <w:pPr>
        <w:pStyle w:val="ListParagraph"/>
        <w:numPr>
          <w:ilvl w:val="0"/>
          <w:numId w:val="2"/>
        </w:numPr>
        <w:spacing w:after="40" w:before="40"/>
      </w:pPr>
      <w:r>
        <w:rPr>
          <w:rFonts w:ascii="Arial" w:cs="Arial" w:eastAsia="Arial" w:hAnsi="Arial"/>
          <w:color w:val="4A4A4A"/>
          <w:sz w:val="22"/>
          <w:szCs w:val="22"/>
        </w:rPr>
        <w:t xml:space="preserve">Confirm: AI infra spend trajectory, healthcare efficiency adoption curve, automation penetration rates</w:t>
      </w:r>
    </w:p>
    <w:p>
      <w:pPr>
        <w:pStyle w:val="ListParagraph"/>
        <w:numPr>
          <w:ilvl w:val="0"/>
          <w:numId w:val="2"/>
        </w:numPr>
        <w:spacing w:after="40" w:before="40"/>
      </w:pPr>
      <w:r>
        <w:rPr>
          <w:rFonts w:ascii="Arial" w:cs="Arial" w:eastAsia="Arial" w:hAnsi="Arial"/>
          <w:color w:val="4A4A4A"/>
          <w:sz w:val="22"/>
          <w:szCs w:val="22"/>
        </w:rPr>
        <w:t xml:space="preserve">Flag: any company violating capital discipline, margin structure, or moat durability → move to watch / exit review</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8.2  Quarterly Deep-Research Update — 3–6 Hours</w:t>
      </w:r>
    </w:p>
    <w:p>
      <w:pPr>
        <w:pStyle w:val="ListParagraph"/>
        <w:numPr>
          <w:ilvl w:val="0"/>
          <w:numId w:val="2"/>
        </w:numPr>
        <w:spacing w:after="40" w:before="40"/>
      </w:pPr>
      <w:r>
        <w:rPr>
          <w:rFonts w:ascii="Arial" w:cs="Arial" w:eastAsia="Arial" w:hAnsi="Arial"/>
          <w:color w:val="4A4A4A"/>
          <w:sz w:val="22"/>
          <w:szCs w:val="22"/>
        </w:rPr>
        <w:t xml:space="preserve">Pull updated financials → apply Liberti metric cleaning (strip non-recurring, normalize EBIT, rebuild equity bridge)</w:t>
      </w:r>
    </w:p>
    <w:p>
      <w:pPr>
        <w:pStyle w:val="ListParagraph"/>
        <w:numPr>
          <w:ilvl w:val="0"/>
          <w:numId w:val="2"/>
        </w:numPr>
        <w:spacing w:after="40" w:before="40"/>
      </w:pPr>
      <w:r>
        <w:rPr>
          <w:rFonts w:ascii="Arial" w:cs="Arial" w:eastAsia="Arial" w:hAnsi="Arial"/>
          <w:color w:val="4A4A4A"/>
          <w:sz w:val="22"/>
          <w:szCs w:val="22"/>
        </w:rPr>
        <w:t xml:space="preserve">Re-run DCF → derive implied multiples → run reverse-DCF on current price → check what market is pricing in</w:t>
      </w:r>
    </w:p>
    <w:p>
      <w:pPr>
        <w:pStyle w:val="ListParagraph"/>
        <w:numPr>
          <w:ilvl w:val="0"/>
          <w:numId w:val="2"/>
        </w:numPr>
        <w:spacing w:after="40" w:before="40"/>
      </w:pPr>
      <w:r>
        <w:rPr>
          <w:rFonts w:ascii="Arial" w:cs="Arial" w:eastAsia="Arial" w:hAnsi="Arial"/>
          <w:color w:val="4A4A4A"/>
          <w:sz w:val="22"/>
          <w:szCs w:val="22"/>
        </w:rPr>
        <w:t xml:space="preserve">Check: EPS leverage vs. revenue? ROIC sustainability? Management consistency? AI disruptive optionality?</w:t>
      </w:r>
    </w:p>
    <w:p>
      <w:pPr>
        <w:pStyle w:val="ListParagraph"/>
        <w:numPr>
          <w:ilvl w:val="0"/>
          <w:numId w:val="2"/>
        </w:numPr>
        <w:spacing w:after="40" w:before="40"/>
      </w:pPr>
      <w:r>
        <w:rPr>
          <w:rFonts w:ascii="Arial" w:cs="Arial" w:eastAsia="Arial" w:hAnsi="Arial"/>
          <w:color w:val="4A4A4A"/>
          <w:sz w:val="22"/>
          <w:szCs w:val="22"/>
        </w:rPr>
        <w:t xml:space="preserve">Rebuild 5-pillar conviction score → adjust position sizing accordingly</w:t>
      </w:r>
    </w:p>
    <w:p>
      <w:pPr>
        <w:pStyle w:val="ListParagraph"/>
        <w:numPr>
          <w:ilvl w:val="0"/>
          <w:numId w:val="2"/>
        </w:numPr>
        <w:spacing w:after="40" w:before="40"/>
      </w:pPr>
      <w:r>
        <w:rPr>
          <w:rFonts w:ascii="Arial" w:cs="Arial" w:eastAsia="Arial" w:hAnsi="Arial"/>
          <w:color w:val="4A4A4A"/>
          <w:sz w:val="22"/>
          <w:szCs w:val="22"/>
        </w:rPr>
        <w:t xml:space="preserve">Deploy capital if: margin of safety confirmed (&lt; 85% of intrinsic value) AND regime signal is ACT or WATCH</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8.3  Annual Portfolio Audit — Full Day</w:t>
      </w:r>
    </w:p>
    <w:p>
      <w:pPr>
        <w:pStyle w:val="ListParagraph"/>
        <w:numPr>
          <w:ilvl w:val="0"/>
          <w:numId w:val="2"/>
        </w:numPr>
        <w:spacing w:after="40" w:before="40"/>
      </w:pPr>
      <w:r>
        <w:rPr>
          <w:rFonts w:ascii="Arial" w:cs="Arial" w:eastAsia="Arial" w:hAnsi="Arial"/>
          <w:color w:val="4A4A4A"/>
          <w:sz w:val="22"/>
          <w:szCs w:val="22"/>
        </w:rPr>
        <w:t xml:space="preserve">Review all thesis documents — has the secular tailwind strengthened, weakened, or reversed?</w:t>
      </w:r>
    </w:p>
    <w:p>
      <w:pPr>
        <w:pStyle w:val="ListParagraph"/>
        <w:numPr>
          <w:ilvl w:val="0"/>
          <w:numId w:val="2"/>
        </w:numPr>
        <w:spacing w:after="40" w:before="40"/>
      </w:pPr>
      <w:r>
        <w:rPr>
          <w:rFonts w:ascii="Arial" w:cs="Arial" w:eastAsia="Arial" w:hAnsi="Arial"/>
          <w:color w:val="4A4A4A"/>
          <w:sz w:val="22"/>
          <w:szCs w:val="22"/>
        </w:rPr>
        <w:t xml:space="preserve">Stress-test each position in bear scenario — does it survive a 30% revenue decline with the current balance sheet?</w:t>
      </w:r>
    </w:p>
    <w:p>
      <w:pPr>
        <w:pStyle w:val="ListParagraph"/>
        <w:numPr>
          <w:ilvl w:val="0"/>
          <w:numId w:val="2"/>
        </w:numPr>
        <w:spacing w:after="40" w:before="40"/>
      </w:pPr>
      <w:r>
        <w:rPr>
          <w:rFonts w:ascii="Arial" w:cs="Arial" w:eastAsia="Arial" w:hAnsi="Arial"/>
          <w:color w:val="4A4A4A"/>
          <w:sz w:val="22"/>
          <w:szCs w:val="22"/>
        </w:rPr>
        <w:t xml:space="preserve">Review equity bridges for all core positions — have debt maturities, NCI positions, or cash profiles changed materially?</w:t>
      </w:r>
    </w:p>
    <w:p>
      <w:pPr>
        <w:pStyle w:val="ListParagraph"/>
        <w:numPr>
          <w:ilvl w:val="0"/>
          <w:numId w:val="2"/>
        </w:numPr>
        <w:spacing w:after="40" w:before="40"/>
      </w:pPr>
      <w:r>
        <w:rPr>
          <w:rFonts w:ascii="Arial" w:cs="Arial" w:eastAsia="Arial" w:hAnsi="Arial"/>
          <w:color w:val="4A4A4A"/>
          <w:sz w:val="22"/>
          <w:szCs w:val="22"/>
        </w:rPr>
        <w:t xml:space="preserve">Re-score all 5 pillars from scratch — avoid anchoring to prior scores</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SECTION 9  ·  AI FOR DECISION QUALITY — NOT SPEED</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9.1  The Core Reframe</w:t>
      </w:r>
    </w:p>
    <w:p>
      <w:pPr>
        <w:spacing w:after="80" w:before="60"/>
      </w:pPr>
      <w:r>
        <w:rPr>
          <w:rFonts w:ascii="Arial" w:cs="Arial" w:eastAsia="Arial" w:hAnsi="Arial"/>
          <w:color w:val="4A4A4A"/>
          <w:sz w:val="22"/>
          <w:szCs w:val="22"/>
        </w:rPr>
        <w:t xml:space="preserve">Most investors reach for AI to go faster. The real value is going better. Human cognition fails in three systematic ways: it anchors on the first number it sees, it falls in love with its own thesis, and it applies the same method inconsistently depending on how much it likes the company. AI does not anchor, does not fall in love, and applies every rule identically regardless of whether you own the stock. Speed is a side effect. Decision quality is the goal.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60"/>
              <w:left w:type="dxa" w:w="200"/>
              <w:bottom w:type="dxa" w:w="160"/>
              <w:right w:type="dxa" w:w="200"/>
            </w:tcMar>
          </w:tcPr>
          <w:p>
            <w:pPr>
              <w:spacing w:after="60" w:before="0"/>
            </w:pPr>
            <w:r>
              <w:rPr>
                <w:rFonts w:ascii="Arial" w:cs="Arial" w:eastAsia="Arial" w:hAnsi="Arial"/>
                <w:b/>
                <w:bCs/>
                <w:color w:val="D4851A"/>
                <w:sz w:val="20"/>
                <w:szCs w:val="20"/>
              </w:rPr>
              <w:t xml:space="preserve">The Core Principle</w:t>
            </w:r>
          </w:p>
          <w:p>
            <w:pPr>
              <w:spacing w:after="0" w:before="0"/>
            </w:pPr>
            <w:r>
              <w:rPr>
                <w:rFonts w:ascii="Arial" w:cs="Arial" w:eastAsia="Arial" w:hAnsi="Arial"/>
                <w:color w:val="4A4A4A"/>
                <w:sz w:val="20"/>
                <w:szCs w:val="20"/>
              </w:rPr>
              <w:t xml:space="preserve">The most dangerous moment in any investment process is not when you are wrong — it is when you are confidently wrong and your process gave you no signal. That is what the AI quality discipline layer is designed to prevent. AI is the discipline mechanism. The final investment decision must remain human.</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9.2  Discipline 1 — Bias Reduction</w:t>
      </w:r>
    </w:p>
    <w:p>
      <w:pPr>
        <w:spacing w:after="80" w:before="60"/>
      </w:pPr>
      <w:r>
        <w:rPr>
          <w:rFonts w:ascii="Arial" w:cs="Arial" w:eastAsia="Arial" w:hAnsi="Arial"/>
          <w:color w:val="4A4A4A"/>
          <w:sz w:val="22"/>
          <w:szCs w:val="22"/>
        </w:rPr>
        <w:t xml:space="preserve">Cognitive biases do not feel like errors. Confirmation bias feels like thorough research. Anchoring feels like having a view. Narrative fallacy feels like understanding the business. The investor never knows they are biased — which is exactly why an external, stateless system is the only reliable correction mechanism.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Bias</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AI Counter-Mechanism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Confirmation bias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Adversarial red-team agent builds a bear case independently from the same data before conviction scoring runs. Bull and bear are constructed separately — never as mirror images of each other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Anchoring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DCF is built from first principles on clean metrics each quarter. Prior valuations stored in memory are not fed as inputs — only compared after the new model is locked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Narrative fallacy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Every qualitative thesis statement must map to a quantitative metric that would falsify it. Unmoored narratives are blocked at the conviction scorer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Recency bias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5–10 year normalized trend lines are the baseline. Single-quarter data is flagged as deviation from trend, not a revision of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Sunk cost fallacy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Exit trigger monitor evaluates thesis on current facts only. Position history and cost basis are invisible to the exit evaluation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Overconfidence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All DCF outputs are three scenarios (bull/base/bear) with probability weights. A single-point valuation is not accepted as a system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Authority bias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Consensus figures feed the reverse-DCF check (what is priced in?) — never the bull/base assumptions. The model builds its own view first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Loss aversion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Position sizing is formula-driven via power law logic from conviction score. Loss aversion cannot distort a mathematical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Herding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Momentum and institutional positioning signals feed entry timing only — not thesis construction. Conviction score is built entirely from fundamentals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Projection bias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Mean reversion is built into the bear scenario. Any base-case assumption deviating from the 10-year sector average requires documented justification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Overoptimism on owned positions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Cross-portfolio consistency audit flags assumptions that are materially more optimistic on held positions vs. new ideas evaluated at the same 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Framing effect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All metrics standardized to canonical definitions before display. Both positive and negative framing of every material data point are always presented together</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9.3  Discipline 2 — Assumption Discipline</w:t>
      </w:r>
    </w:p>
    <w:p>
      <w:pPr>
        <w:spacing w:after="80" w:before="60"/>
      </w:pPr>
      <w:r>
        <w:rPr>
          <w:rFonts w:ascii="Arial" w:cs="Arial" w:eastAsia="Arial" w:hAnsi="Arial"/>
          <w:color w:val="4A4A4A"/>
          <w:sz w:val="22"/>
          <w:szCs w:val="22"/>
        </w:rPr>
        <w:t xml:space="preserve">A DCF is only as good as its assumptions. The math is trivial. The discipline of interrogating every assumption, stress-testing it against history, and requiring justification for anything above the sector norm is where almost all investors fail. AI enforces this mechanically, every time, without fatigue.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Assumption Failure Mode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AI Enforcement Mechanism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Revenue growth fantasy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Any growth assumption above the 5-year historical CAGR or sector 75th percentile requires a written thesis statement. Scoring is blocked until the justification is logged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Margin expansion without mechanism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Expansion forecasts cross-referenced against historical operating leverage ratio. Expansion without demonstrated historical leverage is flagged as speculative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WACC compression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WACC calculated from live inputs every quarter: current 10-year Treasury, trailing 5-year beta, Damodaran MRP. Override requires logged justification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Terminal value abuse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Reverse-DCF agent derives implied terminal EV/EBITDA multiple and compares to current forward multiple. If terminal &gt; forward, explicit justification required — most common sign of an inflated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Growth rate permanence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Terminal growth capped at 4% by default. Above 4% requires a documented megatrend category with the specific structural driver named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Ignoring reinvestment drag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DCF builder derives implied reinvestment rate from growth and ROIC assumptions. If implied reinvestment exceeds historical capex + working capital, a financing gap is flagged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Scenario collapse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Bear scenario built by a separate adversarial agent using sector margin compression + mean-reversion growth + WACC expansion. Spread between bull and bear must exceed a minimum threshold or scenarios are rejected</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9.4  Discipline 3 — Valuation Consistency</w:t>
      </w:r>
    </w:p>
    <w:p>
      <w:pPr>
        <w:spacing w:after="80" w:before="60"/>
      </w:pPr>
      <w:r>
        <w:rPr>
          <w:rFonts w:ascii="Arial" w:cs="Arial" w:eastAsia="Arial" w:hAnsi="Arial"/>
          <w:color w:val="4A4A4A"/>
          <w:sz w:val="22"/>
          <w:szCs w:val="22"/>
        </w:rPr>
        <w:t xml:space="preserve">An investor can be right about a company and still lose money if they applied a different valuation standard to it than to the rest of the portfolio. Consistency means: the same metric definitions, the same cleaning rules, the same WACC methodology, the same multiple selection logic — applied identically to every company, every quarter.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Consistency Enforcement Point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Metric cleaning standard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Liberti 3-step cleaning runs identically for every company. No exceptions for small items or 'immaterial' charges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Numerator-denominator match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Automated check: EV numerator and EBITDA denominator must include and exclude exactly the same assets. Mismatch blocks downstream scoring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Multiple selection 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Multiple type selected algorithmically from company profile using the Section 3.2 matrix. Analyst cannot select a favorable multiple without a documented override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WACC methodology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Identical CAPM inputs and capital structure weighting applied across all companies. No discretionary adjustments without logged justification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Equity bridge construction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All 8 bridge items evaluated for every company — not skipped when inconvenient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Scenario spread minimum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Bull-to-bear spread must meet a minimum threshold calibrated to sector volatility. Collapse of spread triggers rejection and rebuild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Conviction scoring rubric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All 5 pillars scored using the defined 1–5 rubric with logged justifications for any score above 4. No inflation for companies already held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Exit trigger criteria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The 6 exit triggers evaluated at the same threshold for all positions. A trigger causing exit of a new position must cause exit of a held position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Comparable universe definition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Comparable set fixed before seeing the target multiple. Cannot be modified after the target multiple is known — eliminates cherry-picking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EE" w:val="clear"/>
            <w:tcMar>
              <w:top w:type="dxa" w:w="160"/>
              <w:left w:type="dxa" w:w="200"/>
              <w:bottom w:type="dxa" w:w="160"/>
              <w:right w:type="dxa" w:w="200"/>
            </w:tcMar>
          </w:tcPr>
          <w:p>
            <w:pPr>
              <w:spacing w:after="60" w:before="0"/>
            </w:pPr>
            <w:r>
              <w:rPr>
                <w:rFonts w:ascii="Arial" w:cs="Arial" w:eastAsia="Arial" w:hAnsi="Arial"/>
                <w:b/>
                <w:bCs/>
                <w:color w:val="1A6B5A"/>
                <w:sz w:val="20"/>
                <w:szCs w:val="20"/>
              </w:rPr>
              <w:t xml:space="preserve">The Comparable Cherry-Pick Problem</w:t>
            </w:r>
          </w:p>
          <w:p>
            <w:pPr>
              <w:spacing w:after="0" w:before="0"/>
            </w:pPr>
            <w:r>
              <w:rPr>
                <w:rFonts w:ascii="Arial" w:cs="Arial" w:eastAsia="Arial" w:hAnsi="Arial"/>
                <w:color w:val="4A4A4A"/>
                <w:sz w:val="20"/>
                <w:szCs w:val="20"/>
              </w:rPr>
              <w:t xml:space="preserve">Investors unconsciously select favorable comparables. A company at 18x EBITDA looks cheap vs. peers at 22x and expensive vs. peers at 14x. The comparable universe is fixed before the target multiple is visible. This eliminates one of the most pervasive forms of motivated reasoning in investment analysis.</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9.5  Five Design Rules for AI in Investment Quality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Design Rule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1. AI challenges before it confirms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Every bull thesis is presented to an adversarial agent before the conviction scorer. The adversarial agent finds the strongest counter-argument. The investor must engage with it — not dismiss it — before the thesis is logged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2. Assumptions must be justified, not asserted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I believe margins will expand is not a justification. Margins will expand because operating leverage at this revenue scale has historically produced X% improvement per 10% revenue growth, demonstrated in periods Y and Z is a justification. The difference is stored in thesis memory and auditable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3. Build the model blind, compare after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Intrinsic value estimate is completed before the current market price is visible. This eliminates reverse-engineering a model to arrive just below market price. Margin of safety is calculated only after the independent intrinsic value is locked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4. Memory prevents grade inflation over time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Every prior conviction score, DCF, and assumption set is stored for every company. Quarterly updates flag any assumption revised upward without a documented catalyst — catching the drift toward optimism on positions you 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5. AI explains its flags — it does not override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When the system flags an assumption, consistency violation, or bias signal, it presents the flag with reasoning and specific data that triggered it. The investor decides. AI is the discipline mechanism — not the decision-maker</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9.6  Cognitive Reflection Test — Investor Self-Diagnostic (SFM)</w:t>
      </w:r>
    </w:p>
    <w:p>
      <w:pPr>
        <w:spacing w:after="60" w:before="80"/>
      </w:pPr>
      <w:r>
        <w:rPr>
          <w:rFonts w:ascii="Arial" w:cs="Arial" w:eastAsia="Arial" w:hAnsi="Arial"/>
          <w:b/>
          <w:bCs/>
          <w:color w:val="D4851A"/>
          <w:sz w:val="20"/>
          <w:szCs w:val="20"/>
        </w:rPr>
        <w:t xml:space="preserve">★ NEW: </w:t>
      </w:r>
      <w:r>
        <w:rPr>
          <w:rFonts w:ascii="Arial" w:cs="Arial" w:eastAsia="Arial" w:hAnsi="Arial"/>
          <w:i/>
          <w:iCs/>
          <w:color w:val="4A4A4A"/>
          <w:sz w:val="20"/>
          <w:szCs w:val="20"/>
        </w:rPr>
        <w:t xml:space="preserve">Integrated from SFM: CRT scores correlate with less overconfident financial estimates. Use as a self-assessment before designing personal bias counter-mechanisms.</w:t>
      </w:r>
    </w:p>
    <w:p>
      <w:pPr>
        <w:spacing w:after="80" w:before="60"/>
      </w:pPr>
      <w:r>
        <w:rPr>
          <w:rFonts w:ascii="Arial" w:cs="Arial" w:eastAsia="Arial" w:hAnsi="Arial"/>
          <w:color w:val="4A4A4A"/>
          <w:sz w:val="22"/>
          <w:szCs w:val="22"/>
        </w:rPr>
        <w:t xml:space="preserve">The Cognitive Reflection Test (CRT) measures the tendency to override intuitive but wrong answers with deliberate analytical reasoning. High CRT scores correlate strongly with resistance to overconfidence and anchoring in financial estimation. The SFM course frames this as a tool for understanding your own susceptibility to specific biases — before you can design effective counter-mechanisms, you need to know which biases you are most prone to.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CRT Insight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Framework Application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High CRT scorers anchor less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If you score low on CRT, the anchoring counter-mechanism in this framework (building the model blind before seeing the market price) is not optional — it is mandatory. Low CRT scorers anchor harder and need stronger structural separation between model construction and market price exposure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High CRT scorers are less overconfident in range estimates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If you score low on CRT, you need wider bear case scenarios than the framework defaults suggest. Low CRT scorers systematically underestimate the probability of tail outcomes — widen bear case revenue assumptions by an additional 10–15%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Overconfidence increases with domain expertise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Paradoxically, the more you know about an industry, the more overconfident your estimates become. This is why the adversarial red-team agent must be built to argue against the investor's strongest conviction positions — not easy ones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Recent history anchoring is universal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The recency bias counter-mechanism (5–10 year normalized trend lines as the baseline) is not a suggestion — it is a hard constraint. Even high CRT scorers are susceptible to recency bias in financial forecasting when recent data is vivid and available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60"/>
              <w:left w:type="dxa" w:w="200"/>
              <w:bottom w:type="dxa" w:w="160"/>
              <w:right w:type="dxa" w:w="200"/>
            </w:tcMar>
          </w:tcPr>
          <w:p>
            <w:pPr>
              <w:spacing w:after="60" w:before="0"/>
            </w:pPr>
            <w:r>
              <w:rPr>
                <w:rFonts w:ascii="Arial" w:cs="Arial" w:eastAsia="Arial" w:hAnsi="Arial"/>
                <w:b/>
                <w:bCs/>
                <w:color w:val="D4851A"/>
                <w:sz w:val="20"/>
                <w:szCs w:val="20"/>
              </w:rPr>
              <w:t xml:space="preserve">Self-Assessment Before Using This Framework</w:t>
            </w:r>
          </w:p>
          <w:p>
            <w:pPr>
              <w:spacing w:after="0" w:before="0"/>
            </w:pPr>
            <w:r>
              <w:rPr>
                <w:rFonts w:ascii="Arial" w:cs="Arial" w:eastAsia="Arial" w:hAnsi="Arial"/>
                <w:color w:val="4A4A4A"/>
                <w:sz w:val="20"/>
                <w:szCs w:val="20"/>
              </w:rPr>
              <w:t xml:space="preserve">Before running the framework on a new investment, answer three questions: (1) How recently have I been positively surprised by this company or sector? Recent positive surprises inflate base case assumptions. (2) What was the first valuation number I saw for this company? That number is your anchor — document it and force yourself to build the model before returning to it. (3) Am I more certain about this investment than my track record justifies? Overconfidence is proportional to conviction — the higher your conviction, the more adversarial pressure the red-team agent should apply.</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9.7  What AI Must Never Replace</w:t>
      </w:r>
    </w:p>
    <w:p>
      <w:pPr>
        <w:pStyle w:val="ListParagraph"/>
        <w:numPr>
          <w:ilvl w:val="0"/>
          <w:numId w:val="2"/>
        </w:numPr>
        <w:spacing w:after="40" w:before="40"/>
      </w:pPr>
      <w:r>
        <w:rPr>
          <w:rFonts w:ascii="Arial" w:cs="Arial" w:eastAsia="Arial" w:hAnsi="Arial"/>
          <w:color w:val="4A4A4A"/>
          <w:sz w:val="22"/>
          <w:szCs w:val="22"/>
        </w:rPr>
        <w:t xml:space="preserve">Moat judgment — whether a competitive advantage is durable or eroding requires industry pattern recognition that AI can inform but not own</w:t>
      </w:r>
    </w:p>
    <w:p>
      <w:pPr>
        <w:pStyle w:val="ListParagraph"/>
        <w:numPr>
          <w:ilvl w:val="0"/>
          <w:numId w:val="2"/>
        </w:numPr>
        <w:spacing w:after="40" w:before="40"/>
      </w:pPr>
      <w:r>
        <w:rPr>
          <w:rFonts w:ascii="Arial" w:cs="Arial" w:eastAsia="Arial" w:hAnsi="Arial"/>
          <w:color w:val="4A4A4A"/>
          <w:sz w:val="22"/>
          <w:szCs w:val="22"/>
        </w:rPr>
        <w:t xml:space="preserve">Thesis integrity on exits — the judgment call on whether a moat is broken vs. temporarily stressed requires contextual reasoning that exceeds current AI capability</w:t>
      </w:r>
    </w:p>
    <w:p>
      <w:pPr>
        <w:pStyle w:val="ListParagraph"/>
        <w:numPr>
          <w:ilvl w:val="0"/>
          <w:numId w:val="2"/>
        </w:numPr>
        <w:spacing w:after="40" w:before="40"/>
      </w:pPr>
      <w:r>
        <w:rPr>
          <w:rFonts w:ascii="Arial" w:cs="Arial" w:eastAsia="Arial" w:hAnsi="Arial"/>
          <w:color w:val="4A4A4A"/>
          <w:sz w:val="22"/>
          <w:szCs w:val="22"/>
        </w:rPr>
        <w:t xml:space="preserve">Final portfolio conviction — the ultimate decision to deploy capital and the accountability for the outcome must belong to the investor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0"/>
            </w:pPr>
            <w:r>
              <w:rPr>
                <w:rFonts w:ascii="Arial" w:cs="Arial" w:eastAsia="Arial" w:hAnsi="Arial"/>
                <w:b/>
                <w:bCs/>
                <w:color w:val="1E3A5F"/>
                <w:sz w:val="20"/>
                <w:szCs w:val="20"/>
              </w:rPr>
              <w:t xml:space="preserve">AI Quality Workflow Integration</w:t>
            </w:r>
          </w:p>
          <w:p>
            <w:pPr>
              <w:spacing w:after="0" w:before="0"/>
            </w:pPr>
            <w:r>
              <w:rPr>
                <w:rFonts w:ascii="Arial" w:cs="Arial" w:eastAsia="Arial" w:hAnsi="Arial"/>
                <w:color w:val="4A4A4A"/>
                <w:sz w:val="20"/>
                <w:szCs w:val="20"/>
              </w:rPr>
              <w:t xml:space="preserve">Monthly: bias audit on all thesis docs, flag assumption drift, cross-portfolio consistency check. Quarterly: full red-team run, adversarial bear rebuilt, equity bridges reconstructed, comparables re-certified. Annual: full assumption audit vs prior 3 years — any consistent optimism drift is flagged for bias investigation.</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9.8  ★ Framework Override Protocol — When Human Judgment Supersedes the System</w:t>
      </w:r>
    </w:p>
    <w:p>
      <w:pPr>
        <w:spacing w:after="60" w:before="80"/>
      </w:pPr>
      <w:r>
        <w:rPr>
          <w:rFonts w:ascii="Arial" w:cs="Arial" w:eastAsia="Arial" w:hAnsi="Arial"/>
          <w:b/>
          <w:bCs/>
          <w:color w:val="D4851A"/>
          <w:sz w:val="20"/>
          <w:szCs w:val="20"/>
        </w:rPr>
        <w:t xml:space="preserve">★ NEW: </w:t>
      </w:r>
      <w:r>
        <w:rPr>
          <w:rFonts w:ascii="Arial" w:cs="Arial" w:eastAsia="Arial" w:hAnsi="Arial"/>
          <w:i/>
          <w:iCs/>
          <w:color w:val="4A4A4A"/>
          <w:sz w:val="20"/>
          <w:szCs w:val="20"/>
        </w:rPr>
        <w:t xml:space="preserve">New: a meta-level protocol for when legitimate expertise-based judgment can override a system flag — with accountability requirements.</w:t>
      </w:r>
    </w:p>
    <w:p>
      <w:pPr>
        <w:spacing w:after="80" w:before="60"/>
      </w:pPr>
      <w:r>
        <w:rPr>
          <w:rFonts w:ascii="Arial" w:cs="Arial" w:eastAsia="Arial" w:hAnsi="Arial"/>
          <w:color w:val="4A4A4A"/>
          <w:sz w:val="22"/>
          <w:szCs w:val="22"/>
        </w:rPr>
        <w:t xml:space="preserve">A framework followed rigidly when it should be exercised with judgment produces systematic errors on the edges. A framework ignored selectively produces no discipline at all. The override protocol defines the narrow conditions under which a human override of a system flag is legitimate, and the accountability structure that makes overrides traceable and learnable.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60"/>
              <w:left w:type="dxa" w:w="200"/>
              <w:bottom w:type="dxa" w:w="160"/>
              <w:right w:type="dxa" w:w="200"/>
            </w:tcMar>
          </w:tcPr>
          <w:p>
            <w:pPr>
              <w:spacing w:after="60" w:before="0"/>
            </w:pPr>
            <w:r>
              <w:rPr>
                <w:rFonts w:ascii="Arial" w:cs="Arial" w:eastAsia="Arial" w:hAnsi="Arial"/>
                <w:b/>
                <w:bCs/>
                <w:color w:val="D4851A"/>
                <w:sz w:val="20"/>
                <w:szCs w:val="20"/>
              </w:rPr>
              <w:t xml:space="preserve">When Override Is Legitimate vs When It Is Rationalisation</w:t>
            </w:r>
          </w:p>
          <w:p>
            <w:pPr>
              <w:spacing w:after="0" w:before="0"/>
            </w:pPr>
            <w:r>
              <w:rPr>
                <w:rFonts w:ascii="Arial" w:cs="Arial" w:eastAsia="Arial" w:hAnsi="Arial"/>
                <w:color w:val="4A4A4A"/>
                <w:sz w:val="20"/>
                <w:szCs w:val="20"/>
              </w:rPr>
              <w:t xml:space="preserve">Legitimate override: the investor has specific domain knowledge that the system cannot access — they know this particular accounting structure routinely triggers a Beneish false positive, or they have primary research confirming a metric the system flagged is genuinely one-time. Rationalisation: the investor likes the company and the flag is inconvenient. The test: can you state the override reason precisely enough that a third party could verify whether it was correct in 12 months? If not, it is rationalisation.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Override Protocol Step</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Requirement and Documentation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Step 1: Name the flag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State precisely which system flag is being overridden: the specific checklist item, the specific metric threshold, and the specific score it produced. Vague overrides are not permitted. The flag must be identifiable in the thesis document by name and section number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Step 2: State the specific reason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Provide the specific evidence that makes this flag a false positive in this case. Acceptable reasons: (a) the accounting structure that triggered the flag is structurally different from the pattern the flag was designed to detect, with a precise explanation of the difference; (b) primary research (management conversation, customer diligence, site visit) has produced information the system does not have access to, with the source documented; (c) an industry-specific standard practice that is legitimate but triggers the flag, with peer company comparison showing the same flag fires on peers with known-good outcomes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Step 3: Document the prediction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State precisely what observable outcome will confirm the override was correct within 12 months. The prediction must be specific enough to be verifiable: a metric, a date, a price level, or a business outcome. A prediction of 'the stock will go up' is not acceptable. A prediction of 'the next quarterly filing will show the restructuring charge reversal that triggered the Beneish flag, restoring the score to below -1.78' is acceptable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Step 4: Log and review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The override is logged in thesis memory with: the flag name, the reason, the prediction, and the date. At the next quarterly review, the prediction is evaluated. If the prediction was correct, the override is marked as a valid exercise of expertise. If the prediction was wrong, the override is marked as rationalisation and the position is reviewed for exit. Override accuracy is tracked as a separate performance attribution dimension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Step 5: Position sizing constraint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Any position with an active override is capped at 75% of its conviction-based position size until the override prediction is confirmed. This is not a punishment — it is a recognition that the position carries an unresolved uncertainty that the system has flagged and the investor has disputed. The cap lifts automatically when the prediction is confirmed</w:t>
            </w:r>
          </w:p>
        </w:tc>
      </w:tr>
    </w:tbl>
    <w:p>
      <w:pPr>
        <w:spacing w:after="80" w:before="0"/>
      </w:pPr>
      <w:r>
        <w:t xml:space="preserve"/>
      </w:r>
    </w:p>
    <w:p>
      <w:pPr>
        <w:spacing w:after="80" w:before="60"/>
      </w:pPr>
      <w:r>
        <w:rPr>
          <w:rFonts w:ascii="Arial" w:cs="Arial" w:eastAsia="Arial" w:hAnsi="Arial"/>
          <w:color w:val="4A4A4A"/>
          <w:sz w:val="22"/>
          <w:szCs w:val="22"/>
        </w:rPr>
        <w:t xml:space="preserve">The override protocol serves a second purpose beyond individual position management: it generates data on which framework flags produce the most false positives, and on which types of domain expertise most reliably identify those false positives. Over time, this data allows the framework itself to be refined — not by relaxing standards but by improving precision. An override that is consistently correct for a specific accounting structure in a specific sector is signal that the flag calibration should be adjusted for that context.</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SECTION 10  ·  RISK FRAMEWORK — WHAT THE FRAMEWORK WAS MISSING</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10.1  The Gap — Conviction Without Risk Quantification</w:t>
      </w:r>
    </w:p>
    <w:p>
      <w:pPr>
        <w:spacing w:after="80" w:before="60"/>
      </w:pPr>
      <w:r>
        <w:rPr>
          <w:rFonts w:ascii="Arial" w:cs="Arial" w:eastAsia="Arial" w:hAnsi="Arial"/>
          <w:color w:val="4A4A4A"/>
          <w:sz w:val="22"/>
          <w:szCs w:val="22"/>
        </w:rPr>
        <w:t xml:space="preserve">The framework evaluates every position on its individual merits but had no mechanism for asking what happens to the whole portfolio when five positions deteriorate simultaneously — which is exactly when correlations spike and diversification fails. Risk is not the same as volatility, and it is not the same as the bear scenario on a single DCF. Risk is the probability-weighted impact of adverse outcomes across the entire portfolio at the same time.</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10.2  Idiosyncratic vs Systemic Risk Separation</w:t>
      </w:r>
    </w:p>
    <w:p>
      <w:pPr>
        <w:spacing w:after="80" w:before="60"/>
      </w:pPr>
      <w:r>
        <w:rPr>
          <w:rFonts w:ascii="Arial" w:cs="Arial" w:eastAsia="Arial" w:hAnsi="Arial"/>
          <w:color w:val="4A4A4A"/>
          <w:sz w:val="22"/>
          <w:szCs w:val="22"/>
        </w:rPr>
        <w:t xml:space="preserve">Every position carries two structurally different types of risk that require different responses. Idiosyncratic risk is specific to the company and can be reduced through diversification. Systemic risk cannot be diversified away and must be managed at the portfolio level.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Risk Type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Definition and Response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Idiosyncratic — company-specific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Key person dependency, single-customer concentration, patent cliff, product liability, regulatory exposure specific to this company. Response: cap position size, require higher margin of safety, monitor trigger events quarterly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Systemic — market-wide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Interest rate sensitivity, credit cycle exposure, commodity price linkage, FX translation, equity market beta. Response: manage at portfolio level through factor exposure limits, not at position level through stock selection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Idiosyncratic score (1–5)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5 = diversified customer base, deep management bench, no IP cliff, no regulatory overhang. 1 = single customer &gt; 40% revenue, founder-only relationships, key patent expiring within horizon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Systemic beta flags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Rate sensitivity: duration equivalent of DCF cash flows. Credit cycle: leverage ratio vs covenant headroom. Commodity: COGS exposure to volatile inputs. Flag if any single systemic factor drives &gt; 30% of position return variance</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10.3  Concentration Risk Thresholds</w:t>
      </w:r>
    </w:p>
    <w:p>
      <w:pPr>
        <w:spacing w:after="80" w:before="60"/>
      </w:pPr>
      <w:r>
        <w:rPr>
          <w:rFonts w:ascii="Arial" w:cs="Arial" w:eastAsia="Arial" w:hAnsi="Arial"/>
          <w:color w:val="4A4A4A"/>
          <w:sz w:val="22"/>
          <w:szCs w:val="22"/>
        </w:rPr>
        <w:t xml:space="preserve">Hard thresholds that trigger mandatory review — not guidelines: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Concentration Flag</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Threshold and 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Single customer revenue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&gt; 20% of revenue: flag and monitor. &gt; 40%: mandatory position size cap at 3% of portfolio regardless of conviction score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Single geography revenue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&gt; 60% in one jurisdiction: assess regulatory and FX risk. &gt; 80%: requires explicit geopolitical scenario in bear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Single product revenue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&gt; 50% from one product: assess substitution risk and pipeline depth. Flag if product is in mature or declining lifecycle stage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Key person dependency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Business model dependent on founder relationships with no identified successor: cap at 5% of portfolio. Require succession plan assessment annually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Supplier concentration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&gt; 40% of COGS from single supplier: assess switching cost and contractual terms. Flag if supplier is in geopolitically sensitive jurisdiction</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10.4  Portfolio-Level Drawdown Simulation</w:t>
      </w:r>
    </w:p>
    <w:p>
      <w:pPr>
        <w:spacing w:after="80" w:before="60"/>
      </w:pPr>
      <w:r>
        <w:rPr>
          <w:rFonts w:ascii="Arial" w:cs="Arial" w:eastAsia="Arial" w:hAnsi="Arial"/>
          <w:color w:val="4A4A4A"/>
          <w:sz w:val="22"/>
          <w:szCs w:val="22"/>
        </w:rPr>
        <w:t xml:space="preserve">Run annually and at any time when the macro regime signal moves to RISK-OFF. Simultaneously apply bear-case assumptions to all positions and calculate aggregate portfolio impact.</w:t>
      </w:r>
    </w:p>
    <w:p>
      <w:pPr>
        <w:pStyle w:val="ListParagraph"/>
        <w:numPr>
          <w:ilvl w:val="0"/>
          <w:numId w:val="2"/>
        </w:numPr>
        <w:spacing w:after="40" w:before="40"/>
      </w:pPr>
      <w:r>
        <w:rPr>
          <w:rFonts w:ascii="Arial" w:cs="Arial" w:eastAsia="Arial" w:hAnsi="Arial"/>
          <w:color w:val="4A4A4A"/>
          <w:sz w:val="22"/>
          <w:szCs w:val="22"/>
        </w:rPr>
        <w:t xml:space="preserve">Step 1: Apply each position's bear-case DCF assumptions simultaneously — not individually</w:t>
      </w:r>
    </w:p>
    <w:p>
      <w:pPr>
        <w:pStyle w:val="ListParagraph"/>
        <w:numPr>
          <w:ilvl w:val="0"/>
          <w:numId w:val="2"/>
        </w:numPr>
        <w:spacing w:after="40" w:before="40"/>
      </w:pPr>
      <w:r>
        <w:rPr>
          <w:rFonts w:ascii="Arial" w:cs="Arial" w:eastAsia="Arial" w:hAnsi="Arial"/>
          <w:color w:val="4A4A4A"/>
          <w:sz w:val="22"/>
          <w:szCs w:val="22"/>
        </w:rPr>
        <w:t xml:space="preserve">Step 2: Apply historical stress-period correlation matrix (2008 financial crisis, 2020 COVID, 2022 rate shock) — correlations spike toward 1.0 in stress, destroying apparent diversification</w:t>
      </w:r>
    </w:p>
    <w:p>
      <w:pPr>
        <w:pStyle w:val="ListParagraph"/>
        <w:numPr>
          <w:ilvl w:val="0"/>
          <w:numId w:val="2"/>
        </w:numPr>
        <w:spacing w:after="40" w:before="40"/>
      </w:pPr>
      <w:r>
        <w:rPr>
          <w:rFonts w:ascii="Arial" w:cs="Arial" w:eastAsia="Arial" w:hAnsi="Arial"/>
          <w:color w:val="4A4A4A"/>
          <w:sz w:val="22"/>
          <w:szCs w:val="22"/>
        </w:rPr>
        <w:t xml:space="preserve">Step 3: Calculate portfolio-level drawdown. If simulated drawdown exceeds 35%, the portfolio requires restructuring before the next deployment of capital</w:t>
      </w:r>
    </w:p>
    <w:p>
      <w:pPr>
        <w:pStyle w:val="ListParagraph"/>
        <w:numPr>
          <w:ilvl w:val="0"/>
          <w:numId w:val="2"/>
        </w:numPr>
        <w:spacing w:after="40" w:before="40"/>
      </w:pPr>
      <w:r>
        <w:rPr>
          <w:rFonts w:ascii="Arial" w:cs="Arial" w:eastAsia="Arial" w:hAnsi="Arial"/>
          <w:color w:val="4A4A4A"/>
          <w:sz w:val="22"/>
          <w:szCs w:val="22"/>
        </w:rPr>
        <w:t xml:space="preserve">Step 4: Identify which 3 positions contribute the most to portfolio drawdown — these are the concentration risk priorities regardless of their individual conviction scores</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10.5  Liquidity Risk — Position and Exit Sizing</w:t>
      </w:r>
    </w:p>
    <w:p>
      <w:pPr>
        <w:pStyle w:val="ListParagraph"/>
        <w:numPr>
          <w:ilvl w:val="0"/>
          <w:numId w:val="2"/>
        </w:numPr>
        <w:spacing w:after="40" w:before="40"/>
      </w:pPr>
      <w:r>
        <w:rPr>
          <w:rFonts w:ascii="Arial" w:cs="Arial" w:eastAsia="Arial" w:hAnsi="Arial"/>
          <w:color w:val="4A4A4A"/>
          <w:sz w:val="22"/>
          <w:szCs w:val="22"/>
        </w:rPr>
        <w:t xml:space="preserve">Calculate days-to-liquidate for each position: position size ÷ 20% of average 30-day daily volume</w:t>
      </w:r>
    </w:p>
    <w:p>
      <w:pPr>
        <w:pStyle w:val="ListParagraph"/>
        <w:numPr>
          <w:ilvl w:val="0"/>
          <w:numId w:val="2"/>
        </w:numPr>
        <w:spacing w:after="40" w:before="40"/>
      </w:pPr>
      <w:r>
        <w:rPr>
          <w:rFonts w:ascii="Arial" w:cs="Arial" w:eastAsia="Arial" w:hAnsi="Arial"/>
          <w:color w:val="4A4A4A"/>
          <w:sz w:val="22"/>
          <w:szCs w:val="22"/>
        </w:rPr>
        <w:t xml:space="preserve">Hard rule: no position should take more than 10 trading days to exit at 20% of daily volume without material market impact</w:t>
      </w:r>
    </w:p>
    <w:p>
      <w:pPr>
        <w:pStyle w:val="ListParagraph"/>
        <w:numPr>
          <w:ilvl w:val="0"/>
          <w:numId w:val="2"/>
        </w:numPr>
        <w:spacing w:after="40" w:before="40"/>
      </w:pPr>
      <w:r>
        <w:rPr>
          <w:rFonts w:ascii="Arial" w:cs="Arial" w:eastAsia="Arial" w:hAnsi="Arial"/>
          <w:color w:val="4A4A4A"/>
          <w:sz w:val="22"/>
          <w:szCs w:val="22"/>
        </w:rPr>
        <w:t xml:space="preserve">Liquidity-adjusted maximum position size = min(conviction-based size, 20% of 30-day average daily volume)</w:t>
      </w:r>
    </w:p>
    <w:p>
      <w:pPr>
        <w:pStyle w:val="ListParagraph"/>
        <w:numPr>
          <w:ilvl w:val="0"/>
          <w:numId w:val="2"/>
        </w:numPr>
        <w:spacing w:after="40" w:before="40"/>
      </w:pPr>
      <w:r>
        <w:rPr>
          <w:rFonts w:ascii="Arial" w:cs="Arial" w:eastAsia="Arial" w:hAnsi="Arial"/>
          <w:color w:val="4A4A4A"/>
          <w:sz w:val="22"/>
          <w:szCs w:val="22"/>
        </w:rPr>
        <w:t xml:space="preserve">Flag: if market cap &lt; 00M, apply additional 50% haircut to maximum position size — small-cap liquidity evaporates fastest in 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60"/>
              <w:left w:type="dxa" w:w="200"/>
              <w:bottom w:type="dxa" w:w="160"/>
              <w:right w:type="dxa" w:w="200"/>
            </w:tcMar>
          </w:tcPr>
          <w:p>
            <w:pPr>
              <w:spacing w:after="60" w:before="0"/>
            </w:pPr>
            <w:r>
              <w:rPr>
                <w:rFonts w:ascii="Arial" w:cs="Arial" w:eastAsia="Arial" w:hAnsi="Arial"/>
                <w:b/>
                <w:bCs/>
                <w:color w:val="D4851A"/>
                <w:sz w:val="20"/>
                <w:szCs w:val="20"/>
              </w:rPr>
              <w:t xml:space="preserve">Risk Scoring Integration</w:t>
            </w:r>
          </w:p>
          <w:p>
            <w:pPr>
              <w:spacing w:after="0" w:before="0"/>
            </w:pPr>
            <w:r>
              <w:rPr>
                <w:rFonts w:ascii="Arial" w:cs="Arial" w:eastAsia="Arial" w:hAnsi="Arial"/>
                <w:color w:val="4A4A4A"/>
                <w:sz w:val="20"/>
                <w:szCs w:val="20"/>
              </w:rPr>
              <w:t xml:space="preserve">Add two scores to every position record: Idiosyncratic Risk Score (1-5, higher = more company-specific risk) and Systemic Beta Profile (rate sensitivity, credit cycle, commodity, FX). These feed into position sizing: high idiosyncratic risk positions are capped at 6% regardless of conviction score. High systemic beta positions are monitored against portfolio-level factor exposure limits.</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10.6  ★ Reflexivity — When Stock Price Affects Fundamentals</w:t>
      </w:r>
    </w:p>
    <w:p>
      <w:pPr>
        <w:spacing w:after="60" w:before="80"/>
      </w:pPr>
      <w:r>
        <w:rPr>
          <w:rFonts w:ascii="Arial" w:cs="Arial" w:eastAsia="Arial" w:hAnsi="Arial"/>
          <w:b/>
          <w:bCs/>
          <w:color w:val="D4851A"/>
          <w:sz w:val="20"/>
          <w:szCs w:val="20"/>
        </w:rPr>
        <w:t xml:space="preserve">★ NEW: </w:t>
      </w:r>
      <w:r>
        <w:rPr>
          <w:rFonts w:ascii="Arial" w:cs="Arial" w:eastAsia="Arial" w:hAnsi="Arial"/>
          <w:i/>
          <w:iCs/>
          <w:color w:val="4A4A4A"/>
          <w:sz w:val="20"/>
          <w:szCs w:val="20"/>
        </w:rPr>
        <w:t xml:space="preserve">New: Soros reflexivity principle — in certain company types, the stock price is an active input to fundamentals, creating feedback loops the DCF cannot model.</w:t>
      </w:r>
    </w:p>
    <w:p>
      <w:pPr>
        <w:spacing w:after="80" w:before="60"/>
      </w:pPr>
      <w:r>
        <w:rPr>
          <w:rFonts w:ascii="Arial" w:cs="Arial" w:eastAsia="Arial" w:hAnsi="Arial"/>
          <w:color w:val="4A4A4A"/>
          <w:sz w:val="22"/>
          <w:szCs w:val="22"/>
        </w:rPr>
        <w:t xml:space="preserve">Standard DCF treats fundamentals as exogenous to price — the stock price is the output of the model, not an input. For most companies this is correct. For four specific company types, it is wrong: the stock price itself affects fundamentals, creating feedback loops that make the bear case wider than any DCF parameter sensitivity can capture. Identifying these companies and widening the bear case accordingly is one of the most important risk management adjustments in the framework.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Reflexivity Condition</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Mechanism and Bear Case Adjustment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Financial companies — confidence-driven businesses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 falling bank stock triggers deposit outflows as depositors fear insolvency. The outflows create the liquidity crisis the falling price implied — a self-fulfilling prophecy. A falling insurance stock reduces policyholder renewal rates. A falling asset manager stock triggers AUM outflows. The mechanism: confidence is both a cause and an effect of financial stability. Bear case adjustment: model a deposit or AUM outflow scenario of 15–30% concurrent with the equity decline. If the bank cannot sustain operations through this outflow without emergency capital, the bear case equity value is zero, not a reduced DCF output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Highly acquisitive companies — equity as strategic currency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Companies whose growth strategy depends on using their own stock as acquisition currency face reflexivity when the stock price falls. A 40% stock price decline does not merely reduce the value of existing assets — it eliminates the M&amp;A strategy entirely, forcing a strategic pivot the market has not priced. Bear case adjustment: in scenarios where the stock falls more than 30%, remove all acquisition-driven growth from the DCF and rebuild assuming organic growth only. Compare this organic-only DCF to the current price — the delta is the acquisition optionality premium that vanishes with the stock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High-SBC companies — talent retention through equity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Companies where top talent is retained primarily through equity compensation (common in technology) face reflexivity when the stock price falls materially. A 40% stock decline halves the value of unvested equity, triggering attrition of the most mobile and highest-quality employees — precisely those with the most alternatives. Bear case adjustment: for companies where annual SBC exceeds 8% of revenue, model a talent attrition scenario concurrent with equity decline: assume 15–25% increase in engineering headcount turnover, productivity decline of 10–15% for 18 months, and the associated revenue growth impairment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Network businesses approaching tipping point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A network business that has not yet reached the tipping point is vulnerable to reflexivity: a falling stock generates negative press coverage, which slows new user adoption, which slows network growth, which validates the fundamental concern behind the falling stock, which generates more negative press. This loop can prevent the business from ever reaching the tipping point. Bear case adjustment: for network businesses scored as pre-tipping-point in the 7 Powers assessment, model a scenario where user growth decelerates to zero and the business stabilises at its current scale without ever achieving network dominance. This is the permanent-niche scenario and must produce a positive equity value to justify the investment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60"/>
              <w:left w:type="dxa" w:w="200"/>
              <w:bottom w:type="dxa" w:w="160"/>
              <w:right w:type="dxa" w:w="200"/>
            </w:tcMar>
          </w:tcPr>
          <w:p>
            <w:pPr>
              <w:spacing w:after="60" w:before="0"/>
            </w:pPr>
            <w:r>
              <w:rPr>
                <w:rFonts w:ascii="Arial" w:cs="Arial" w:eastAsia="Arial" w:hAnsi="Arial"/>
                <w:b/>
                <w:bCs/>
                <w:color w:val="D4851A"/>
                <w:sz w:val="20"/>
                <w:szCs w:val="20"/>
              </w:rPr>
              <w:t xml:space="preserve">Reflexivity Flag Protocol</w:t>
            </w:r>
          </w:p>
          <w:p>
            <w:pPr>
              <w:spacing w:after="0" w:before="0"/>
            </w:pPr>
            <w:r>
              <w:rPr>
                <w:rFonts w:ascii="Arial" w:cs="Arial" w:eastAsia="Arial" w:hAnsi="Arial"/>
                <w:color w:val="4A4A4A"/>
                <w:sz w:val="20"/>
                <w:szCs w:val="20"/>
              </w:rPr>
              <w:t xml:space="preserve">For any position where one or more reflexivity conditions apply: (1) Widen the bear case spread beyond DCF parameters by the mechanism described above. (2) Add a monitoring trigger: if the stock declines more than 25% from entry price, run the reflexivity scenario analysis immediately — do not wait for the quarterly review. (3) Reduce maximum position size by 25% relative to the conviction-based size. Reflexivity does not disqualify an investment — it changes the risk profile in ways the standard DCF cannot capture, and position sizing must reflect that.</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SECTION 11  ·  MANAGEMENT QUALITY — STRUCTURED ASSESSMENT</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11.1  Why Qualitative Is Not Enough</w:t>
      </w:r>
    </w:p>
    <w:p>
      <w:pPr>
        <w:spacing w:after="80" w:before="60"/>
      </w:pPr>
      <w:r>
        <w:rPr>
          <w:rFonts w:ascii="Arial" w:cs="Arial" w:eastAsia="Arial" w:hAnsi="Arial"/>
          <w:color w:val="4A4A4A"/>
          <w:sz w:val="22"/>
          <w:szCs w:val="22"/>
        </w:rPr>
        <w:t xml:space="preserve">Management is Pillar 5 in the conviction scorer but was assessed informally. The problem is that management quality is the single most important predictor of long-term capital compounding — and informal assessment is where the most dangerous biases live. Charismatic management teams get over-scored. Quiet, disciplined operators get under-scored. The solution is to replace qualitative judgment with an auditable, scored track record.</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11.2  Capital Allocation Track Record — Scored</w:t>
      </w:r>
    </w:p>
    <w:p>
      <w:pPr>
        <w:spacing w:after="80" w:before="60"/>
      </w:pPr>
      <w:r>
        <w:rPr>
          <w:rFonts w:ascii="Arial" w:cs="Arial" w:eastAsia="Arial" w:hAnsi="Arial"/>
          <w:color w:val="4A4A4A"/>
          <w:sz w:val="22"/>
          <w:szCs w:val="22"/>
        </w:rPr>
        <w:t xml:space="preserve">Every major capital allocation decision over the past 5–10 years should be scored against outcomes. This is not narrative — it is a record.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Capital Allocation Category</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How to Score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M&amp;A track record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Purchase price multiples paid vs realized synergies and post-acquisition ROIC 3 years later. Score 5 if consistently accretive above WACC; score 1 if serial empire building with value-destructive outcomes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Buyback discipline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Average buyback price vs trailing intrinsic value estimate at time of buyback. Buybacks below intrinsic value are accretive; above intrinsic value are destructive. Require 5-year record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Capex discipline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Growth capex decisions vs subsequent returns: did the invested capital earn above WACC? Score the hit rate on major capital projects over 5 years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Dividend sustainability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Has the dividend been maintained and grown through full cycles? Has it been cut? Dividend cuts are often the first visible signal of deeper problems management has not disclosed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R&amp;D return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R&amp;D spend as % of revenue vs revenue growth rate 2–3 years later. This is the empirical test of whether R&amp;D investment is generating a return or is a cost with no visible output</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11.3  Guidance Credibility Score — Quantified</w:t>
      </w:r>
    </w:p>
    <w:p>
      <w:pPr>
        <w:spacing w:after="80" w:before="60"/>
      </w:pPr>
      <w:r>
        <w:rPr>
          <w:rFonts w:ascii="Arial" w:cs="Arial" w:eastAsia="Arial" w:hAnsi="Arial"/>
          <w:color w:val="4A4A4A"/>
          <w:sz w:val="22"/>
          <w:szCs w:val="22"/>
        </w:rPr>
        <w:t xml:space="preserve">Track management's guidance accuracy over 8–12 quarters with a formal score. This replaces the qualitative 'guidance consistency' reference that existed in the original framework.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0"/>
            </w:pPr>
            <w:r>
              <w:rPr>
                <w:rFonts w:ascii="Arial" w:cs="Arial" w:eastAsia="Arial" w:hAnsi="Arial"/>
                <w:b/>
                <w:bCs/>
                <w:color w:val="1E3A5F"/>
                <w:sz w:val="20"/>
                <w:szCs w:val="20"/>
              </w:rPr>
              <w:t xml:space="preserve">Guidance Credibility Formula</w:t>
            </w:r>
          </w:p>
          <w:p>
            <w:pPr>
              <w:spacing w:after="0" w:before="0"/>
            </w:pPr>
            <w:r>
              <w:rPr>
                <w:rFonts w:ascii="Arial" w:cs="Arial" w:eastAsia="Arial" w:hAnsi="Arial"/>
                <w:color w:val="4A4A4A"/>
                <w:sz w:val="20"/>
                <w:szCs w:val="20"/>
              </w:rPr>
              <w:t xml:space="preserve">Guidance Credibility Score = % of quarters where actual result was within 5% of initial guidance over trailing 3 years. Score interpretation: &gt; 80% = highly credible (score 5), 60–80% = reliable (score 4), 40–60% = variable (score 3), &lt; 40% = unreliable (score 1–2). A management team that beats by 1% every quarter is structurally more valuable than one that misses by 10% and beats by 15% alternately — both average the same outcome but the latter has no predictive information value.</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11.4  Insider Ownership and Incentive Alignment</w:t>
      </w:r>
    </w:p>
    <w:p>
      <w:pPr>
        <w:pStyle w:val="ListParagraph"/>
        <w:numPr>
          <w:ilvl w:val="0"/>
          <w:numId w:val="2"/>
        </w:numPr>
        <w:spacing w:after="40" w:before="40"/>
      </w:pPr>
      <w:r>
        <w:rPr>
          <w:rFonts w:ascii="Arial" w:cs="Arial" w:eastAsia="Arial" w:hAnsi="Arial"/>
          <w:color w:val="4A4A4A"/>
          <w:sz w:val="22"/>
          <w:szCs w:val="22"/>
        </w:rPr>
        <w:t xml:space="preserve">Insider ownership percentage — green flag if &gt; 5%, red flag if declining materially over 12 months without disclosed plan-driven sales</w:t>
      </w:r>
    </w:p>
    <w:p>
      <w:pPr>
        <w:pStyle w:val="ListParagraph"/>
        <w:numPr>
          <w:ilvl w:val="0"/>
          <w:numId w:val="2"/>
        </w:numPr>
        <w:spacing w:after="40" w:before="40"/>
      </w:pPr>
      <w:r>
        <w:rPr>
          <w:rFonts w:ascii="Arial" w:cs="Arial" w:eastAsia="Arial" w:hAnsi="Arial"/>
          <w:color w:val="4A4A4A"/>
          <w:sz w:val="22"/>
          <w:szCs w:val="22"/>
        </w:rPr>
        <w:t xml:space="preserve">Compensation structure: score 5 if tied to ROIC above WACC over 3-year period. Score 3 if tied to revenue or adjusted EBITDA. Score 1 if tied to total revenue with no profitability gate</w:t>
      </w:r>
    </w:p>
    <w:p>
      <w:pPr>
        <w:pStyle w:val="ListParagraph"/>
        <w:numPr>
          <w:ilvl w:val="0"/>
          <w:numId w:val="2"/>
        </w:numPr>
        <w:spacing w:after="40" w:before="40"/>
      </w:pPr>
      <w:r>
        <w:rPr>
          <w:rFonts w:ascii="Arial" w:cs="Arial" w:eastAsia="Arial" w:hAnsi="Arial"/>
          <w:color w:val="4A4A4A"/>
          <w:sz w:val="22"/>
          <w:szCs w:val="22"/>
        </w:rPr>
        <w:t xml:space="preserve">SBC as dilution rate: calculate net annual dilution after buybacks. If net dilution &gt; 2% per year consistently, the buyback program is a treadmill not a return of capital</w:t>
      </w:r>
    </w:p>
    <w:p>
      <w:pPr>
        <w:pStyle w:val="ListParagraph"/>
        <w:numPr>
          <w:ilvl w:val="0"/>
          <w:numId w:val="2"/>
        </w:numPr>
        <w:spacing w:after="40" w:before="40"/>
      </w:pPr>
      <w:r>
        <w:rPr>
          <w:rFonts w:ascii="Arial" w:cs="Arial" w:eastAsia="Arial" w:hAnsi="Arial"/>
          <w:color w:val="4A4A4A"/>
          <w:sz w:val="22"/>
          <w:szCs w:val="22"/>
        </w:rPr>
        <w:t xml:space="preserve">Form 4 filing review: required quarterly. Cluster selling by multiple insiders simultaneously is a high-priority exit trigger review signal — not automatic exit but mandatory reassessment</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11.5  Succession and Organizational Depth</w:t>
      </w:r>
    </w:p>
    <w:p>
      <w:pPr>
        <w:pStyle w:val="ListParagraph"/>
        <w:numPr>
          <w:ilvl w:val="0"/>
          <w:numId w:val="2"/>
        </w:numPr>
        <w:spacing w:after="40" w:before="40"/>
      </w:pPr>
      <w:r>
        <w:rPr>
          <w:rFonts w:ascii="Arial" w:cs="Arial" w:eastAsia="Arial" w:hAnsi="Arial"/>
          <w:color w:val="4A4A4A"/>
          <w:sz w:val="22"/>
          <w:szCs w:val="22"/>
        </w:rPr>
        <w:t xml:space="preserve">Identified successor: green flag if named and being developed. Red flag if no succession plan disclosed for founder or long-tenure CEO</w:t>
      </w:r>
    </w:p>
    <w:p>
      <w:pPr>
        <w:pStyle w:val="ListParagraph"/>
        <w:numPr>
          <w:ilvl w:val="0"/>
          <w:numId w:val="2"/>
        </w:numPr>
        <w:spacing w:after="40" w:before="40"/>
      </w:pPr>
      <w:r>
        <w:rPr>
          <w:rFonts w:ascii="Arial" w:cs="Arial" w:eastAsia="Arial" w:hAnsi="Arial"/>
          <w:color w:val="4A4A4A"/>
          <w:sz w:val="22"/>
          <w:szCs w:val="22"/>
        </w:rPr>
        <w:t xml:space="preserve">Bench depth: assess whether the top 3–5 revenue-generating or technology-critical roles have identified backups. Score 5 if institutional knowledge is distributed; score 1 if concentrated in one person</w:t>
      </w:r>
    </w:p>
    <w:p>
      <w:pPr>
        <w:pStyle w:val="ListParagraph"/>
        <w:numPr>
          <w:ilvl w:val="0"/>
          <w:numId w:val="2"/>
        </w:numPr>
        <w:spacing w:after="40" w:before="40"/>
      </w:pPr>
      <w:r>
        <w:rPr>
          <w:rFonts w:ascii="Arial" w:cs="Arial" w:eastAsia="Arial" w:hAnsi="Arial"/>
          <w:color w:val="4A4A4A"/>
          <w:sz w:val="22"/>
          <w:szCs w:val="22"/>
        </w:rPr>
        <w:t xml:space="preserve">Customer relationship portability: for B2B companies, assess whether key customer relationships are held by the company as an institution or by individual salespeople or executives. The latter creates key person risk that does not appear in any financial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EE" w:val="clear"/>
            <w:tcMar>
              <w:top w:type="dxa" w:w="160"/>
              <w:left w:type="dxa" w:w="200"/>
              <w:bottom w:type="dxa" w:w="160"/>
              <w:right w:type="dxa" w:w="200"/>
            </w:tcMar>
          </w:tcPr>
          <w:p>
            <w:pPr>
              <w:spacing w:after="60" w:before="0"/>
            </w:pPr>
            <w:r>
              <w:rPr>
                <w:rFonts w:ascii="Arial" w:cs="Arial" w:eastAsia="Arial" w:hAnsi="Arial"/>
                <w:b/>
                <w:bCs/>
                <w:color w:val="1A6B5A"/>
                <w:sz w:val="20"/>
                <w:szCs w:val="20"/>
              </w:rPr>
              <w:t xml:space="preserve">Management Quality Integration into Conviction Scorer</w:t>
            </w:r>
          </w:p>
          <w:p>
            <w:pPr>
              <w:spacing w:after="0" w:before="0"/>
            </w:pPr>
            <w:r>
              <w:rPr>
                <w:rFonts w:ascii="Arial" w:cs="Arial" w:eastAsia="Arial" w:hAnsi="Arial"/>
                <w:color w:val="4A4A4A"/>
                <w:sz w:val="20"/>
                <w:szCs w:val="20"/>
              </w:rPr>
              <w:t xml:space="preserve">Pillar 5 (Leadership Quality) is now scored across four quantitative sub-dimensions: (a) Capital Allocation Track Record 1–5, (b) Guidance Credibility Score 1–5, (c) Insider Alignment Score 1–5, (d) Succession Depth Score 1–5. The Pillar 5 score is the average of these four. A charismatic narrative without a documented track record cannot score above 3.</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SECTION 12  ·  TAX EFFICIENCY &amp; ESG AS QUANTIFIED FINANCIAL RISK</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12.1  Tax Sustainability — Domain 10 of Data Cleaning</w:t>
      </w:r>
    </w:p>
    <w:p>
      <w:pPr>
        <w:spacing w:after="80" w:before="60"/>
      </w:pPr>
      <w:r>
        <w:rPr>
          <w:rFonts w:ascii="Arial" w:cs="Arial" w:eastAsia="Arial" w:hAnsi="Arial"/>
          <w:color w:val="4A4A4A"/>
          <w:sz w:val="22"/>
          <w:szCs w:val="22"/>
        </w:rPr>
        <w:t xml:space="preserve">Effective tax rate analysis belongs in the data cleaning layer because reported tax rates routinely overstate sustainable after-tax earnings. Three distinct problems to address: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Tax Issue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Cleaning Approach and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Cash tax rate vs GAAP effective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Always use cash tax rate (taxes paid / pre-tax income from cash flow statement) in DCF, not GAAP effective rate. Flag if divergence exceeds 500bps — requires investigation of deferred tax dynamics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NOL utilization — temporary advantage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Identify companies with material deferred tax assets from net operating loss carryforwards. Model the year of NOL exhaustion and the resulting step-up in cash taxes as an explicit earnings headwind in the base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OECD Pillar Two exposure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Identify any jurisdiction where the company books profit at an effective rate below 15%. Calculate incremental tax cost when the 15% global minimum applies. Material for tech companies with Irish or Singaporean structures — can be 200–400bps of after-tax margin headwind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R&amp;D tax credit sustainability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R&amp;D credits reduce effective tax rates but are subject to legislative risk. Identify the dollar value of credits claimed and assess concentration in any single credit type that faces political uncertainty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Transfer pricing 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Multinationals that allocate significant profit to low-tax jurisdictions via IP holding structures face increasing regulatory scrutiny. Quantify the worst-case transfer pricing adjustment as a bear-case tax scenario</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12.2  Geopolitical and Jurisdiction Risk — Company Level</w:t>
      </w:r>
    </w:p>
    <w:p>
      <w:pPr>
        <w:spacing w:after="80" w:before="60"/>
      </w:pPr>
      <w:r>
        <w:rPr>
          <w:rFonts w:ascii="Arial" w:cs="Arial" w:eastAsia="Arial" w:hAnsi="Arial"/>
          <w:color w:val="4A4A4A"/>
          <w:sz w:val="22"/>
          <w:szCs w:val="22"/>
        </w:rPr>
        <w:t xml:space="preserve">Geopolitics belongs at the company-specific due diligence level, not only in the macro compass. The following thresholds trigger mandatory scenario work:</w:t>
      </w:r>
    </w:p>
    <w:p>
      <w:pPr>
        <w:pStyle w:val="ListParagraph"/>
        <w:numPr>
          <w:ilvl w:val="0"/>
          <w:numId w:val="2"/>
        </w:numPr>
        <w:spacing w:after="40" w:before="40"/>
      </w:pPr>
      <w:r>
        <w:rPr>
          <w:rFonts w:ascii="Arial" w:cs="Arial" w:eastAsia="Arial" w:hAnsi="Arial"/>
          <w:color w:val="4A4A4A"/>
          <w:sz w:val="22"/>
          <w:szCs w:val="22"/>
        </w:rPr>
        <w:t xml:space="preserve">China revenue exposure &gt; 20%: model a 50% revenue impairment scenario in the bear case. This is not political judgment — it is a risk that institutional investors now price explicitly</w:t>
      </w:r>
    </w:p>
    <w:p>
      <w:pPr>
        <w:pStyle w:val="ListParagraph"/>
        <w:numPr>
          <w:ilvl w:val="0"/>
          <w:numId w:val="2"/>
        </w:numPr>
        <w:spacing w:after="40" w:before="40"/>
      </w:pPr>
      <w:r>
        <w:rPr>
          <w:rFonts w:ascii="Arial" w:cs="Arial" w:eastAsia="Arial" w:hAnsi="Arial"/>
          <w:color w:val="4A4A4A"/>
          <w:sz w:val="22"/>
          <w:szCs w:val="22"/>
        </w:rPr>
        <w:t xml:space="preserve">China manufacturing &gt; 40% of COGS: assess alternative sourcing cost and timeline. Add supply chain disruption cost to the bear case</w:t>
      </w:r>
    </w:p>
    <w:p>
      <w:pPr>
        <w:pStyle w:val="ListParagraph"/>
        <w:numPr>
          <w:ilvl w:val="0"/>
          <w:numId w:val="2"/>
        </w:numPr>
        <w:spacing w:after="40" w:before="40"/>
      </w:pPr>
      <w:r>
        <w:rPr>
          <w:rFonts w:ascii="Arial" w:cs="Arial" w:eastAsia="Arial" w:hAnsi="Arial"/>
          <w:color w:val="4A4A4A"/>
          <w:sz w:val="22"/>
          <w:szCs w:val="22"/>
        </w:rPr>
        <w:t xml:space="preserve">Taiwan semiconductor dependency for core products: assess replacement lead time and cost. Companies with 18+ month replacement timelines face existential product risk in a severe disruption scenario</w:t>
      </w:r>
    </w:p>
    <w:p>
      <w:pPr>
        <w:pStyle w:val="ListParagraph"/>
        <w:numPr>
          <w:ilvl w:val="0"/>
          <w:numId w:val="2"/>
        </w:numPr>
        <w:spacing w:after="40" w:before="40"/>
      </w:pPr>
      <w:r>
        <w:rPr>
          <w:rFonts w:ascii="Arial" w:cs="Arial" w:eastAsia="Arial" w:hAnsi="Arial"/>
          <w:color w:val="4A4A4A"/>
          <w:sz w:val="22"/>
          <w:szCs w:val="22"/>
        </w:rPr>
        <w:t xml:space="preserve">Single-jurisdiction regulatory exposure: if &gt; 60% of revenue requires a single regulator's continued approval (FDA, FCC, EU Commission), model a regulatory disruption scenario with explicit probability weight</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12.3  ESG as Financial Risk — Three Quantifiable Categories</w:t>
      </w:r>
    </w:p>
    <w:p>
      <w:pPr>
        <w:spacing w:after="80" w:before="60"/>
      </w:pPr>
      <w:r>
        <w:rPr>
          <w:rFonts w:ascii="Arial" w:cs="Arial" w:eastAsia="Arial" w:hAnsi="Arial"/>
          <w:color w:val="4A4A4A"/>
          <w:sz w:val="22"/>
          <w:szCs w:val="22"/>
        </w:rPr>
        <w:t xml:space="preserve">ESG in this framework is not ethics screening. It is the identification of material financial risks that are not yet fully reflected in reported financial statements but will affect future cash flows and cost of capital.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ESG Financial Risk Category</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Quantification Approach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Stranded asset and transition 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For companies with material carbon-intensive assets: add a TCFD-aligned transition scenario to the bear case. Assume accelerated carbon pricing (e.g. 00/tonne CO2 by 2030) and calculate the NPV impact on operating costs and asset values. This belongs in the DCF, not in a separate ESG report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Governance as fraud predictor — Beneish M-Score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Run the Beneish M-Score quarterly on every position using 8 financial ratios: DSRI, GMI, AQI, SGI, DEPI, SGAI, LVGI, TATA. Score above -1.78 indicates elevated manipulation probability — trigger mandatory fundamental review and auditor communication analysis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Supply chain and social 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Score supply chain resilience: single-supplier COGS concentration, geographic concentration of manufacturing, labor relations history (strike frequency, regulatory fines). Assign a supply chain risk premium to WACC: +50bps for moderate risk, +100bps for high risk. Historical precedent: Nike supply chain scandal cost 30% of market cap; Boeing 737 MAX governance failure destroyed 0bn of 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Water and physical climate risk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For relevant sectors (agriculture, beverages, semiconductors): assess facility-level water stress using AQUEDUCT or similar tools. Physical climate risk (flood, heat stress on facilities) belongs in the bear case capex assumptions for asset-intensive businesses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60"/>
              <w:left w:type="dxa" w:w="200"/>
              <w:bottom w:type="dxa" w:w="160"/>
              <w:right w:type="dxa" w:w="200"/>
            </w:tcMar>
          </w:tcPr>
          <w:p>
            <w:pPr>
              <w:spacing w:after="60" w:before="0"/>
            </w:pPr>
            <w:r>
              <w:rPr>
                <w:rFonts w:ascii="Arial" w:cs="Arial" w:eastAsia="Arial" w:hAnsi="Arial"/>
                <w:b/>
                <w:bCs/>
                <w:color w:val="D4851A"/>
                <w:sz w:val="20"/>
                <w:szCs w:val="20"/>
              </w:rPr>
              <w:t xml:space="preserve">Beneish M-Score — Quarterly Fraud Screen</w:t>
            </w:r>
          </w:p>
          <w:p>
            <w:pPr>
              <w:spacing w:after="0" w:before="0"/>
            </w:pPr>
            <w:r>
              <w:rPr>
                <w:rFonts w:ascii="Arial" w:cs="Arial" w:eastAsia="Arial" w:hAnsi="Arial"/>
                <w:color w:val="4A4A4A"/>
                <w:sz w:val="20"/>
                <w:szCs w:val="20"/>
              </w:rPr>
              <w:t xml:space="preserve">Eight-ratio quantitative model that identifies accounting manipulation probability. The eight inputs: (1) Days Sales in Receivables Index, (2) Gross Margin Index, (3) Asset Quality Index, (4) Sales Growth Index, (5) Depreciation Index, (6) SG&amp;A Index, (7) Leverage Index, (8) Total Accruals to Total Assets. Score above -1.78 = elevated manipulation risk. Run every quarter on every core position as an automated screen in the Fundamental Agent.</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12.4  ★ Regulatory Risk — Probability × Impact Framework</w:t>
      </w:r>
    </w:p>
    <w:p>
      <w:pPr>
        <w:spacing w:after="60" w:before="80"/>
      </w:pPr>
      <w:r>
        <w:rPr>
          <w:rFonts w:ascii="Arial" w:cs="Arial" w:eastAsia="Arial" w:hAnsi="Arial"/>
          <w:b/>
          <w:bCs/>
          <w:color w:val="D4851A"/>
          <w:sz w:val="20"/>
          <w:szCs w:val="20"/>
        </w:rPr>
        <w:t xml:space="preserve">★ NEW: </w:t>
      </w:r>
      <w:r>
        <w:rPr>
          <w:rFonts w:ascii="Arial" w:cs="Arial" w:eastAsia="Arial" w:hAnsi="Arial"/>
          <w:i/>
          <w:iCs/>
          <w:color w:val="4A4A4A"/>
          <w:sz w:val="20"/>
          <w:szCs w:val="20"/>
        </w:rPr>
        <w:t xml:space="preserve">New: converts qualitative regulatory flags into quantitative DCF inputs with probability, impact, and timeline.</w:t>
      </w:r>
    </w:p>
    <w:p>
      <w:pPr>
        <w:spacing w:after="80" w:before="60"/>
      </w:pPr>
      <w:r>
        <w:rPr>
          <w:rFonts w:ascii="Arial" w:cs="Arial" w:eastAsia="Arial" w:hAnsi="Arial"/>
          <w:color w:val="4A4A4A"/>
          <w:sz w:val="22"/>
          <w:szCs w:val="22"/>
        </w:rPr>
        <w:t xml:space="preserve">Regulatory risk is the dominant risk factor for technology, healthcare, financial services, and energy companies — yet the existing framework treated it as a qualitative flag. This section converts every active regulatory risk into a structured, probability-weighted input to the DCF bear case. The goal is not to predict regulatory outcomes but to ensure the intrinsic value calculation reflects the full distribution of possible futures.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Regulatory Risk Assessment Step</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 and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Step 1: Identify all active proceedings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Review SEC filings, earnings call transcripts, and news for: antitrust investigations, pricing regulation proposals, data privacy enforcement, environmental compliance orders, capital adequacy proceedings, product approval status, sanctions exposure. Create a register of every active regulatory risk affecting revenue, costs, or business model viability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Step 2: Assign probability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Probability of adverse outcome (0–100%). Use: base rate of similar proceedings in the same jurisdiction and sector, stage of the proceeding (investigation = 20%, formal charges = 50%, trial = 70%), management disclosure language (companies typically understate regulatory risk in public filings — haircut management probability estimates by 30%). Do not use management's stated probability as input without adjustment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Step 3: Assign impact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If the adverse outcome materialises: what percentage of revenue is directly affected? What is the EBITDA impact (margin compression, fine, mandatory restructuring cost)? What is the structural business model change required? Model the impact as a distinct DCF scenario, not as a parameter shift in the base case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Step 4: Assign timeline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Expected resolution timeline in months. Regulatory proceedings typically take 2–5 years from initiation to final resolution. Timeline determines when the cash flow impact begins and how long uncertainty persists — uncertainty itself has a WACC cost that must be modelled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Step 5: Calculate probability-weighted impact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Expected Regulatory Cost = Probability × EBITDA Impact × (1 − Discount Factor for Timeline). Sum across all active proceedings. If aggregate expected regulatory cost exceeds 10% of current EBITDA, apply an additional WACC premium of +50bps. If it exceeds 25%, cap the Conviction Score Pillar 1 (Moat) at 3 — regulatory risk is eroding the moat regardless of competitive position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Sector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Regulatory Risk Vector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Bear Case Treatment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Technology platforms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Antitrust breakup, mandatory interoperability, data portability requirements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Model forced divestiture of highest-margin segment at distressed multiples. Calculate equity value of remaining business post-breakup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Pharmaceuticals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FDA approval risk, pricing regulation (IRA drug price negotiation), patent challenge outcomes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Model each pipeline asset as a binary outcome with probability-weighted NPV. Pricing regulation: apply 30–50% price reduction to negotiated drugs as a base case overlay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Financial services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Capital adequacy requirements, consumer protection enforcement, interest rate cap legislation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Model higher capital ratio requirement: calculate RWA impact, equity raise required, resulting ROE dilution over 3 years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Energy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Carbon pricing trajectory, permitting delays, stranded asset risk, renewable mandate compliance cost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Apply TCFD 1.5°C and 2°C transition scenarios as explicit DCF overlays with timeline and capital cost assumptions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Healthcare services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Reimbursement rate cuts, surprise billing regulation, prior authorisation reform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Model 10–20% reimbursement rate reduction across affected service lines. Calculate operating leverage impact on EBITDA</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SECTION 13  ·  ALTERNATIVE DATA &amp; PORTFOLIO ANALYTICS</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13.1  Alternative Data — Leading Indicators by 1–3 Quarters</w:t>
      </w:r>
    </w:p>
    <w:p>
      <w:pPr>
        <w:spacing w:after="80" w:before="60"/>
      </w:pPr>
      <w:r>
        <w:rPr>
          <w:rFonts w:ascii="Arial" w:cs="Arial" w:eastAsia="Arial" w:hAnsi="Arial"/>
          <w:color w:val="4A4A4A"/>
          <w:sz w:val="22"/>
          <w:szCs w:val="22"/>
        </w:rPr>
        <w:t xml:space="preserve">Financial statements are backward-looking by 45–90 days. Alternative data leads them. This layer does not replace fundamental analysis — it validates or challenges the thesis before the market prices the information.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Alternative Data Signal</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It Leads and How to Use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Credit and debit card transaction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Leads consumer revenue by 60–90 days. Flag: divergence between card data deceleration and management guidance acceleration is a mandatory thesis review trigger. Sources: Earnest Research, Bloomberg Second Measure, Placer.ai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Web traffic and app downloads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Leads SaaS and consumer digital revenue by 30–60 days. Monthly Active User trajectory visible before quarterly reporting. Sources: SimilarWeb (traffic), Sensor Tower and data.ai (apps). Free tier available for initial screening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Job posting velocity and composition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Leads strategic direction by 6–18 months. A company aggressively hiring AI engineers before announcing an AI strategy is signaling real investment commitment. Composition shift (e.g. sales to engineering) signals business model transition. Source: LinkedIn, Burning Glass, Revelio Labs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Satellite and geospatial signals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Leads operational metrics by 30–90 days. Parking lot occupancy at retail locations, ships in port, construction activity, oil storage levels. Source: Orbital Insight, RS Metrics, Planet Labs (institutional pricing; use analyst reports citing satellite data as proxy)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Patent filing velocity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Leads R&amp;D productivity signals by 12–24 months. Citation analysis reveals which company's patents are being built upon by peers — a leading indicator of technology leadership. Source: Google Patents (free), PatSnap, Derwent Innovation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Management communication NLP</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Tracks sentiment, certainty of language, topic avoidance, and vocabulary changes across earnings calls over time. Increasing hedging language in previously confident areas signals uncertainty before guidance revisions. Source: build using earnings call transcripts from SEC EDGAR + open-source NLP models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EE" w:val="clear"/>
            <w:tcMar>
              <w:top w:type="dxa" w:w="160"/>
              <w:left w:type="dxa" w:w="200"/>
              <w:bottom w:type="dxa" w:w="160"/>
              <w:right w:type="dxa" w:w="200"/>
            </w:tcMar>
          </w:tcPr>
          <w:p>
            <w:pPr>
              <w:spacing w:after="60" w:before="0"/>
            </w:pPr>
            <w:r>
              <w:rPr>
                <w:rFonts w:ascii="Arial" w:cs="Arial" w:eastAsia="Arial" w:hAnsi="Arial"/>
                <w:b/>
                <w:bCs/>
                <w:color w:val="1A6B5A"/>
                <w:sz w:val="20"/>
                <w:szCs w:val="20"/>
              </w:rPr>
              <w:t xml:space="preserve">Practical Starting Point — Free Alternative Data</w:t>
            </w:r>
          </w:p>
          <w:p>
            <w:pPr>
              <w:spacing w:after="0" w:before="0"/>
            </w:pPr>
            <w:r>
              <w:rPr>
                <w:rFonts w:ascii="Arial" w:cs="Arial" w:eastAsia="Arial" w:hAnsi="Arial"/>
                <w:color w:val="4A4A4A"/>
                <w:sz w:val="20"/>
                <w:szCs w:val="20"/>
              </w:rPr>
              <w:t xml:space="preserve">Before investing in institutional data subscriptions: (1) Google Trends for brand momentum and product demand signals, (2) App Store and Google Play ratings velocity (free, signals product quality trajectory), (3) LinkedIn company page follower growth and job posting counts (free tier), (4) SEC EDGAR Form 4 filings for insider transactions (free), (5) Patent filing counts via Google Patents (free). These five sources are available immediately and lead financial statements by meaningful time horizons.</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13.2  Portfolio-Level Analytics — Factor Exposure and Volatility Budgeting</w:t>
      </w:r>
    </w:p>
    <w:p>
      <w:pPr>
        <w:spacing w:after="80" w:before="60"/>
      </w:pPr>
      <w:r>
        <w:rPr>
          <w:rFonts w:ascii="Arial" w:cs="Arial" w:eastAsia="Arial" w:hAnsi="Arial"/>
          <w:color w:val="4A4A4A"/>
          <w:sz w:val="22"/>
          <w:szCs w:val="22"/>
        </w:rPr>
        <w:t xml:space="preserve">The correlation rules in Section 6 prevent obvious concentration. Portfolio analytics identify invisible concentrations — where the portfolio has hidden factor exposures that would not be obvious from looking at individual positions.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Portfolio Analytic</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Definition and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Factor exposure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Decompose portfolio returns into factor exposures: value, momentum, quality, size, rate sensitivity. Run quarterly. Flag if any single factor drives &gt; 40% of portfolio return variance — this is hidden concentration even when individual position correlation appears low. Tool: regression of position returns against Fama-French factor indices (data available free from Kenneth French's website)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Volatility budgeting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Each position is sized to contribute an equal amount of volatility to the portfolio, not just an equal amount of capital. Formula: position volatility contribution = weight × individual volatility × correlation to portfolio. Cap: no single position should contribute &gt; 15% of total portfolio volatility regardless of conviction score. A 5% position in a 60-vol stock contributes the same risk as a 15% position in a 20-vol stock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Liquidity-adjusted position sizing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Hard constraint layered on top of conviction-based sizing. Maximum position size = min(conviction-based %, 20% of 30-day average daily trading volume). For positions where days-to-liquidate exceeds 10 trading days at 20% of daily volume, apply a mandatory size reduction to the level where the constraint is satisfied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Drawdown simulation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Annual exercise: apply all position bear cases simultaneously using stress-period correlation matrix (2008, 2020, 2022). If simulated portfolio drawdown exceeds 35%, restructuring is required before next capital deployment. Identify the 3 positions contributing most to simulated drawdown — these are concentration priorities regardless of individual conviction scores</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13.3  Competitive Dynamics — Dynamic Not Static</w:t>
      </w:r>
    </w:p>
    <w:p>
      <w:pPr>
        <w:spacing w:after="80" w:before="60"/>
      </w:pPr>
      <w:r>
        <w:rPr>
          <w:rFonts w:ascii="Arial" w:cs="Arial" w:eastAsia="Arial" w:hAnsi="Arial"/>
          <w:color w:val="4A4A4A"/>
          <w:sz w:val="22"/>
          <w:szCs w:val="22"/>
        </w:rPr>
        <w:t xml:space="preserve">Moat assessment in Section 4 is a snapshot. Competitive dynamics monitoring tracks the evolution of that moat over time.</w:t>
      </w:r>
    </w:p>
    <w:p>
      <w:pPr>
        <w:pStyle w:val="ListParagraph"/>
        <w:numPr>
          <w:ilvl w:val="0"/>
          <w:numId w:val="2"/>
        </w:numPr>
        <w:spacing w:after="40" w:before="40"/>
      </w:pPr>
      <w:r>
        <w:rPr>
          <w:rFonts w:ascii="Arial" w:cs="Arial" w:eastAsia="Arial" w:hAnsi="Arial"/>
          <w:color w:val="4A4A4A"/>
          <w:sz w:val="22"/>
          <w:szCs w:val="22"/>
        </w:rPr>
        <w:t xml:space="preserve">New entrant monitoring: set up systematic tracking of funding rounds, product launches, and hiring patterns of companies in the same category. A well-funded new entrant hiring aggressively into your core market is an early moat erosion signal — typically 12–24 months before it appears in market share data</w:t>
      </w:r>
    </w:p>
    <w:p>
      <w:pPr>
        <w:pStyle w:val="ListParagraph"/>
        <w:numPr>
          <w:ilvl w:val="0"/>
          <w:numId w:val="2"/>
        </w:numPr>
        <w:spacing w:after="40" w:before="40"/>
      </w:pPr>
      <w:r>
        <w:rPr>
          <w:rFonts w:ascii="Arial" w:cs="Arial" w:eastAsia="Arial" w:hAnsi="Arial"/>
          <w:color w:val="4A4A4A"/>
          <w:sz w:val="22"/>
          <w:szCs w:val="22"/>
        </w:rPr>
        <w:t xml:space="preserve">Pricing power signal: track realized price per unit over time, separating volume growth from price growth in revenue. Declining realized price per unit in a growing revenue environment means volume is compensating for pricing weakness — a precursor to margin erosion</w:t>
      </w:r>
    </w:p>
    <w:p>
      <w:pPr>
        <w:pStyle w:val="ListParagraph"/>
        <w:numPr>
          <w:ilvl w:val="0"/>
          <w:numId w:val="2"/>
        </w:numPr>
        <w:spacing w:after="40" w:before="40"/>
      </w:pPr>
      <w:r>
        <w:rPr>
          <w:rFonts w:ascii="Arial" w:cs="Arial" w:eastAsia="Arial" w:hAnsi="Arial"/>
          <w:color w:val="4A4A4A"/>
          <w:sz w:val="22"/>
          <w:szCs w:val="22"/>
        </w:rPr>
        <w:t xml:space="preserve">TAM penetration rate vs growth rate: if penetration rate is accelerating but market growth is decelerating, the company is taking share in a shrinking market — this changes the duration of the growth thesis materially</w:t>
      </w:r>
    </w:p>
    <w:p>
      <w:pPr>
        <w:pStyle w:val="ListParagraph"/>
        <w:numPr>
          <w:ilvl w:val="0"/>
          <w:numId w:val="2"/>
        </w:numPr>
        <w:spacing w:after="40" w:before="40"/>
      </w:pPr>
      <w:r>
        <w:rPr>
          <w:rFonts w:ascii="Arial" w:cs="Arial" w:eastAsia="Arial" w:hAnsi="Arial"/>
          <w:color w:val="4A4A4A"/>
          <w:sz w:val="22"/>
          <w:szCs w:val="22"/>
        </w:rPr>
        <w:t xml:space="preserve">NPS and customer satisfaction trajectory: for consumer and SaaS businesses, App Store ratings, G2 and Gartner Peer Insights scores, and NPS survey trends are leading indicators of churn and expansion revenue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0"/>
            </w:pPr>
            <w:r>
              <w:rPr>
                <w:rFonts w:ascii="Arial" w:cs="Arial" w:eastAsia="Arial" w:hAnsi="Arial"/>
                <w:b/>
                <w:bCs/>
                <w:color w:val="1E3A5F"/>
                <w:sz w:val="20"/>
                <w:szCs w:val="20"/>
              </w:rPr>
              <w:t xml:space="preserve">Updated Monthly Workflow Addition</w:t>
            </w:r>
          </w:p>
          <w:p>
            <w:pPr>
              <w:spacing w:after="0" w:before="0"/>
            </w:pPr>
            <w:r>
              <w:rPr>
                <w:rFonts w:ascii="Arial" w:cs="Arial" w:eastAsia="Arial" w:hAnsi="Arial"/>
                <w:color w:val="4A4A4A"/>
                <w:sz w:val="20"/>
                <w:szCs w:val="20"/>
              </w:rPr>
              <w:t xml:space="preserve">Add to monthly scan (15 min): (1) Check alternative data signals for all core positions — card data, web traffic, job postings. Flag any divergence from thesis assumptions. (2) Run Beneish M-Score screen on all positions — flag any score above -1.78 for immediate review. (3) Check new entrant funding and hiring activity in core sectors. These three additions add 15 minutes to the monthly workflow and provide the earliest possible warning signals on thesis deterioration.</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SECTION 14  ·  BUSINESS LIFECYCLE &amp; INDUSTRY STRUCTURE</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14.1  Lifecycle-Adjusted Analysis — One Framework Does Not Fit All</w:t>
      </w:r>
    </w:p>
    <w:p>
      <w:pPr>
        <w:spacing w:after="80" w:before="60"/>
      </w:pPr>
      <w:r>
        <w:rPr>
          <w:rFonts w:ascii="Arial" w:cs="Arial" w:eastAsia="Arial" w:hAnsi="Arial"/>
          <w:color w:val="4A4A4A"/>
          <w:sz w:val="22"/>
          <w:szCs w:val="22"/>
        </w:rPr>
        <w:t xml:space="preserve">The single most common analytical error in investment practice is applying identical screening thresholds to companies at fundamentally different stages of their lifecycle. A hypergrowth SaaS company correctly fails every profitability screen — that is the right behavior for its stage. A mature cash cow correctly fails every growth screen — that is not a reason to avoid it. Lifecycle stage must be identified first, and the analytical lens must adjust accordingly.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Lifecycle Stage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Primary Valuation Lens and Key Metrics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Startup / pre-revenue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Real options valuation + team quality + TAM size + technology differentiation. Financial screens: not applicable — all will fail by design. Replace with: runway &gt; 18 months, burn rate declining per unit of growth, technology moat confirmed, founder-market fit. DCF: not useful. Use scenario-weighted option 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Hypergrowth (scaling, pre-profit)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Unit economics + revenue quality + market share trajectory. Key metrics: NRR &gt; 120%, LTV/CAC &gt; 3x, payback period &lt; 18 months, cohort retention stability, gross margin trajectory. Replace ROIC screen with gross margin expansion + revenue growth sustainability vs TAM penetration rate. DCF: terminal value drives almost all value — base year FCF negative by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Growth compounder (profitable, reinvesting)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Standard framework applies well here. ROIC vs WACC is the core signal. Add reinvestment efficiency: is growth capex generating the assumed ROIC? Market share trajectory in core vs new markets. This is where the existing framework is strongest.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Mature cash cow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FCF yield + capital return quality + moat durability. Replace growth screens with: FCF conversion rate, buyback discipline (below intrinsic value?), dividend sustainability through cycle, capital allocation ROI on bolt-on M&amp;A. Risk: not slow growth — it is capital misallocation at maturity. Watch for empire-building M&amp;A and overpriced buybacks.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Declining / turnaround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Asset value + restructuring optionality + balance sheet survival. Key question: is decline structural (technology shift, secular demand loss) or cyclical (recession, temporary disruption)? Structural declines require exit. Cyclical declines at sufficient margin of safety create opportunities. Balance sheet survival is the first filter — declining business with fortress balance sheet is a categorically different investment from one with 4x leverage.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0"/>
            </w:pPr>
            <w:r>
              <w:rPr>
                <w:rFonts w:ascii="Arial" w:cs="Arial" w:eastAsia="Arial" w:hAnsi="Arial"/>
                <w:b/>
                <w:bCs/>
                <w:color w:val="1E3A5F"/>
                <w:sz w:val="20"/>
                <w:szCs w:val="20"/>
              </w:rPr>
              <w:t xml:space="preserve">Lifecycle Classification Gate</w:t>
            </w:r>
          </w:p>
          <w:p>
            <w:pPr>
              <w:spacing w:after="0" w:before="0"/>
            </w:pPr>
            <w:r>
              <w:rPr>
                <w:rFonts w:ascii="Arial" w:cs="Arial" w:eastAsia="Arial" w:hAnsi="Arial"/>
                <w:color w:val="4A4A4A"/>
                <w:sz w:val="20"/>
                <w:szCs w:val="20"/>
              </w:rPr>
              <w:t xml:space="preserve">Before applying any screening threshold, classify the company by lifecycle stage. This classification determines which metrics are primary (applied with full weight), which are secondary (informational), and which are not applicable (exempt from screening gates). Misclassification is the root cause of most systematic false positives and false negatives in quantitative screening.</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14.2  Industry Structure — Porter's Five Forces Integration</w:t>
      </w:r>
    </w:p>
    <w:p>
      <w:pPr>
        <w:spacing w:after="80" w:before="60"/>
      </w:pPr>
      <w:r>
        <w:rPr>
          <w:rFonts w:ascii="Arial" w:cs="Arial" w:eastAsia="Arial" w:hAnsi="Arial"/>
          <w:color w:val="4A4A4A"/>
          <w:sz w:val="22"/>
          <w:szCs w:val="22"/>
        </w:rPr>
        <w:t xml:space="preserve">A company's sustainable ROIC is ultimately constrained by the structural attractiveness of its industry. Porter's Five Forces determines whether excess returns can persist or whether competitive pressure will erode them toward the cost of capital over time — regardless of the individual company's moat. Industry structure score gates the conviction scorer: a score 5/5 moat in a 2/5 industry will grind toward mediocrity over a decade.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Force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Score 1–5 and Investment Implications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1. Threat of new entrants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Score 5 = very high barriers: capital intensity, regulatory moat, network tipping point passed, technology proprietary. Score 1 = open entry: low capital requirement, no regulation, product easily replicated. High score = ROIC persistence is structurally supported. Low score = above-average ROIC will attract entry and erode toward WACC within 5 years.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2. Bargaining power of suppliers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Score 5 = low supplier power: many suppliers, commoditised inputs, company is a key buyer. Score 1 = high supplier power: concentrated suppliers, differentiated inputs, company is a small buyer. High supplier power means the industry structurally struggles to retain margin even when end-demand is strong — semiconductor equipment vs. semiconductor manufacturers illustrates the dynamic.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3. Bargaining power of customers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Score 5 = low customer power: fragmented customers, high switching costs, product is small % of customer spend. Score 1 = high customer power: concentrated customers, easy switching, product is large % of customer spend. High customer power means pricing is permanently under pressure — the company is a vendor, not a platform. Flag: top 3 customers exceeding 40% of revenue is both a concentration risk (Section 10) and a customer power problem.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4. Threat of substitutes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Score 5 = no viable substitutes: unique functionality, high switching cost to substitute, customer locked in. Score 1 = easy substitution: functional equivalents available, switching cost to substitute is low. This is the disruption risk vector — substitutes typically come from outside the traditional industry definition. Streaming was not counted as a substitute to cable TV until it had already captured 30% of the market.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5. Competitive rivalry intensity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Score 5 = low rivalry: few competitors, differentiated products, high growth (expanding pie), low fixed costs. Score 1 = high rivalry: many similarly-sized competitors, commoditised product, slow growth, high fixed costs (drives price-cutting). Industries with high fixed costs, slow growth, and many similar-sized competitors are structurally destructive of returns regardless of how well any individual company executes.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EE" w:val="clear"/>
            <w:tcMar>
              <w:top w:type="dxa" w:w="160"/>
              <w:left w:type="dxa" w:w="200"/>
              <w:bottom w:type="dxa" w:w="160"/>
              <w:right w:type="dxa" w:w="200"/>
            </w:tcMar>
          </w:tcPr>
          <w:p>
            <w:pPr>
              <w:spacing w:after="60" w:before="0"/>
            </w:pPr>
            <w:r>
              <w:rPr>
                <w:rFonts w:ascii="Arial" w:cs="Arial" w:eastAsia="Arial" w:hAnsi="Arial"/>
                <w:b/>
                <w:bCs/>
                <w:color w:val="1A6B5A"/>
                <w:sz w:val="20"/>
                <w:szCs w:val="20"/>
              </w:rPr>
              <w:t xml:space="preserve">Five Forces Aggregate Score — Industry Attractiveness Gate</w:t>
            </w:r>
          </w:p>
          <w:p>
            <w:pPr>
              <w:spacing w:after="0" w:before="0"/>
            </w:pPr>
            <w:r>
              <w:rPr>
                <w:rFonts w:ascii="Arial" w:cs="Arial" w:eastAsia="Arial" w:hAnsi="Arial"/>
                <w:color w:val="4A4A4A"/>
                <w:sz w:val="20"/>
                <w:szCs w:val="20"/>
              </w:rPr>
              <w:t xml:space="preserve">Score each force 1–5. Aggregate score interpretation: 20–25 = structurally attractive, ROIC persistence is likely and the conviction scorer can reach its maximum. 12–19 = mixed structure, requires a very strong company-level moat to sustain excess returns. 5–11 = structurally unattractive — even a strong moat will face sustained erosion. For scores below 12, apply a WACC premium of +100 to +200bps to reflect structural industry risk, and cap the Moat Pillar conviction score at 3 regardless of company-level moat strength.</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SECTION 15  ·  UNIT ECONOMICS, TAM ANALYSIS &amp; REVENUE QUALITY</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15.1  Unit Economics — Foundation for Platform and Subscription Businesses</w:t>
      </w:r>
    </w:p>
    <w:p>
      <w:pPr>
        <w:spacing w:after="80" w:before="60"/>
      </w:pPr>
      <w:r>
        <w:rPr>
          <w:rFonts w:ascii="Arial" w:cs="Arial" w:eastAsia="Arial" w:hAnsi="Arial"/>
          <w:color w:val="4A4A4A"/>
          <w:sz w:val="22"/>
          <w:szCs w:val="22"/>
        </w:rPr>
        <w:t xml:space="preserve">For SaaS, marketplace, subscription, and platform businesses, unit economics is more fundamental than any income statement metric. Deteriorating unit economics will show as great EBITDA today and terrible economics in 2–3 years — the income statement lags reality by up to 4 years. Unit economics analysis reveals the future before the financials do.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Formula, Threshold, and Signal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Customer Acquisition Cost (CAC)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Total sales and marketing spend ÷ new customers acquired in the same period. Split blended CAC into paid CAC (advertising-driven) and organic CAC (word-of-mouth, brand). Rising blended CAC driven entirely by paid CAC while organic CAC is flat = the product is not generating word-of-mouth and growth is becoming increasingly expensive. Payback period = CAC ÷ monthly gross profit per customer. Target: under 18 months for SaaS, under 12 months for high-velocity consumer.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Lifetime Value (LTV)</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Compute from cohort retention curves, not averages. For each cohort, track revenue per customer by month for 24–36 months. A company where new cohorts show declining 12-month retention vs older cohorts is a deteriorating business — the income statement will not reflect this for 18–24 months. LTV/CAC ratio: &gt; 3x is healthy, &gt; 5x is exceptional, &lt; 2x requires margin of safety discount.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Net Revenue Retention (NRR)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NRR = (Beginning MRR + Expansion − Contraction − Churn) ÷ Beginning MRR. Above 120%: world-class — the company grows revenue from existing customers faster than it loses from churners. A built-in growth engine that means new customer acquisition can slow without revenue stalling. 100–120%: healthy. Below 100%: the company must constantly acquire new customers just to maintain flat revenue — growth is a treadmill not a compounder. This is the single most important SaaS metric.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Gross margin by cohort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Gross margin should be stable or expanding across cohorts as the business matures and gains operational leverage. Declining gross margin in newer cohorts signals either pricing pressure or rising COGS that management has not disclosed. Track separately for new vs expansion revenue — expansion revenue should carry higher gross margins than new customer revenue.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Payback period trajectory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Payback period should decline over time as the brand strengthens and organic acquisition improves. Rising payback period in a growing business signals deteriorating unit economics even if headline revenue growth remains strong.</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15.2  TAM, SAM, SOM — Market Sizing Discipline</w:t>
      </w:r>
    </w:p>
    <w:p>
      <w:pPr>
        <w:spacing w:after="80" w:before="60"/>
      </w:pPr>
      <w:r>
        <w:rPr>
          <w:rFonts w:ascii="Arial" w:cs="Arial" w:eastAsia="Arial" w:hAnsi="Arial"/>
          <w:color w:val="4A4A4A"/>
          <w:sz w:val="22"/>
          <w:szCs w:val="22"/>
        </w:rPr>
        <w:t xml:space="preserve">Every revenue growth assumption in a DCF is only defensible if anchored to a rigorous market sizing analysis. The most common bull case failure is overestimating TAM or assuming market share capture that is structurally impossible given competitive dynamics.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Market Sizing Level</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Definition and Analytical Discipline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TAM — Total Addressable Market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The total revenue opportunity if the company captured 100% of the relevant market. Use bottom-up TAM construction (unit count × price per unit) not top-down (% of GDP). Top-down TAMs are systematically inflated. Check: is the TAM denominated in the company's actual pricing unit, or in a related but non-identical market?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SAM — Serviceable Addressable Market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The portion of TAM the company can realistically reach given current geography, product fit, customer segment, and go-to-market model. SAM = TAM × (served geographies / total) × (served segments / total). A US SaaS company's SAM is not global TAM even if the product could theoretically work globally.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SOM — Serviceable Obtainable Market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Realistic market share within SAM over the investment horizon given competitive dynamics. Current revenue ÷ SAM = current penetration rate. The revenue growth assumption must be consistent with a realistic penetration trajectory. A 20% CAGR that requires 80% SAM penetration in 10 years is not a growth thesis — it is arithmetic dressed as strategy.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Penetration rate discipline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Plot current penetration rate and the penetration rate implied by the base-case DCF revenue assumption at year 5 and year 10. If the implied penetration exceeds 50% of SAM, the assumption requires a documented explanation of why competitive dynamics would allow that level of share concentration. Most markets do not allow one player to exceed 30–40% share without regulatory response.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TAM expansion — growth driver or justification?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Beware companies that justify high growth assumptions by expanding the TAM definition as penetration rises. If the company is growing because it is entering new markets, the unit economics and competitive dynamics of those new markets must be modeled separately — they are rarely as attractive as the original market.</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15.3  Revenue Quality Scoring</w:t>
      </w:r>
    </w:p>
    <w:p>
      <w:pPr>
        <w:spacing w:after="80" w:before="60"/>
      </w:pPr>
      <w:r>
        <w:rPr>
          <w:rFonts w:ascii="Arial" w:cs="Arial" w:eastAsia="Arial" w:hAnsi="Arial"/>
          <w:color w:val="4A4A4A"/>
          <w:sz w:val="22"/>
          <w:szCs w:val="22"/>
        </w:rPr>
        <w:t xml:space="preserve">Not all revenue is equal. One dollar of recurring subscription revenue is worth 3–5x more than one dollar of project-based revenue in terms of multiple justification and DCF terminal value. Revenue quality scoring assigns a quality multiplier to the revenue base before applying growth assumptions.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Revenue Quality Dimension</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High Quality (Score 5) vs Low Quality (Score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Recurring vs transactional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Score 5: 90%+ recurring subscription or contractual revenue — predictable, high visibility. Score 1: 100% project or transactional revenue — each period starts from zero. A company transitioning from transactional to recurring deserves multiple expansion even before earnings improve — the quality upgrade alone is worth 2–4x on the revenue multiple.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Customer concentration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Score 5: no customer exceeds 5% of revenue — highly diversified. Score 1: top customer exceeds 30% of revenue — binary risk on contract renewal. Combine with Section 10 concentration risk threshold: top 3 customers exceeding 40% of revenue triggers both a concentration risk flag and a revenue quality penalty.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Contracted backlog visibility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Score 5: 12+ months of contracted revenue providing full visibility into next year. Score 1: no backlog, all revenue booked within the same quarter it is recognised. Backlog as % of next-12-month revenue guidance is a direct measure of earnings quality and management's ability to set and meet guidance (Section 11.3).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Gross margin profile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Score 5: gross margin above 70% and expanding. Score 1: gross margin below 30% and under pressure. High gross margin means the company retains most of each incremental revenue dollar — this is the foundation of operating leverage and the key driver of ROIC expansion as the business scales.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Expansion revenue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Score 5: more than 50% of new revenue comes from expanding existing customers (land-and-expand model). Score 1: 100% of revenue growth from new customer acquisition. Expansion revenue is structurally more efficient (no CAC), has higher gross margins, and confirms the product is generating ROI for customers — the highest quality growth signal.</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SECTION 16  ·  IDEA GENERATION, THESIS DISCIPLINE &amp; PERFORMANCE ATTRIBUTION</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16.1  Systematic Idea Generation</w:t>
      </w:r>
    </w:p>
    <w:p>
      <w:pPr>
        <w:spacing w:after="80" w:before="60"/>
      </w:pPr>
      <w:r>
        <w:rPr>
          <w:rFonts w:ascii="Arial" w:cs="Arial" w:eastAsia="Arial" w:hAnsi="Arial"/>
          <w:color w:val="4A4A4A"/>
          <w:sz w:val="22"/>
          <w:szCs w:val="22"/>
        </w:rPr>
        <w:t xml:space="preserve">The framework is a superb analytical machine — but it requires ideas to be fed into it. The quality of the idea pool determines the ceiling of portfolio performance regardless of analytical rigor. Professional investors spend as much time on idea generation as on analysis. Without a systematic sourcing process, the idea pool is biased toward consensus, toward companies the investor already knows, and toward businesses that are currently performing well — exactly the wrong filtering criteria.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Idea Source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Why It Works and How to Use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Spinoffs and carve-outs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Spinoffs systematically outperform the market by 10–15% in the first 18 months post-separation. Reason: the parent company often spins off businesses that do not fit its narrative, creating forced selling by index funds and generalist investors who did not want the spinoff. The business itself is frequently good — the seller is motivated by portfolio fit, not business quality. Screen: every spinoff with market cap above $500M upon separation.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Post-bankruptcy equities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Companies emerging from bankruptcy have typically restructured debt, renegotiated leases and contracts, and reset cost structures. If the underlying business is sound and the bankruptcy was financial rather than operational, the equity can represent exceptional value at emergence. Screen: Chapter 11 emergence filings quarterly.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Insider buying clusters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Form 4 filings where multiple insiders are buying simultaneously — not selling — at market prices. Insiders sell for many reasons (diversification, tax planning, lifestyle). They buy for one reason: they believe the stock is worth more than the current price. Cluster buying (3+ insiders buying in a 30-day window) is a statistically significant signal. Source: SEC EDGAR Form 4 filings, available free.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52-week lows with unchanged fundamentals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Graham's original hunting ground. A stock at a 52-week low is under institutional selling pressure regardless of fundamentals. If the business quality is unchanged and the share price decline is driven by macro rotation, sector flows, or one-time bad news that does not affect the long-term thesis, this creates entry opportunities at enhanced margin of safety. Screen monthly: 52-week lows in the framework's target sectors.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Competitor fear mapping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What do your best holdings fear most? Read every earnings call of competitors to your portfolio companies. The companies your holdings mention with concern, imitate, or defend against are worth analyzing — you are getting competitor intelligence from the best-informed insiders in the market. Frequently reveals both threats to held positions and new investment ideas.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Customer and supplier tracing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Map the revenue and cost dependencies of your best holdings. The company that processes payments for your fintech holding, the cloud infrastructure that hosts your SaaS company, the semiconductor that is inside your AI infrastructure play — these are often equally or more attractive investments with a natural information edge derived from already understanding the customer.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Fallen angels in strong industries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Great businesses in structurally attractive industries that face temporary, fixable problems: a one-time earnings miss, a CEO transition, a regulatory fine that does not affect the business model, a macro headwind that is cyclical not structural. The framework's industry structure score (Section 14) identifies which industries deserve a closer look when individual companies face temporary stress.</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16.2  Investment Thesis Documentation Standard</w:t>
      </w:r>
    </w:p>
    <w:p>
      <w:pPr>
        <w:spacing w:after="80" w:before="60"/>
      </w:pPr>
      <w:r>
        <w:rPr>
          <w:rFonts w:ascii="Arial" w:cs="Arial" w:eastAsia="Arial" w:hAnsi="Arial"/>
          <w:color w:val="4A4A4A"/>
          <w:sz w:val="22"/>
          <w:szCs w:val="22"/>
        </w:rPr>
        <w:t xml:space="preserve">The framework has conviction scoring and thesis memory but no standard for what a written investment thesis must contain. Without a formal thesis document, there is no baseline to compare against when reviewing six months later — which means the exit trigger monitor cannot function. A thesis that was never written down cannot be tested.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0"/>
            </w:pPr>
            <w:r>
              <w:rPr>
                <w:rFonts w:ascii="Arial" w:cs="Arial" w:eastAsia="Arial" w:hAnsi="Arial"/>
                <w:b/>
                <w:bCs/>
                <w:color w:val="1E3A5F"/>
                <w:sz w:val="20"/>
                <w:szCs w:val="20"/>
              </w:rPr>
              <w:t xml:space="preserve">Required Thesis Document Components</w:t>
            </w:r>
          </w:p>
          <w:p>
            <w:pPr>
              <w:spacing w:after="0" w:before="0"/>
            </w:pPr>
            <w:r>
              <w:rPr>
                <w:rFonts w:ascii="Arial" w:cs="Arial" w:eastAsia="Arial" w:hAnsi="Arial"/>
                <w:color w:val="4A4A4A"/>
                <w:sz w:val="20"/>
                <w:szCs w:val="20"/>
              </w:rPr>
              <w:t xml:space="preserve">Every position must have a written thesis containing: (1) The one-sentence thesis: why this company, why now, why at this price. (2) The three most important assumptions that must hold for the thesis to work — stated specifically enough that they can be confirmed or refuted by observable data. (3) The specific event or metric that would confirm the thesis is working within 12 months. (4) The specific event or metric that would falsify the thesis — the pre-committed exit trigger. (5) The intrinsic value estimate with the cleaning standard applied and the scenario spread documented. (6) The 7 Powers moat assessment: which powers are confirmed (benefit + barrier both present) and which are aspirational. (7) The lifecycle stage classification and the unit economics assessment if applicable.</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16.3  Position Entry Discipline</w:t>
      </w:r>
    </w:p>
    <w:p>
      <w:pPr>
        <w:spacing w:after="80" w:before="60"/>
      </w:pPr>
      <w:r>
        <w:rPr>
          <w:rFonts w:ascii="Arial" w:cs="Arial" w:eastAsia="Arial" w:hAnsi="Arial"/>
          <w:color w:val="4A4A4A"/>
          <w:sz w:val="22"/>
          <w:szCs w:val="22"/>
        </w:rPr>
        <w:t xml:space="preserve">The framework defines final position sizes but has no protocol for how to reach them. Entry discipline is where conviction meets risk management in practice.</w:t>
      </w:r>
    </w:p>
    <w:p>
      <w:pPr>
        <w:pStyle w:val="ListParagraph"/>
        <w:numPr>
          <w:ilvl w:val="0"/>
          <w:numId w:val="2"/>
        </w:numPr>
        <w:spacing w:after="40" w:before="40"/>
      </w:pPr>
      <w:r>
        <w:rPr>
          <w:rFonts w:ascii="Arial" w:cs="Arial" w:eastAsia="Arial" w:hAnsi="Arial"/>
          <w:color w:val="4A4A4A"/>
          <w:sz w:val="22"/>
          <w:szCs w:val="22"/>
        </w:rPr>
        <w:t xml:space="preserve">Initial purchase: start at 30–50% of intended final position size. This creates capacity to average down if the thesis is intact and the price falls — the most value-creative scenario — without requiring perfect entry timing</w:t>
      </w:r>
    </w:p>
    <w:p>
      <w:pPr>
        <w:pStyle w:val="ListParagraph"/>
        <w:numPr>
          <w:ilvl w:val="0"/>
          <w:numId w:val="2"/>
        </w:numPr>
        <w:spacing w:after="40" w:before="40"/>
      </w:pPr>
      <w:r>
        <w:rPr>
          <w:rFonts w:ascii="Arial" w:cs="Arial" w:eastAsia="Arial" w:hAnsi="Arial"/>
          <w:color w:val="4A4A4A"/>
          <w:sz w:val="22"/>
          <w:szCs w:val="22"/>
        </w:rPr>
        <w:t xml:space="preserve">Scaling triggers: add to 75% of final size when one of the following occurs: (a) price declines 10–15% with thesis intact, (b) a quarterly result confirms a key assumption from the thesis document, (c) the 7 Powers moat assessment is upgraded from aspirational to confirmed</w:t>
      </w:r>
    </w:p>
    <w:p>
      <w:pPr>
        <w:pStyle w:val="ListParagraph"/>
        <w:numPr>
          <w:ilvl w:val="0"/>
          <w:numId w:val="2"/>
        </w:numPr>
        <w:spacing w:after="40" w:before="40"/>
      </w:pPr>
      <w:r>
        <w:rPr>
          <w:rFonts w:ascii="Arial" w:cs="Arial" w:eastAsia="Arial" w:hAnsi="Arial"/>
          <w:color w:val="4A4A4A"/>
          <w:sz w:val="22"/>
          <w:szCs w:val="22"/>
        </w:rPr>
        <w:t xml:space="preserve">Full position: reach final size only when both the thesis is confirmed by at least one observable data point and the margin of safety remains above the 15% threshold</w:t>
      </w:r>
    </w:p>
    <w:p>
      <w:pPr>
        <w:pStyle w:val="ListParagraph"/>
        <w:numPr>
          <w:ilvl w:val="0"/>
          <w:numId w:val="2"/>
        </w:numPr>
        <w:spacing w:after="40" w:before="40"/>
      </w:pPr>
      <w:r>
        <w:rPr>
          <w:rFonts w:ascii="Arial" w:cs="Arial" w:eastAsia="Arial" w:hAnsi="Arial"/>
          <w:color w:val="4A4A4A"/>
          <w:sz w:val="22"/>
          <w:szCs w:val="22"/>
        </w:rPr>
        <w:t xml:space="preserve">Price declines after initial purchase: this is the hardest decision. Protocol: if the price declines after initial purchase, do not add until the thesis document has been re-evaluated against the new information. If the thesis is intact and the decline is price-driven not thesis-driven, the decline is a gift — scale toward final size. If the decline reveals new information that undermines a key assumption, reduce to zero before losses compound</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16.4  Quantitative Earnings Quality Screens</w:t>
      </w:r>
    </w:p>
    <w:p>
      <w:pPr>
        <w:spacing w:after="80" w:before="60"/>
      </w:pPr>
      <w:r>
        <w:rPr>
          <w:rFonts w:ascii="Arial" w:cs="Arial" w:eastAsia="Arial" w:hAnsi="Arial"/>
          <w:color w:val="4A4A4A"/>
          <w:sz w:val="22"/>
          <w:szCs w:val="22"/>
        </w:rPr>
        <w:t xml:space="preserve">The framework cleans earnings qualitatively across nine domains. Two quantitative statistical screens add systematic cross-checks that catch deteriorating businesses passing surface-level quality tests.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Formula and Interpretation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Sloan Accrual Ratio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Accrual Ratio = (Net Income − Operating Cash Flow − Investing Cash Flow) ÷ Average Total Assets. High positive accruals: earnings are outrunning cash — expect mean reversion. Negative accruals: cash is outrunning earnings — positive quality signal. The Sloan (1996) study showed companies in the highest accrual decile underperform those in the lowest by 10%+ annually — one of the most robust anomalies in academic finance. Run quarterly. Flag any reading above +5% as requiring fundamental review.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Piotroski F-Score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Nine binary factors scored 0 or 1: Profitability (4 factors): ROA positive, operating cash flow positive, ROA improving YoY, accruals below 0.05 threshold. Leverage and liquidity (3 factors): long-term debt ratio declining, current ratio improving, no dilutive share issuance in past year. Operating efficiency (2 factors): gross margin improving YoY, asset turnover improving YoY. Score 8–9: strong — company is improving across multiple dimensions. Score 0–2: weak — deteriorating fundamentals. Use F-Score to rank within the qualifying universe after primary screening — high-conviction ideas with F-Score below 5 require explicit explanation.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Earnings Power Value (Greenwald)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EPV = Normalized EBIT × (1 − t) ÷ WACC. The value of current earnings assuming zero growth. If EPV &gt; market price: you are paying nothing for growth — the current business alone justifies the valuation. This is the strongest form of margin of safety. If EPV significantly below market price: you are paying a large premium for growth that must be justified by the TAM and competitive position analysis. The EPV-to-market-price ratio is a direct measure of how much of the investment case depends on future growth assumptions.</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16.5  Performance Attribution — Learning from Outcomes</w:t>
      </w:r>
    </w:p>
    <w:p>
      <w:pPr>
        <w:spacing w:after="80" w:before="60"/>
      </w:pPr>
      <w:r>
        <w:rPr>
          <w:rFonts w:ascii="Arial" w:cs="Arial" w:eastAsia="Arial" w:hAnsi="Arial"/>
          <w:color w:val="4A4A4A"/>
          <w:sz w:val="22"/>
          <w:szCs w:val="22"/>
        </w:rPr>
        <w:t xml:space="preserve">Without performance attribution, the investor cannot distinguish skill from luck — and cannot improve the framework over time. Every position closed should be attributed across four dimensions: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Attribution Dimension</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Question and Learning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Thesis attribution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Was the investment successful because the thesis was right, or because macro tailwinds lifted all boats? Was it unsuccessful because the thesis was wrong, or because an unforeseeable external event disrupted an otherwise correct thesis? Only thesis-right/outcome-good positions generate learnable insights about what the framework identifies correctly.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Valuation attribution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Did the return come primarily from multiple expansion, earnings growth, or both? Multiple expansion returns are less repeatable than earnings-driven returns — a position that returned 50% because the market re-rated the sector is a different kind of success from one that returned 50% because earnings compounded as the DCF projected.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Timing attribution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Did entry timing add or subtract from returns? If the position was built at 50% of final size and the price fell 20% before recovering — did the entry protocol allow scaling at the lower price? Performance attribution on entry discipline identifies whether the position sizing protocol is functioning as designed.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Process attribution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Did any of the framework's checklist items predict the outcome before it occurred? Did the Beneish M-Score flag accounting risk before a restatement? Did the alternative data signals diverge from guidance before an earnings miss? Process attribution identifies which framework elements have genuine predictive power and which are noise — enabling systematic improvement over time.</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QUICK REFERENCE  ·  KEY FORMULAS &amp; CHECKLISTS</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Core Valuation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8"/>
              <w:bottom w:val="single" w:color="2E6DA4" w:sz="2"/>
              <w:right w:val="none" w:color="FFFFFF" w:sz="0"/>
            </w:tcBorders>
            <w:shd w:fill="EEF4FB" w:val="clear"/>
            <w:tcMar>
              <w:top w:type="dxa" w:w="120"/>
              <w:left w:type="dxa" w:w="200"/>
              <w:bottom w:type="dxa" w:w="120"/>
              <w:right w:type="dxa" w:w="200"/>
            </w:tcMar>
          </w:tcPr>
          <w:p>
            <w:pPr>
              <w:jc w:val="center"/>
            </w:pPr>
            <w:r>
              <w:rPr>
                <w:rFonts w:ascii="Courier New" w:cs="Courier New" w:eastAsia="Courier New" w:hAnsi="Courier New"/>
                <w:b/>
                <w:bCs/>
                <w:color w:val="1E3A5F"/>
                <w:sz w:val="22"/>
                <w:szCs w:val="22"/>
              </w:rPr>
              <w:t xml:space="preserve">EV/EBITDA  =  [ NOPATn × (1 - g/ROIC) / EBITDA ]  ÷  (WACC - 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8"/>
              <w:bottom w:val="single" w:color="2E6DA4" w:sz="2"/>
              <w:right w:val="none" w:color="FFFFFF" w:sz="0"/>
            </w:tcBorders>
            <w:shd w:fill="EEF4FB" w:val="clear"/>
            <w:tcMar>
              <w:top w:type="dxa" w:w="120"/>
              <w:left w:type="dxa" w:w="200"/>
              <w:bottom w:type="dxa" w:w="120"/>
              <w:right w:type="dxa" w:w="200"/>
            </w:tcMar>
          </w:tcPr>
          <w:p>
            <w:pPr>
              <w:jc w:val="center"/>
            </w:pPr>
            <w:r>
              <w:rPr>
                <w:rFonts w:ascii="Courier New" w:cs="Courier New" w:eastAsia="Courier New" w:hAnsi="Courier New"/>
                <w:b/>
                <w:bCs/>
                <w:color w:val="1E3A5F"/>
                <w:sz w:val="22"/>
                <w:szCs w:val="22"/>
              </w:rPr>
              <w:t xml:space="preserve">WACC  =  (E/V) × Ke  +  (D/V) × Kd × (1 - 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8"/>
              <w:bottom w:val="single" w:color="2E6DA4" w:sz="2"/>
              <w:right w:val="none" w:color="FFFFFF" w:sz="0"/>
            </w:tcBorders>
            <w:shd w:fill="EEF4FB" w:val="clear"/>
            <w:tcMar>
              <w:top w:type="dxa" w:w="120"/>
              <w:left w:type="dxa" w:w="200"/>
              <w:bottom w:type="dxa" w:w="120"/>
              <w:right w:type="dxa" w:w="200"/>
            </w:tcMar>
          </w:tcPr>
          <w:p>
            <w:pPr>
              <w:jc w:val="center"/>
            </w:pPr>
            <w:r>
              <w:rPr>
                <w:rFonts w:ascii="Courier New" w:cs="Courier New" w:eastAsia="Courier New" w:hAnsi="Courier New"/>
                <w:b/>
                <w:bCs/>
                <w:color w:val="1E3A5F"/>
                <w:sz w:val="22"/>
                <w:szCs w:val="22"/>
              </w:rPr>
              <w:t xml:space="preserve">TV  =  FCF_final × (1 + g)  ÷  (WACC - g)       [Gordon Growth]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8"/>
              <w:bottom w:val="single" w:color="2E6DA4" w:sz="2"/>
              <w:right w:val="none" w:color="FFFFFF" w:sz="0"/>
            </w:tcBorders>
            <w:shd w:fill="EEF4FB" w:val="clear"/>
            <w:tcMar>
              <w:top w:type="dxa" w:w="120"/>
              <w:left w:type="dxa" w:w="200"/>
              <w:bottom w:type="dxa" w:w="120"/>
              <w:right w:type="dxa" w:w="200"/>
            </w:tcMar>
          </w:tcPr>
          <w:p>
            <w:pPr>
              <w:jc w:val="center"/>
            </w:pPr>
            <w:r>
              <w:rPr>
                <w:rFonts w:ascii="Courier New" w:cs="Courier New" w:eastAsia="Courier New" w:hAnsi="Courier New"/>
                <w:b/>
                <w:bCs/>
                <w:color w:val="1E3A5F"/>
                <w:sz w:val="22"/>
                <w:szCs w:val="22"/>
              </w:rPr>
              <w:t xml:space="preserve">TV  =  NOPAT × (1 - g/ROIC)  ÷  (WACC - g)      [Reinvestment Rate]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8"/>
              <w:bottom w:val="single" w:color="2E6DA4" w:sz="2"/>
              <w:right w:val="none" w:color="FFFFFF" w:sz="0"/>
            </w:tcBorders>
            <w:shd w:fill="EEF4FB" w:val="clear"/>
            <w:tcMar>
              <w:top w:type="dxa" w:w="120"/>
              <w:left w:type="dxa" w:w="200"/>
              <w:bottom w:type="dxa" w:w="120"/>
              <w:right w:type="dxa" w:w="200"/>
            </w:tcMar>
          </w:tcPr>
          <w:p>
            <w:pPr>
              <w:jc w:val="center"/>
            </w:pPr>
            <w:r>
              <w:rPr>
                <w:rFonts w:ascii="Courier New" w:cs="Courier New" w:eastAsia="Courier New" w:hAnsi="Courier New"/>
                <w:b/>
                <w:bCs/>
                <w:color w:val="1E3A5F"/>
                <w:sz w:val="22"/>
                <w:szCs w:val="22"/>
              </w:rPr>
              <w:t xml:space="preserve">Ke  =  Rf  +  Beta × MRP                          [CAPM; MRP = 4.5–6%]</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Full 9-Domain Data Cleaning Checklist</w:t>
      </w:r>
    </w:p>
    <w:p>
      <w:pPr>
        <w:spacing w:after="80" w:before="200"/>
      </w:pPr>
      <w:r>
        <w:rPr>
          <w:rFonts w:ascii="Arial" w:cs="Arial" w:eastAsia="Arial" w:hAnsi="Arial"/>
          <w:b/>
          <w:bCs/>
          <w:color w:val="2E6DA4"/>
          <w:sz w:val="24"/>
          <w:szCs w:val="24"/>
        </w:rPr>
        <w:t xml:space="preserve">Liberti Domains — Income Statement and EV</w:t>
      </w:r>
    </w:p>
    <w:p>
      <w:pPr>
        <w:pStyle w:val="ListParagraph"/>
        <w:numPr>
          <w:ilvl w:val="0"/>
          <w:numId w:val="2"/>
        </w:numPr>
        <w:spacing w:after="40" w:before="40"/>
      </w:pPr>
      <w:r>
        <w:rPr>
          <w:rFonts w:ascii="Arial" w:cs="Arial" w:eastAsia="Arial" w:hAnsi="Arial"/>
          <w:color w:val="4A4A4A"/>
          <w:sz w:val="22"/>
          <w:szCs w:val="22"/>
        </w:rPr>
        <w:t xml:space="preserve">Domain 1: Remove restructuring charges, impairments, write-downs, integration costs from EBITDA/EBIT</w:t>
      </w:r>
    </w:p>
    <w:p>
      <w:pPr>
        <w:pStyle w:val="ListParagraph"/>
        <w:numPr>
          <w:ilvl w:val="0"/>
          <w:numId w:val="2"/>
        </w:numPr>
        <w:spacing w:after="40" w:before="40"/>
      </w:pPr>
      <w:r>
        <w:rPr>
          <w:rFonts w:ascii="Arial" w:cs="Arial" w:eastAsia="Arial" w:hAnsi="Arial"/>
          <w:color w:val="4A4A4A"/>
          <w:sz w:val="22"/>
          <w:szCs w:val="22"/>
        </w:rPr>
        <w:t xml:space="preserve">Domain 2: Remove JVA/associate income from EBITDA — value separately at PE multiple, add to equity bridge</w:t>
      </w:r>
    </w:p>
    <w:p>
      <w:pPr>
        <w:pStyle w:val="ListParagraph"/>
        <w:numPr>
          <w:ilvl w:val="0"/>
          <w:numId w:val="2"/>
        </w:numPr>
        <w:spacing w:after="40" w:before="40"/>
      </w:pPr>
      <w:r>
        <w:rPr>
          <w:rFonts w:ascii="Arial" w:cs="Arial" w:eastAsia="Arial" w:hAnsi="Arial"/>
          <w:color w:val="4A4A4A"/>
          <w:sz w:val="22"/>
          <w:szCs w:val="22"/>
        </w:rPr>
        <w:t xml:space="preserve">Domain 3: Normalize EBIT — strip associate income, impairments, volatile other income/expense lines</w:t>
      </w:r>
    </w:p>
    <w:p>
      <w:pPr>
        <w:pStyle w:val="ListParagraph"/>
        <w:numPr>
          <w:ilvl w:val="0"/>
          <w:numId w:val="2"/>
        </w:numPr>
        <w:spacing w:after="40" w:before="40"/>
      </w:pPr>
      <w:r>
        <w:rPr>
          <w:rFonts w:ascii="Arial" w:cs="Arial" w:eastAsia="Arial" w:hAnsi="Arial"/>
          <w:color w:val="4A4A4A"/>
          <w:sz w:val="22"/>
          <w:szCs w:val="22"/>
        </w:rPr>
        <w:t xml:space="preserve">Apply equity bridge: cash haircut for working capital (~3% revenue), restricted cash, overseas repatriation tax, NCI at book or separate valuation</w:t>
      </w:r>
    </w:p>
    <w:p>
      <w:pPr>
        <w:pStyle w:val="ListParagraph"/>
        <w:numPr>
          <w:ilvl w:val="0"/>
          <w:numId w:val="2"/>
        </w:numPr>
        <w:spacing w:after="40" w:before="40"/>
      </w:pPr>
      <w:r>
        <w:rPr>
          <w:rFonts w:ascii="Arial" w:cs="Arial" w:eastAsia="Arial" w:hAnsi="Arial"/>
          <w:color w:val="4A4A4A"/>
          <w:sz w:val="22"/>
          <w:szCs w:val="22"/>
        </w:rPr>
        <w:t xml:space="preserve">Verify multiple consistency: EV numerator and EBITDA denominator must include/exclude exactly the same items</w:t>
      </w:r>
    </w:p>
    <w:p>
      <w:pPr>
        <w:spacing w:after="80" w:before="0"/>
      </w:pPr>
      <w:r>
        <w:t xml:space="preserve"/>
      </w:r>
    </w:p>
    <w:p>
      <w:pPr>
        <w:spacing w:after="80" w:before="200"/>
      </w:pPr>
      <w:r>
        <w:rPr>
          <w:rFonts w:ascii="Arial" w:cs="Arial" w:eastAsia="Arial" w:hAnsi="Arial"/>
          <w:b/>
          <w:bCs/>
          <w:color w:val="2E6DA4"/>
          <w:sz w:val="24"/>
          <w:szCs w:val="24"/>
        </w:rPr>
        <w:t xml:space="preserve">Extended Domains — Comparability</w:t>
      </w:r>
    </w:p>
    <w:p>
      <w:pPr>
        <w:pStyle w:val="ListParagraph"/>
        <w:numPr>
          <w:ilvl w:val="0"/>
          <w:numId w:val="2"/>
        </w:numPr>
        <w:spacing w:after="40" w:before="40"/>
      </w:pPr>
      <w:r>
        <w:rPr>
          <w:rFonts w:ascii="Arial" w:cs="Arial" w:eastAsia="Arial" w:hAnsi="Arial"/>
          <w:color w:val="4A4A4A"/>
          <w:sz w:val="22"/>
          <w:szCs w:val="22"/>
        </w:rPr>
        <w:t xml:space="preserve">Domain 4: Accounting policy harmonization — verify LIFO/FIFO, R&amp;D capitalization policy, goodwill treatment match across all peers. Adjust to common basis before any margin comparison</w:t>
      </w:r>
    </w:p>
    <w:p>
      <w:pPr>
        <w:pStyle w:val="ListParagraph"/>
        <w:numPr>
          <w:ilvl w:val="0"/>
          <w:numId w:val="2"/>
        </w:numPr>
        <w:spacing w:after="40" w:before="40"/>
      </w:pPr>
      <w:r>
        <w:rPr>
          <w:rFonts w:ascii="Arial" w:cs="Arial" w:eastAsia="Arial" w:hAnsi="Arial"/>
          <w:color w:val="4A4A4A"/>
          <w:sz w:val="22"/>
          <w:szCs w:val="22"/>
        </w:rPr>
        <w:t xml:space="preserve">Domain 5: Lease normalization — add operating lease payments back to EBITDA (→ EBITDAR). Add PV of lease commitments to net debt in equity bridge. Check for residual off-balance-sheet items</w:t>
      </w:r>
    </w:p>
    <w:p>
      <w:pPr>
        <w:pStyle w:val="ListParagraph"/>
        <w:numPr>
          <w:ilvl w:val="0"/>
          <w:numId w:val="2"/>
        </w:numPr>
        <w:spacing w:after="40" w:before="40"/>
      </w:pPr>
      <w:r>
        <w:rPr>
          <w:rFonts w:ascii="Arial" w:cs="Arial" w:eastAsia="Arial" w:hAnsi="Arial"/>
          <w:color w:val="4A4A4A"/>
          <w:sz w:val="22"/>
          <w:szCs w:val="22"/>
        </w:rPr>
        <w:t xml:space="preserve">Domain 6: Pension cleaning — add unfunded deficit to equity bridge as debt-like item. Reclassify pension income statement: service cost to EBIT, interest cost and expected return below EBIT. Restate to common discount rate</w:t>
      </w:r>
    </w:p>
    <w:p>
      <w:pPr>
        <w:pStyle w:val="ListParagraph"/>
        <w:numPr>
          <w:ilvl w:val="0"/>
          <w:numId w:val="2"/>
        </w:numPr>
        <w:spacing w:after="40" w:before="40"/>
      </w:pPr>
      <w:r>
        <w:rPr>
          <w:rFonts w:ascii="Arial" w:cs="Arial" w:eastAsia="Arial" w:hAnsi="Arial"/>
          <w:color w:val="4A4A4A"/>
          <w:sz w:val="22"/>
          <w:szCs w:val="22"/>
        </w:rPr>
        <w:t xml:space="preserve">Domain 7: SBC adjustment — always use GAAP earnings as floor. Flag SBC &gt; 5% of FCF. Calculate net dilution after buybacks. Use fully diluted share count in all per-share metrics</w:t>
      </w:r>
    </w:p>
    <w:p>
      <w:pPr>
        <w:pStyle w:val="ListParagraph"/>
        <w:numPr>
          <w:ilvl w:val="0"/>
          <w:numId w:val="2"/>
        </w:numPr>
        <w:spacing w:after="40" w:before="40"/>
      </w:pPr>
      <w:r>
        <w:rPr>
          <w:rFonts w:ascii="Arial" w:cs="Arial" w:eastAsia="Arial" w:hAnsi="Arial"/>
          <w:color w:val="4A4A4A"/>
          <w:sz w:val="22"/>
          <w:szCs w:val="22"/>
        </w:rPr>
        <w:t xml:space="preserve">Domain 8: Revenue recognition check — compare revenue growth to cash collection growth. Flag persistent AR growth exceeding revenue growth. Treat deferred revenue as backlog, not current earnings</w:t>
      </w:r>
    </w:p>
    <w:p>
      <w:pPr>
        <w:pStyle w:val="ListParagraph"/>
        <w:numPr>
          <w:ilvl w:val="0"/>
          <w:numId w:val="2"/>
        </w:numPr>
        <w:spacing w:after="40" w:before="40"/>
      </w:pPr>
      <w:r>
        <w:rPr>
          <w:rFonts w:ascii="Arial" w:cs="Arial" w:eastAsia="Arial" w:hAnsi="Arial"/>
          <w:color w:val="4A4A4A"/>
          <w:sz w:val="22"/>
          <w:szCs w:val="22"/>
        </w:rPr>
        <w:t xml:space="preserve">Domain 9: Working capital normalization — separate structural from cyclical WC. Split maintenance vs growth capex. Use TTM figures for seasonal businesses. Check FCF vs NOPAT for quality signal</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Multiple Justification Checklist</w:t>
      </w:r>
    </w:p>
    <w:p>
      <w:pPr>
        <w:pStyle w:val="ListParagraph"/>
        <w:numPr>
          <w:ilvl w:val="0"/>
          <w:numId w:val="2"/>
        </w:numPr>
        <w:spacing w:after="40" w:before="40"/>
      </w:pPr>
      <w:r>
        <w:rPr>
          <w:rFonts w:ascii="Arial" w:cs="Arial" w:eastAsia="Arial" w:hAnsi="Arial"/>
          <w:color w:val="4A4A4A"/>
          <w:sz w:val="22"/>
          <w:szCs w:val="22"/>
        </w:rPr>
        <w:t xml:space="preserve">Compute ROIC-WACC spread — does it explain the premium vs. peers?</w:t>
      </w:r>
    </w:p>
    <w:p>
      <w:pPr>
        <w:pStyle w:val="ListParagraph"/>
        <w:numPr>
          <w:ilvl w:val="0"/>
          <w:numId w:val="2"/>
        </w:numPr>
        <w:spacing w:after="40" w:before="40"/>
      </w:pPr>
      <w:r>
        <w:rPr>
          <w:rFonts w:ascii="Arial" w:cs="Arial" w:eastAsia="Arial" w:hAnsi="Arial"/>
          <w:color w:val="4A4A4A"/>
          <w:sz w:val="22"/>
          <w:szCs w:val="22"/>
        </w:rPr>
        <w:t xml:space="preserve">Compute implied growth from current multiple — is it achievable given TAM and moat?</w:t>
      </w:r>
    </w:p>
    <w:p>
      <w:pPr>
        <w:pStyle w:val="ListParagraph"/>
        <w:numPr>
          <w:ilvl w:val="0"/>
          <w:numId w:val="2"/>
        </w:numPr>
        <w:spacing w:after="40" w:before="40"/>
      </w:pPr>
      <w:r>
        <w:rPr>
          <w:rFonts w:ascii="Arial" w:cs="Arial" w:eastAsia="Arial" w:hAnsi="Arial"/>
          <w:color w:val="4A4A4A"/>
          <w:sz w:val="22"/>
          <w:szCs w:val="22"/>
        </w:rPr>
        <w:t xml:space="preserve">Run implied TV multiple — is it below or in-line with forward multiples? (If above, flag as aggressive)</w:t>
      </w:r>
    </w:p>
    <w:p>
      <w:pPr>
        <w:pStyle w:val="ListParagraph"/>
        <w:numPr>
          <w:ilvl w:val="0"/>
          <w:numId w:val="2"/>
        </w:numPr>
        <w:spacing w:after="40" w:before="40"/>
      </w:pPr>
      <w:r>
        <w:rPr>
          <w:rFonts w:ascii="Arial" w:cs="Arial" w:eastAsia="Arial" w:hAnsi="Arial"/>
          <w:color w:val="4A4A4A"/>
          <w:sz w:val="22"/>
          <w:szCs w:val="22"/>
        </w:rPr>
        <w:t xml:space="preserve">Select correct multiple type for company profile (see Section 3.2 matrix)</w:t>
      </w:r>
    </w:p>
    <w:p>
      <w:pPr>
        <w:pStyle w:val="ListParagraph"/>
        <w:numPr>
          <w:ilvl w:val="0"/>
          <w:numId w:val="2"/>
        </w:numPr>
        <w:spacing w:after="40" w:before="40"/>
      </w:pPr>
      <w:r>
        <w:rPr>
          <w:rFonts w:ascii="Arial" w:cs="Arial" w:eastAsia="Arial" w:hAnsi="Arial"/>
          <w:color w:val="4A4A4A"/>
          <w:sz w:val="22"/>
          <w:szCs w:val="22"/>
        </w:rPr>
        <w:t xml:space="preserve">Confirm metric consistency — EV and denominator include same universe of assets</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AI Quality Pre-Deployment Checklist</w:t>
      </w:r>
    </w:p>
    <w:p>
      <w:pPr>
        <w:pStyle w:val="ListParagraph"/>
        <w:numPr>
          <w:ilvl w:val="0"/>
          <w:numId w:val="2"/>
        </w:numPr>
        <w:spacing w:after="40" w:before="40"/>
      </w:pPr>
      <w:r>
        <w:rPr>
          <w:rFonts w:ascii="Arial" w:cs="Arial" w:eastAsia="Arial" w:hAnsi="Arial"/>
          <w:color w:val="4A4A4A"/>
          <w:sz w:val="22"/>
          <w:szCs w:val="22"/>
        </w:rPr>
        <w:t xml:space="preserve">Red-team done: adversarial bear case built independently and reviewed — not dismissed</w:t>
      </w:r>
    </w:p>
    <w:p>
      <w:pPr>
        <w:pStyle w:val="ListParagraph"/>
        <w:numPr>
          <w:ilvl w:val="0"/>
          <w:numId w:val="2"/>
        </w:numPr>
        <w:spacing w:after="40" w:before="40"/>
      </w:pPr>
      <w:r>
        <w:rPr>
          <w:rFonts w:ascii="Arial" w:cs="Arial" w:eastAsia="Arial" w:hAnsi="Arial"/>
          <w:color w:val="4A4A4A"/>
          <w:sz w:val="22"/>
          <w:szCs w:val="22"/>
        </w:rPr>
        <w:t xml:space="preserve">Model built blind: intrinsic value locked before current market price was visible</w:t>
      </w:r>
    </w:p>
    <w:p>
      <w:pPr>
        <w:pStyle w:val="ListParagraph"/>
        <w:numPr>
          <w:ilvl w:val="0"/>
          <w:numId w:val="2"/>
        </w:numPr>
        <w:spacing w:after="40" w:before="40"/>
      </w:pPr>
      <w:r>
        <w:rPr>
          <w:rFonts w:ascii="Arial" w:cs="Arial" w:eastAsia="Arial" w:hAnsi="Arial"/>
          <w:color w:val="4A4A4A"/>
          <w:sz w:val="22"/>
          <w:szCs w:val="22"/>
        </w:rPr>
        <w:t xml:space="preserve">Assumptions logged: every above-norm assumption has a written justification in thesis memory</w:t>
      </w:r>
    </w:p>
    <w:p>
      <w:pPr>
        <w:pStyle w:val="ListParagraph"/>
        <w:numPr>
          <w:ilvl w:val="0"/>
          <w:numId w:val="2"/>
        </w:numPr>
        <w:spacing w:after="40" w:before="40"/>
      </w:pPr>
      <w:r>
        <w:rPr>
          <w:rFonts w:ascii="Arial" w:cs="Arial" w:eastAsia="Arial" w:hAnsi="Arial"/>
          <w:color w:val="4A4A4A"/>
          <w:sz w:val="22"/>
          <w:szCs w:val="22"/>
        </w:rPr>
        <w:t xml:space="preserve">WACC verified: calculated from live inputs this quarter, no discretionary compression</w:t>
      </w:r>
    </w:p>
    <w:p>
      <w:pPr>
        <w:pStyle w:val="ListParagraph"/>
        <w:numPr>
          <w:ilvl w:val="0"/>
          <w:numId w:val="2"/>
        </w:numPr>
        <w:spacing w:after="40" w:before="40"/>
      </w:pPr>
      <w:r>
        <w:rPr>
          <w:rFonts w:ascii="Arial" w:cs="Arial" w:eastAsia="Arial" w:hAnsi="Arial"/>
          <w:color w:val="4A4A4A"/>
          <w:sz w:val="22"/>
          <w:szCs w:val="22"/>
        </w:rPr>
        <w:t xml:space="preserve">Terminal value sanity: implied TV multiple is below or in-line with current forward multiples</w:t>
      </w:r>
    </w:p>
    <w:p>
      <w:pPr>
        <w:pStyle w:val="ListParagraph"/>
        <w:numPr>
          <w:ilvl w:val="0"/>
          <w:numId w:val="2"/>
        </w:numPr>
        <w:spacing w:after="40" w:before="40"/>
      </w:pPr>
      <w:r>
        <w:rPr>
          <w:rFonts w:ascii="Arial" w:cs="Arial" w:eastAsia="Arial" w:hAnsi="Arial"/>
          <w:color w:val="4A4A4A"/>
          <w:sz w:val="22"/>
          <w:szCs w:val="22"/>
        </w:rPr>
        <w:t xml:space="preserve">Comparable universe certified: fixed before seeing target multiple, not modified after</w:t>
      </w:r>
    </w:p>
    <w:p>
      <w:pPr>
        <w:pStyle w:val="ListParagraph"/>
        <w:numPr>
          <w:ilvl w:val="0"/>
          <w:numId w:val="2"/>
        </w:numPr>
        <w:spacing w:after="40" w:before="40"/>
      </w:pPr>
      <w:r>
        <w:rPr>
          <w:rFonts w:ascii="Arial" w:cs="Arial" w:eastAsia="Arial" w:hAnsi="Arial"/>
          <w:color w:val="4A4A4A"/>
          <w:sz w:val="22"/>
          <w:szCs w:val="22"/>
        </w:rPr>
        <w:t xml:space="preserve">Cross-portfolio consistency check: no assumption materially more optimistic than peer positions without documented reason</w:t>
      </w:r>
    </w:p>
    <w:p>
      <w:pPr>
        <w:pStyle w:val="ListParagraph"/>
        <w:numPr>
          <w:ilvl w:val="0"/>
          <w:numId w:val="2"/>
        </w:numPr>
        <w:spacing w:after="40" w:before="40"/>
      </w:pPr>
      <w:r>
        <w:rPr>
          <w:rFonts w:ascii="Arial" w:cs="Arial" w:eastAsia="Arial" w:hAnsi="Arial"/>
          <w:color w:val="4A4A4A"/>
          <w:sz w:val="22"/>
          <w:szCs w:val="22"/>
        </w:rPr>
        <w:t xml:space="preserve">Scenario spread verified: bull-to-bear spread meets minimum threshold, not collapsed</w:t>
      </w:r>
    </w:p>
    <w:p>
      <w:pPr>
        <w:pStyle w:val="ListParagraph"/>
        <w:numPr>
          <w:ilvl w:val="0"/>
          <w:numId w:val="2"/>
        </w:numPr>
        <w:spacing w:after="40" w:before="40"/>
      </w:pPr>
      <w:r>
        <w:rPr>
          <w:rFonts w:ascii="Arial" w:cs="Arial" w:eastAsia="Arial" w:hAnsi="Arial"/>
          <w:color w:val="4A4A4A"/>
          <w:sz w:val="22"/>
          <w:szCs w:val="22"/>
        </w:rPr>
        <w:t xml:space="preserve">Conviction score justified: all pillar scores above 4 have logged supporting evidence</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SFM Principles Checklist</w:t>
      </w:r>
    </w:p>
    <w:p>
      <w:pPr>
        <w:pStyle w:val="ListParagraph"/>
        <w:numPr>
          <w:ilvl w:val="0"/>
          <w:numId w:val="2"/>
        </w:numPr>
        <w:spacing w:after="40" w:before="40"/>
      </w:pPr>
      <w:r>
        <w:rPr>
          <w:rFonts w:ascii="Arial" w:cs="Arial" w:eastAsia="Arial" w:hAnsi="Arial"/>
          <w:color w:val="4A4A4A"/>
          <w:sz w:val="22"/>
          <w:szCs w:val="22"/>
        </w:rPr>
        <w:t xml:space="preserve">CFA formula verified: Revenue − Operating Costs − Taxes + D&amp;A − CapEx − ΔNWC. All components cleaned before discounting. Cash taxes used, not GAAP effective rate</w:t>
      </w:r>
    </w:p>
    <w:p>
      <w:pPr>
        <w:pStyle w:val="ListParagraph"/>
        <w:numPr>
          <w:ilvl w:val="0"/>
          <w:numId w:val="2"/>
        </w:numPr>
        <w:spacing w:after="40" w:before="40"/>
      </w:pPr>
      <w:r>
        <w:rPr>
          <w:rFonts w:ascii="Arial" w:cs="Arial" w:eastAsia="Arial" w:hAnsi="Arial"/>
          <w:color w:val="4A4A4A"/>
          <w:sz w:val="22"/>
          <w:szCs w:val="22"/>
        </w:rPr>
        <w:t xml:space="preserve">Incremental analysis: value = firm with project minus firm without. Sunk costs excluded. Opportunity costs included. Cannibalization estimated and subtracted from new product incremental revenue</w:t>
      </w:r>
    </w:p>
    <w:p>
      <w:pPr>
        <w:pStyle w:val="ListParagraph"/>
        <w:numPr>
          <w:ilvl w:val="0"/>
          <w:numId w:val="2"/>
        </w:numPr>
        <w:spacing w:after="40" w:before="40"/>
      </w:pPr>
      <w:r>
        <w:rPr>
          <w:rFonts w:ascii="Arial" w:cs="Arial" w:eastAsia="Arial" w:hAnsi="Arial"/>
          <w:color w:val="4A4A4A"/>
          <w:sz w:val="22"/>
          <w:szCs w:val="22"/>
        </w:rPr>
        <w:t xml:space="preserve">P/Sales multiple decomposed: confirm margin driver is explicit. Never compare P/Sales across companies with different margin profiles without margin-adjusting first</w:t>
      </w:r>
    </w:p>
    <w:p>
      <w:pPr>
        <w:pStyle w:val="ListParagraph"/>
        <w:numPr>
          <w:ilvl w:val="0"/>
          <w:numId w:val="2"/>
        </w:numPr>
        <w:spacing w:after="40" w:before="40"/>
      </w:pPr>
      <w:r>
        <w:rPr>
          <w:rFonts w:ascii="Arial" w:cs="Arial" w:eastAsia="Arial" w:hAnsi="Arial"/>
          <w:color w:val="4A4A4A"/>
          <w:sz w:val="22"/>
          <w:szCs w:val="22"/>
        </w:rPr>
        <w:t xml:space="preserve">Real options assessed: does this company have material pipeline optionality, expansion rights, abandonment value, or switching flexibility that DCF misses? If yes, value separately and add to DCF base value</w:t>
      </w:r>
    </w:p>
    <w:p>
      <w:pPr>
        <w:pStyle w:val="ListParagraph"/>
        <w:numPr>
          <w:ilvl w:val="0"/>
          <w:numId w:val="2"/>
        </w:numPr>
        <w:spacing w:after="40" w:before="40"/>
      </w:pPr>
      <w:r>
        <w:rPr>
          <w:rFonts w:ascii="Arial" w:cs="Arial" w:eastAsia="Arial" w:hAnsi="Arial"/>
          <w:color w:val="4A4A4A"/>
          <w:sz w:val="22"/>
          <w:szCs w:val="22"/>
        </w:rPr>
        <w:t xml:space="preserve">Capital structure check: is leverage stable? If changing — use APV not WACC. Separate base NPV (all-equity) from tax shield value from distress costs</w:t>
      </w:r>
    </w:p>
    <w:p>
      <w:pPr>
        <w:pStyle w:val="ListParagraph"/>
        <w:numPr>
          <w:ilvl w:val="0"/>
          <w:numId w:val="2"/>
        </w:numPr>
        <w:spacing w:after="40" w:before="40"/>
      </w:pPr>
      <w:r>
        <w:rPr>
          <w:rFonts w:ascii="Arial" w:cs="Arial" w:eastAsia="Arial" w:hAnsi="Arial"/>
          <w:color w:val="4A4A4A"/>
          <w:sz w:val="22"/>
          <w:szCs w:val="22"/>
        </w:rPr>
        <w:t xml:space="preserve">Bear case distress separation: economic distress (operating shock, same for all firms) modeled separately from financial distress (leverage-amplified additional damage). Apply +150 to +300bps WACC premium specifically to levered bear case</w:t>
      </w:r>
    </w:p>
    <w:p>
      <w:pPr>
        <w:pStyle w:val="ListParagraph"/>
        <w:numPr>
          <w:ilvl w:val="0"/>
          <w:numId w:val="2"/>
        </w:numPr>
        <w:spacing w:after="40" w:before="40"/>
      </w:pPr>
      <w:r>
        <w:rPr>
          <w:rFonts w:ascii="Arial" w:cs="Arial" w:eastAsia="Arial" w:hAnsi="Arial"/>
          <w:color w:val="4A4A4A"/>
          <w:sz w:val="22"/>
          <w:szCs w:val="22"/>
        </w:rPr>
        <w:t xml:space="preserve">Self-diagnostic complete: anchoring risk assessed (first number seen documented), recency bias check (are recent positive results inflating base case?), overconfidence check (is conviction level justified by track record?)</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Risk Framework Checklist</w:t>
      </w:r>
    </w:p>
    <w:p>
      <w:pPr>
        <w:pStyle w:val="ListParagraph"/>
        <w:numPr>
          <w:ilvl w:val="0"/>
          <w:numId w:val="2"/>
        </w:numPr>
        <w:spacing w:after="40" w:before="40"/>
      </w:pPr>
      <w:r>
        <w:rPr>
          <w:rFonts w:ascii="Arial" w:cs="Arial" w:eastAsia="Arial" w:hAnsi="Arial"/>
          <w:color w:val="4A4A4A"/>
          <w:sz w:val="22"/>
          <w:szCs w:val="22"/>
        </w:rPr>
        <w:t xml:space="preserve">Idiosyncratic risk scored 1–5: key person, single customer (&gt;20% flag, &gt;40% cap), single product (&gt;50% flag), supplier concentration (&gt;40% COGS flag)</w:t>
      </w:r>
    </w:p>
    <w:p>
      <w:pPr>
        <w:pStyle w:val="ListParagraph"/>
        <w:numPr>
          <w:ilvl w:val="0"/>
          <w:numId w:val="2"/>
        </w:numPr>
        <w:spacing w:after="40" w:before="40"/>
      </w:pPr>
      <w:r>
        <w:rPr>
          <w:rFonts w:ascii="Arial" w:cs="Arial" w:eastAsia="Arial" w:hAnsi="Arial"/>
          <w:color w:val="4A4A4A"/>
          <w:sz w:val="22"/>
          <w:szCs w:val="22"/>
        </w:rPr>
        <w:t xml:space="preserve">Systemic beta profile: rate sensitivity, credit cycle, commodity, FX — flag if any factor drives &gt;30% of position return variance</w:t>
      </w:r>
    </w:p>
    <w:p>
      <w:pPr>
        <w:pStyle w:val="ListParagraph"/>
        <w:numPr>
          <w:ilvl w:val="0"/>
          <w:numId w:val="2"/>
        </w:numPr>
        <w:spacing w:after="40" w:before="40"/>
      </w:pPr>
      <w:r>
        <w:rPr>
          <w:rFonts w:ascii="Arial" w:cs="Arial" w:eastAsia="Arial" w:hAnsi="Arial"/>
          <w:color w:val="4A4A4A"/>
          <w:sz w:val="22"/>
          <w:szCs w:val="22"/>
        </w:rPr>
        <w:t xml:space="preserve">Liquidity check: days-to-liquidate at 20% of 30-day ADV &lt; 10 trading days. Position size ≤ 20% of 30-day ADV</w:t>
      </w:r>
    </w:p>
    <w:p>
      <w:pPr>
        <w:pStyle w:val="ListParagraph"/>
        <w:numPr>
          <w:ilvl w:val="0"/>
          <w:numId w:val="2"/>
        </w:numPr>
        <w:spacing w:after="40" w:before="40"/>
      </w:pPr>
      <w:r>
        <w:rPr>
          <w:rFonts w:ascii="Arial" w:cs="Arial" w:eastAsia="Arial" w:hAnsi="Arial"/>
          <w:color w:val="4A4A4A"/>
          <w:sz w:val="22"/>
          <w:szCs w:val="22"/>
        </w:rPr>
        <w:t xml:space="preserve">Portfolio drawdown simulation run: all bear cases applied simultaneously with stress correlation matrix. Portfolio drawdown &lt; 35% threshold</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Management Quality Checklist</w:t>
      </w:r>
    </w:p>
    <w:p>
      <w:pPr>
        <w:pStyle w:val="ListParagraph"/>
        <w:numPr>
          <w:ilvl w:val="0"/>
          <w:numId w:val="2"/>
        </w:numPr>
        <w:spacing w:after="40" w:before="40"/>
      </w:pPr>
      <w:r>
        <w:rPr>
          <w:rFonts w:ascii="Arial" w:cs="Arial" w:eastAsia="Arial" w:hAnsi="Arial"/>
          <w:color w:val="4A4A4A"/>
          <w:sz w:val="22"/>
          <w:szCs w:val="22"/>
        </w:rPr>
        <w:t xml:space="preserve">Capital allocation track record scored: M&amp;A post-acquisition ROIC, buyback price vs intrinsic value, capex hit rate, R&amp;D return measured 2–3 years later</w:t>
      </w:r>
    </w:p>
    <w:p>
      <w:pPr>
        <w:pStyle w:val="ListParagraph"/>
        <w:numPr>
          <w:ilvl w:val="0"/>
          <w:numId w:val="2"/>
        </w:numPr>
        <w:spacing w:after="40" w:before="40"/>
      </w:pPr>
      <w:r>
        <w:rPr>
          <w:rFonts w:ascii="Arial" w:cs="Arial" w:eastAsia="Arial" w:hAnsi="Arial"/>
          <w:color w:val="4A4A4A"/>
          <w:sz w:val="22"/>
          <w:szCs w:val="22"/>
        </w:rPr>
        <w:t xml:space="preserve">Guidance credibility score calculated: % quarters within 5% of initial guidance over trailing 3 years. &gt; 80% = score 5, &lt; 40% = score 1</w:t>
      </w:r>
    </w:p>
    <w:p>
      <w:pPr>
        <w:pStyle w:val="ListParagraph"/>
        <w:numPr>
          <w:ilvl w:val="0"/>
          <w:numId w:val="2"/>
        </w:numPr>
        <w:spacing w:after="40" w:before="40"/>
      </w:pPr>
      <w:r>
        <w:rPr>
          <w:rFonts w:ascii="Arial" w:cs="Arial" w:eastAsia="Arial" w:hAnsi="Arial"/>
          <w:color w:val="4A4A4A"/>
          <w:sz w:val="22"/>
          <w:szCs w:val="22"/>
        </w:rPr>
        <w:t xml:space="preserve">Insider ownership reviewed: direction of change over 12 months, compensation structure (ROIC-linked preferred), SBC net dilution after buybacks &lt; 2% annually</w:t>
      </w:r>
    </w:p>
    <w:p>
      <w:pPr>
        <w:pStyle w:val="ListParagraph"/>
        <w:numPr>
          <w:ilvl w:val="0"/>
          <w:numId w:val="2"/>
        </w:numPr>
        <w:spacing w:after="40" w:before="40"/>
      </w:pPr>
      <w:r>
        <w:rPr>
          <w:rFonts w:ascii="Arial" w:cs="Arial" w:eastAsia="Arial" w:hAnsi="Arial"/>
          <w:color w:val="4A4A4A"/>
          <w:sz w:val="22"/>
          <w:szCs w:val="22"/>
        </w:rPr>
        <w:t xml:space="preserve">Form 4 filings reviewed this quarter: cluster selling by multiple insiders flags mandatory thesis review</w:t>
      </w:r>
    </w:p>
    <w:p>
      <w:pPr>
        <w:pStyle w:val="ListParagraph"/>
        <w:numPr>
          <w:ilvl w:val="0"/>
          <w:numId w:val="2"/>
        </w:numPr>
        <w:spacing w:after="40" w:before="40"/>
      </w:pPr>
      <w:r>
        <w:rPr>
          <w:rFonts w:ascii="Arial" w:cs="Arial" w:eastAsia="Arial" w:hAnsi="Arial"/>
          <w:color w:val="4A4A4A"/>
          <w:sz w:val="22"/>
          <w:szCs w:val="22"/>
        </w:rPr>
        <w:t xml:space="preserve">Succession depth assessed: identified successor, bench depth, customer relationship portability</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Tax, ESG and Risk Checklist</w:t>
      </w:r>
    </w:p>
    <w:p>
      <w:pPr>
        <w:pStyle w:val="ListParagraph"/>
        <w:numPr>
          <w:ilvl w:val="0"/>
          <w:numId w:val="2"/>
        </w:numPr>
        <w:spacing w:after="40" w:before="40"/>
      </w:pPr>
      <w:r>
        <w:rPr>
          <w:rFonts w:ascii="Arial" w:cs="Arial" w:eastAsia="Arial" w:hAnsi="Arial"/>
          <w:color w:val="4A4A4A"/>
          <w:sz w:val="22"/>
          <w:szCs w:val="22"/>
        </w:rPr>
        <w:t xml:space="preserve">Cash tax rate vs GAAP effective rate: divergence &lt; 500bps. If greater, investigate deferred tax dynamics and NOL exhaustion timeline</w:t>
      </w:r>
    </w:p>
    <w:p>
      <w:pPr>
        <w:pStyle w:val="ListParagraph"/>
        <w:numPr>
          <w:ilvl w:val="0"/>
          <w:numId w:val="2"/>
        </w:numPr>
        <w:spacing w:after="40" w:before="40"/>
      </w:pPr>
      <w:r>
        <w:rPr>
          <w:rFonts w:ascii="Arial" w:cs="Arial" w:eastAsia="Arial" w:hAnsi="Arial"/>
          <w:color w:val="4A4A4A"/>
          <w:sz w:val="22"/>
          <w:szCs w:val="22"/>
        </w:rPr>
        <w:t xml:space="preserve">OECD Pillar Two exposure: identify any sub-15% effective rate jurisdiction. Quantify incremental tax cost in base case</w:t>
      </w:r>
    </w:p>
    <w:p>
      <w:pPr>
        <w:pStyle w:val="ListParagraph"/>
        <w:numPr>
          <w:ilvl w:val="0"/>
          <w:numId w:val="2"/>
        </w:numPr>
        <w:spacing w:after="40" w:before="40"/>
      </w:pPr>
      <w:r>
        <w:rPr>
          <w:rFonts w:ascii="Arial" w:cs="Arial" w:eastAsia="Arial" w:hAnsi="Arial"/>
          <w:color w:val="4A4A4A"/>
          <w:sz w:val="22"/>
          <w:szCs w:val="22"/>
        </w:rPr>
        <w:t xml:space="preserve">Geopolitical flags: China revenue &lt; 20%, China manufacturing &lt; 40% COGS, Taiwan semiconductor dependency assessed, single-regulator exposure &lt; 60% revenue</w:t>
      </w:r>
    </w:p>
    <w:p>
      <w:pPr>
        <w:pStyle w:val="ListParagraph"/>
        <w:numPr>
          <w:ilvl w:val="0"/>
          <w:numId w:val="2"/>
        </w:numPr>
        <w:spacing w:after="40" w:before="40"/>
      </w:pPr>
      <w:r>
        <w:rPr>
          <w:rFonts w:ascii="Arial" w:cs="Arial" w:eastAsia="Arial" w:hAnsi="Arial"/>
          <w:color w:val="4A4A4A"/>
          <w:sz w:val="22"/>
          <w:szCs w:val="22"/>
        </w:rPr>
        <w:t xml:space="preserve">Beneish M-Score run this quarter: score above -1.78 triggers mandatory fundamental review</w:t>
      </w:r>
    </w:p>
    <w:p>
      <w:pPr>
        <w:pStyle w:val="ListParagraph"/>
        <w:numPr>
          <w:ilvl w:val="0"/>
          <w:numId w:val="2"/>
        </w:numPr>
        <w:spacing w:after="40" w:before="40"/>
      </w:pPr>
      <w:r>
        <w:rPr>
          <w:rFonts w:ascii="Arial" w:cs="Arial" w:eastAsia="Arial" w:hAnsi="Arial"/>
          <w:color w:val="4A4A4A"/>
          <w:sz w:val="22"/>
          <w:szCs w:val="22"/>
        </w:rPr>
        <w:t xml:space="preserve">Stranded asset check: for carbon-intensive assets, TCFD transition scenario in bear case with carbon price assumption</w:t>
      </w:r>
    </w:p>
    <w:p>
      <w:pPr>
        <w:pStyle w:val="ListParagraph"/>
        <w:numPr>
          <w:ilvl w:val="0"/>
          <w:numId w:val="2"/>
        </w:numPr>
        <w:spacing w:after="40" w:before="40"/>
      </w:pPr>
      <w:r>
        <w:rPr>
          <w:rFonts w:ascii="Arial" w:cs="Arial" w:eastAsia="Arial" w:hAnsi="Arial"/>
          <w:color w:val="4A4A4A"/>
          <w:sz w:val="22"/>
          <w:szCs w:val="22"/>
        </w:rPr>
        <w:t xml:space="preserve">Supply chain resilience scored: single-supplier COGS concentration, geographic manufacturing concentration, labor relations history</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Alternative Data and Portfolio Analytics Checklist</w:t>
      </w:r>
    </w:p>
    <w:p>
      <w:pPr>
        <w:pStyle w:val="ListParagraph"/>
        <w:numPr>
          <w:ilvl w:val="0"/>
          <w:numId w:val="2"/>
        </w:numPr>
        <w:spacing w:after="40" w:before="40"/>
      </w:pPr>
      <w:r>
        <w:rPr>
          <w:rFonts w:ascii="Arial" w:cs="Arial" w:eastAsia="Arial" w:hAnsi="Arial"/>
          <w:color w:val="4A4A4A"/>
          <w:sz w:val="22"/>
          <w:szCs w:val="22"/>
        </w:rPr>
        <w:t xml:space="preserve">Alternative data signals checked this month: card/transaction data, web traffic/app downloads, job posting velocity, management NLP sentiment</w:t>
      </w:r>
    </w:p>
    <w:p>
      <w:pPr>
        <w:pStyle w:val="ListParagraph"/>
        <w:numPr>
          <w:ilvl w:val="0"/>
          <w:numId w:val="2"/>
        </w:numPr>
        <w:spacing w:after="40" w:before="40"/>
      </w:pPr>
      <w:r>
        <w:rPr>
          <w:rFonts w:ascii="Arial" w:cs="Arial" w:eastAsia="Arial" w:hAnsi="Arial"/>
          <w:color w:val="4A4A4A"/>
          <w:sz w:val="22"/>
          <w:szCs w:val="22"/>
        </w:rPr>
        <w:t xml:space="preserve">New entrant monitoring: funding rounds and hiring in core sectors reviewed this month</w:t>
      </w:r>
    </w:p>
    <w:p>
      <w:pPr>
        <w:pStyle w:val="ListParagraph"/>
        <w:numPr>
          <w:ilvl w:val="0"/>
          <w:numId w:val="2"/>
        </w:numPr>
        <w:spacing w:after="40" w:before="40"/>
      </w:pPr>
      <w:r>
        <w:rPr>
          <w:rFonts w:ascii="Arial" w:cs="Arial" w:eastAsia="Arial" w:hAnsi="Arial"/>
          <w:color w:val="4A4A4A"/>
          <w:sz w:val="22"/>
          <w:szCs w:val="22"/>
        </w:rPr>
        <w:t xml:space="preserve">Factor exposure analysis run this quarter: no single factor &gt; 40% of portfolio return variance</w:t>
      </w:r>
    </w:p>
    <w:p>
      <w:pPr>
        <w:pStyle w:val="ListParagraph"/>
        <w:numPr>
          <w:ilvl w:val="0"/>
          <w:numId w:val="2"/>
        </w:numPr>
        <w:spacing w:after="40" w:before="40"/>
      </w:pPr>
      <w:r>
        <w:rPr>
          <w:rFonts w:ascii="Arial" w:cs="Arial" w:eastAsia="Arial" w:hAnsi="Arial"/>
          <w:color w:val="4A4A4A"/>
          <w:sz w:val="22"/>
          <w:szCs w:val="22"/>
        </w:rPr>
        <w:t xml:space="preserve">Volatility budgeting verified: no position contributing &gt; 15% of total portfolio volatility</w:t>
      </w:r>
    </w:p>
    <w:p>
      <w:pPr>
        <w:pStyle w:val="ListParagraph"/>
        <w:numPr>
          <w:ilvl w:val="0"/>
          <w:numId w:val="2"/>
        </w:numPr>
        <w:spacing w:after="40" w:before="40"/>
      </w:pPr>
      <w:r>
        <w:rPr>
          <w:rFonts w:ascii="Arial" w:cs="Arial" w:eastAsia="Arial" w:hAnsi="Arial"/>
          <w:color w:val="4A4A4A"/>
          <w:sz w:val="22"/>
          <w:szCs w:val="22"/>
        </w:rPr>
        <w:t xml:space="preserve">Competitive dynamics: pricing power signal (realized price per unit trend), TAM penetration rate vs market growth rate, NPS/ratings trajectory</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7 Powers Moat Checklist</w:t>
      </w:r>
    </w:p>
    <w:p>
      <w:pPr>
        <w:pStyle w:val="ListParagraph"/>
        <w:numPr>
          <w:ilvl w:val="0"/>
          <w:numId w:val="2"/>
        </w:numPr>
        <w:spacing w:after="40" w:before="40"/>
      </w:pPr>
      <w:r>
        <w:rPr>
          <w:rFonts w:ascii="Arial" w:cs="Arial" w:eastAsia="Arial" w:hAnsi="Arial"/>
          <w:color w:val="4A4A4A"/>
          <w:sz w:val="22"/>
          <w:szCs w:val="22"/>
        </w:rPr>
        <w:t xml:space="preserve">For each moat identified: state the specific benefit (higher prices, lower costs, or reduced investment) AND the specific barrier (structural reason competitors cannot replicate within 3 years). Score 0 = no power, 1 = benefit only, 2 = benefit + barrier confirmed</w:t>
      </w:r>
    </w:p>
    <w:p>
      <w:pPr>
        <w:pStyle w:val="ListParagraph"/>
        <w:numPr>
          <w:ilvl w:val="0"/>
          <w:numId w:val="2"/>
        </w:numPr>
        <w:spacing w:after="40" w:before="40"/>
      </w:pPr>
      <w:r>
        <w:rPr>
          <w:rFonts w:ascii="Arial" w:cs="Arial" w:eastAsia="Arial" w:hAnsi="Arial"/>
          <w:color w:val="4A4A4A"/>
          <w:sz w:val="22"/>
          <w:szCs w:val="22"/>
        </w:rPr>
        <w:t xml:space="preserve">Count confirmed powers (score 2). Zero confirmed = ROIC will mean-revert toward WACC within 5–7 years. One confirmed = defensible. Two or more = exceptional</w:t>
      </w:r>
    </w:p>
    <w:p>
      <w:pPr>
        <w:pStyle w:val="ListParagraph"/>
        <w:numPr>
          <w:ilvl w:val="0"/>
          <w:numId w:val="2"/>
        </w:numPr>
        <w:spacing w:after="40" w:before="40"/>
      </w:pPr>
      <w:r>
        <w:rPr>
          <w:rFonts w:ascii="Arial" w:cs="Arial" w:eastAsia="Arial" w:hAnsi="Arial"/>
          <w:color w:val="4A4A4A"/>
          <w:sz w:val="22"/>
          <w:szCs w:val="22"/>
        </w:rPr>
        <w:t xml:space="preserve">Power progression check: is the company building the right power for its lifecycle stage? Counter-positioning at origination, network tipping point at take-off, switching costs and process power at stability</w:t>
      </w:r>
    </w:p>
    <w:p>
      <w:pPr>
        <w:pStyle w:val="ListParagraph"/>
        <w:numPr>
          <w:ilvl w:val="0"/>
          <w:numId w:val="2"/>
        </w:numPr>
        <w:spacing w:after="40" w:before="40"/>
      </w:pPr>
      <w:r>
        <w:rPr>
          <w:rFonts w:ascii="Arial" w:cs="Arial" w:eastAsia="Arial" w:hAnsi="Arial"/>
          <w:color w:val="4A4A4A"/>
          <w:sz w:val="22"/>
          <w:szCs w:val="22"/>
        </w:rPr>
        <w:t xml:space="preserve">Network businesses: has the tipping point been reached? If not — what is the timeline and what could prevent it?</w:t>
      </w:r>
    </w:p>
    <w:p>
      <w:pPr>
        <w:pStyle w:val="ListParagraph"/>
        <w:numPr>
          <w:ilvl w:val="0"/>
          <w:numId w:val="2"/>
        </w:numPr>
        <w:spacing w:after="40" w:before="40"/>
      </w:pPr>
      <w:r>
        <w:rPr>
          <w:rFonts w:ascii="Arial" w:cs="Arial" w:eastAsia="Arial" w:hAnsi="Arial"/>
          <w:color w:val="4A4A4A"/>
          <w:sz w:val="22"/>
          <w:szCs w:val="22"/>
        </w:rPr>
        <w:t xml:space="preserve">Counter-positioning threat check: has any challenger adopted a model that the incumbent rationally cannot copy? If yes, moat erosion is structurally underway even if ROIC appears strong</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Lifecycle and Industry Structure Checklist</w:t>
      </w:r>
    </w:p>
    <w:p>
      <w:pPr>
        <w:pStyle w:val="ListParagraph"/>
        <w:numPr>
          <w:ilvl w:val="0"/>
          <w:numId w:val="2"/>
        </w:numPr>
        <w:spacing w:after="40" w:before="40"/>
      </w:pPr>
      <w:r>
        <w:rPr>
          <w:rFonts w:ascii="Arial" w:cs="Arial" w:eastAsia="Arial" w:hAnsi="Arial"/>
          <w:color w:val="4A4A4A"/>
          <w:sz w:val="22"/>
          <w:szCs w:val="22"/>
        </w:rPr>
        <w:t xml:space="preserve">Lifecycle stage classified: Startup / Hypergrowth / Growth compounder / Mature / Declining. Screening thresholds adjusted accordingly</w:t>
      </w:r>
    </w:p>
    <w:p>
      <w:pPr>
        <w:pStyle w:val="ListParagraph"/>
        <w:numPr>
          <w:ilvl w:val="0"/>
          <w:numId w:val="2"/>
        </w:numPr>
        <w:spacing w:after="40" w:before="40"/>
      </w:pPr>
      <w:r>
        <w:rPr>
          <w:rFonts w:ascii="Arial" w:cs="Arial" w:eastAsia="Arial" w:hAnsi="Arial"/>
          <w:color w:val="4A4A4A"/>
          <w:sz w:val="22"/>
          <w:szCs w:val="22"/>
        </w:rPr>
        <w:t xml:space="preserve">Porter Five Forces scored: each force 1–5. Aggregate score: 20–25 = full conviction allowed, 12–19 = requires strong company moat, below 12 = WACC premium +100 to +200bps and Moat Pillar capped at 3</w:t>
      </w:r>
    </w:p>
    <w:p>
      <w:pPr>
        <w:pStyle w:val="ListParagraph"/>
        <w:numPr>
          <w:ilvl w:val="0"/>
          <w:numId w:val="2"/>
        </w:numPr>
        <w:spacing w:after="40" w:before="40"/>
      </w:pPr>
      <w:r>
        <w:rPr>
          <w:rFonts w:ascii="Arial" w:cs="Arial" w:eastAsia="Arial" w:hAnsi="Arial"/>
          <w:color w:val="4A4A4A"/>
          <w:sz w:val="22"/>
          <w:szCs w:val="22"/>
        </w:rPr>
        <w:t xml:space="preserve">Industry ROIC mean-reversion risk assessed: what is the expected speed of ROIC normalisation given industry structure score and moat strength?</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Unit Economics and Revenue Quality Checklist</w:t>
      </w:r>
    </w:p>
    <w:p>
      <w:pPr>
        <w:pStyle w:val="ListParagraph"/>
        <w:numPr>
          <w:ilvl w:val="0"/>
          <w:numId w:val="2"/>
        </w:numPr>
        <w:spacing w:after="40" w:before="40"/>
      </w:pPr>
      <w:r>
        <w:rPr>
          <w:rFonts w:ascii="Arial" w:cs="Arial" w:eastAsia="Arial" w:hAnsi="Arial"/>
          <w:color w:val="4A4A4A"/>
          <w:sz w:val="22"/>
          <w:szCs w:val="22"/>
        </w:rPr>
        <w:t xml:space="preserve">NRR calculated and trended: &gt; 120% target for SaaS. Below 100% requires mandatory thesis review</w:t>
      </w:r>
    </w:p>
    <w:p>
      <w:pPr>
        <w:pStyle w:val="ListParagraph"/>
        <w:numPr>
          <w:ilvl w:val="0"/>
          <w:numId w:val="2"/>
        </w:numPr>
        <w:spacing w:after="40" w:before="40"/>
      </w:pPr>
      <w:r>
        <w:rPr>
          <w:rFonts w:ascii="Arial" w:cs="Arial" w:eastAsia="Arial" w:hAnsi="Arial"/>
          <w:color w:val="4A4A4A"/>
          <w:sz w:val="22"/>
          <w:szCs w:val="22"/>
        </w:rPr>
        <w:t xml:space="preserve">LTV/CAC ratio from cohort retention curves (not averages): &gt; 3x required, &gt; 5x exceptional</w:t>
      </w:r>
    </w:p>
    <w:p>
      <w:pPr>
        <w:pStyle w:val="ListParagraph"/>
        <w:numPr>
          <w:ilvl w:val="0"/>
          <w:numId w:val="2"/>
        </w:numPr>
        <w:spacing w:after="40" w:before="40"/>
      </w:pPr>
      <w:r>
        <w:rPr>
          <w:rFonts w:ascii="Arial" w:cs="Arial" w:eastAsia="Arial" w:hAnsi="Arial"/>
          <w:color w:val="4A4A4A"/>
          <w:sz w:val="22"/>
          <w:szCs w:val="22"/>
        </w:rPr>
        <w:t xml:space="preserve">Payback period calculated: &lt; 18 months for SaaS, &lt; 12 months for high-velocity consumer. Trending direction confirmed</w:t>
      </w:r>
    </w:p>
    <w:p>
      <w:pPr>
        <w:pStyle w:val="ListParagraph"/>
        <w:numPr>
          <w:ilvl w:val="0"/>
          <w:numId w:val="2"/>
        </w:numPr>
        <w:spacing w:after="40" w:before="40"/>
      </w:pPr>
      <w:r>
        <w:rPr>
          <w:rFonts w:ascii="Arial" w:cs="Arial" w:eastAsia="Arial" w:hAnsi="Arial"/>
          <w:color w:val="4A4A4A"/>
          <w:sz w:val="22"/>
          <w:szCs w:val="22"/>
        </w:rPr>
        <w:t xml:space="preserve">TAM/SAM/SOM sized bottom-up. Penetration rate at base-case year 5 and year 10 calculated. If implied penetration exceeds 50% of SAM, explicit justification required</w:t>
      </w:r>
    </w:p>
    <w:p>
      <w:pPr>
        <w:pStyle w:val="ListParagraph"/>
        <w:numPr>
          <w:ilvl w:val="0"/>
          <w:numId w:val="2"/>
        </w:numPr>
        <w:spacing w:after="40" w:before="40"/>
      </w:pPr>
      <w:r>
        <w:rPr>
          <w:rFonts w:ascii="Arial" w:cs="Arial" w:eastAsia="Arial" w:hAnsi="Arial"/>
          <w:color w:val="4A4A4A"/>
          <w:sz w:val="22"/>
          <w:szCs w:val="22"/>
        </w:rPr>
        <w:t xml:space="preserve">Revenue quality scored across 5 dimensions: recurring %, customer concentration, backlog visibility, gross margin, expansion revenue %. Aggregate quality score affects multiple justification</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Scenario Planning and Regulatory Risk Checklist</w:t>
      </w:r>
    </w:p>
    <w:p>
      <w:pPr>
        <w:pStyle w:val="ListParagraph"/>
        <w:numPr>
          <w:ilvl w:val="0"/>
          <w:numId w:val="2"/>
        </w:numPr>
        <w:spacing w:after="40" w:before="40"/>
      </w:pPr>
      <w:r>
        <w:rPr>
          <w:rFonts w:ascii="Arial" w:cs="Arial" w:eastAsia="Arial" w:hAnsi="Arial"/>
          <w:color w:val="4A4A4A"/>
          <w:sz w:val="22"/>
          <w:szCs w:val="22"/>
        </w:rPr>
        <w:t xml:space="preserve">Narrative scenario suite complete: bull, base, bear PLUS at least one discontinuous scenario (technology displacement, regulatory restructuring, competitive platform entry, or macro dislocation)</w:t>
      </w:r>
    </w:p>
    <w:p>
      <w:pPr>
        <w:pStyle w:val="ListParagraph"/>
        <w:numPr>
          <w:ilvl w:val="0"/>
          <w:numId w:val="2"/>
        </w:numPr>
        <w:spacing w:after="40" w:before="40"/>
      </w:pPr>
      <w:r>
        <w:rPr>
          <w:rFonts w:ascii="Arial" w:cs="Arial" w:eastAsia="Arial" w:hAnsi="Arial"/>
          <w:color w:val="4A4A4A"/>
          <w:sz w:val="22"/>
          <w:szCs w:val="22"/>
        </w:rPr>
        <w:t xml:space="preserve">Each narrative scenario has: a named future, a one-paragraph structural narrative, a separate DCF with structurally different assumptions, and an explicit probability weight</w:t>
      </w:r>
    </w:p>
    <w:p>
      <w:pPr>
        <w:pStyle w:val="ListParagraph"/>
        <w:numPr>
          <w:ilvl w:val="0"/>
          <w:numId w:val="2"/>
        </w:numPr>
        <w:spacing w:after="40" w:before="40"/>
      </w:pPr>
      <w:r>
        <w:rPr>
          <w:rFonts w:ascii="Arial" w:cs="Arial" w:eastAsia="Arial" w:hAnsi="Arial"/>
          <w:color w:val="4A4A4A"/>
          <w:sz w:val="22"/>
          <w:szCs w:val="22"/>
        </w:rPr>
        <w:t xml:space="preserve">Discontinuous scenario equity value calculated: if any narrative scenario produces near-zero or negative equity, probability assigned and position sizing adjusted proportionally</w:t>
      </w:r>
    </w:p>
    <w:p>
      <w:pPr>
        <w:pStyle w:val="ListParagraph"/>
        <w:numPr>
          <w:ilvl w:val="0"/>
          <w:numId w:val="2"/>
        </w:numPr>
        <w:spacing w:after="40" w:before="40"/>
      </w:pPr>
      <w:r>
        <w:rPr>
          <w:rFonts w:ascii="Arial" w:cs="Arial" w:eastAsia="Arial" w:hAnsi="Arial"/>
          <w:color w:val="4A4A4A"/>
          <w:sz w:val="22"/>
          <w:szCs w:val="22"/>
        </w:rPr>
        <w:t xml:space="preserve">Regulatory risk register complete: all active proceedings identified, each assigned probability (%), impact (% EBITDA), and timeline (months to resolution)</w:t>
      </w:r>
    </w:p>
    <w:p>
      <w:pPr>
        <w:pStyle w:val="ListParagraph"/>
        <w:numPr>
          <w:ilvl w:val="0"/>
          <w:numId w:val="2"/>
        </w:numPr>
        <w:spacing w:after="40" w:before="40"/>
      </w:pPr>
      <w:r>
        <w:rPr>
          <w:rFonts w:ascii="Arial" w:cs="Arial" w:eastAsia="Arial" w:hAnsi="Arial"/>
          <w:color w:val="4A4A4A"/>
          <w:sz w:val="22"/>
          <w:szCs w:val="22"/>
        </w:rPr>
        <w:t xml:space="preserve">Probability-weighted regulatory cost calculated: if &gt; 10% of EBITDA, WACC +50bps applied. If &gt; 25%, Moat Pillar capped at 3</w:t>
      </w:r>
    </w:p>
    <w:p>
      <w:pPr>
        <w:pStyle w:val="ListParagraph"/>
        <w:numPr>
          <w:ilvl w:val="0"/>
          <w:numId w:val="2"/>
        </w:numPr>
        <w:spacing w:after="40" w:before="40"/>
      </w:pPr>
      <w:r>
        <w:rPr>
          <w:rFonts w:ascii="Arial" w:cs="Arial" w:eastAsia="Arial" w:hAnsi="Arial"/>
          <w:color w:val="4A4A4A"/>
          <w:sz w:val="22"/>
          <w:szCs w:val="22"/>
        </w:rPr>
        <w:t xml:space="preserve">Sector-specific regulatory bear case modelled: antitrust breakup for platforms, pricing regulation for pharma, capital adequacy for financials, carbon pricing for energy</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Reflexivity and Override Checklist</w:t>
      </w:r>
    </w:p>
    <w:p>
      <w:pPr>
        <w:pStyle w:val="ListParagraph"/>
        <w:numPr>
          <w:ilvl w:val="0"/>
          <w:numId w:val="2"/>
        </w:numPr>
        <w:spacing w:after="40" w:before="40"/>
      </w:pPr>
      <w:r>
        <w:rPr>
          <w:rFonts w:ascii="Arial" w:cs="Arial" w:eastAsia="Arial" w:hAnsi="Arial"/>
          <w:color w:val="4A4A4A"/>
          <w:sz w:val="22"/>
          <w:szCs w:val="22"/>
        </w:rPr>
        <w:t xml:space="preserve">Reflexivity conditions checked: (1) financial company — confidence-driven, (2) highly acquisitive — equity as currency, (3) high-SBC — talent retention through equity, (4) network business pre-tipping-point. If any condition present, bear case widened by reflexivity mechanism and position size capped at 75% of conviction-based size</w:t>
      </w:r>
    </w:p>
    <w:p>
      <w:pPr>
        <w:pStyle w:val="ListParagraph"/>
        <w:numPr>
          <w:ilvl w:val="0"/>
          <w:numId w:val="2"/>
        </w:numPr>
        <w:spacing w:after="40" w:before="40"/>
      </w:pPr>
      <w:r>
        <w:rPr>
          <w:rFonts w:ascii="Arial" w:cs="Arial" w:eastAsia="Arial" w:hAnsi="Arial"/>
          <w:color w:val="4A4A4A"/>
          <w:sz w:val="22"/>
          <w:szCs w:val="22"/>
        </w:rPr>
        <w:t xml:space="preserve">If reflexivity flag active: 25% decline monitoring trigger set — reflexivity scenario analysis runs immediately on breach, not at quarterly review</w:t>
      </w:r>
    </w:p>
    <w:p>
      <w:pPr>
        <w:pStyle w:val="ListParagraph"/>
        <w:numPr>
          <w:ilvl w:val="0"/>
          <w:numId w:val="2"/>
        </w:numPr>
        <w:spacing w:after="40" w:before="40"/>
      </w:pPr>
      <w:r>
        <w:rPr>
          <w:rFonts w:ascii="Arial" w:cs="Arial" w:eastAsia="Arial" w:hAnsi="Arial"/>
          <w:color w:val="4A4A4A"/>
          <w:sz w:val="22"/>
          <w:szCs w:val="22"/>
        </w:rPr>
        <w:t xml:space="preserve">If any system flag overridden: override documented with (a) flag name and section, (b) specific reason with evidence, (c) verifiable 12-month prediction, (d) log entry in thesis memory</w:t>
      </w:r>
    </w:p>
    <w:p>
      <w:pPr>
        <w:pStyle w:val="ListParagraph"/>
        <w:numPr>
          <w:ilvl w:val="0"/>
          <w:numId w:val="2"/>
        </w:numPr>
        <w:spacing w:after="40" w:before="40"/>
      </w:pPr>
      <w:r>
        <w:rPr>
          <w:rFonts w:ascii="Arial" w:cs="Arial" w:eastAsia="Arial" w:hAnsi="Arial"/>
          <w:color w:val="4A4A4A"/>
          <w:sz w:val="22"/>
          <w:szCs w:val="22"/>
        </w:rPr>
        <w:t xml:space="preserve">Active overrides: position size capped at 75% until prediction confirmed. Override accuracy reviewed at next quarterly audit</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Idea Generation and Quantitative Quality Checklist</w:t>
      </w:r>
    </w:p>
    <w:p>
      <w:pPr>
        <w:pStyle w:val="ListParagraph"/>
        <w:numPr>
          <w:ilvl w:val="0"/>
          <w:numId w:val="2"/>
        </w:numPr>
        <w:spacing w:after="40" w:before="40"/>
      </w:pPr>
      <w:r>
        <w:rPr>
          <w:rFonts w:ascii="Arial" w:cs="Arial" w:eastAsia="Arial" w:hAnsi="Arial"/>
          <w:color w:val="4A4A4A"/>
          <w:sz w:val="22"/>
          <w:szCs w:val="22"/>
        </w:rPr>
        <w:t xml:space="preserve">Investment thesis document complete: one-sentence thesis, 3 key assumptions, confirmation signal, falsification trigger, intrinsic value, 7 Powers moat assessment, lifecycle classification</w:t>
      </w:r>
    </w:p>
    <w:p>
      <w:pPr>
        <w:pStyle w:val="ListParagraph"/>
        <w:numPr>
          <w:ilvl w:val="0"/>
          <w:numId w:val="2"/>
        </w:numPr>
        <w:spacing w:after="40" w:before="40"/>
      </w:pPr>
      <w:r>
        <w:rPr>
          <w:rFonts w:ascii="Arial" w:cs="Arial" w:eastAsia="Arial" w:hAnsi="Arial"/>
          <w:color w:val="4A4A4A"/>
          <w:sz w:val="22"/>
          <w:szCs w:val="22"/>
        </w:rPr>
        <w:t xml:space="preserve">Position entry protocol followed: initial 30–50% of final size, scaling triggers defined, full position only after thesis confirmed by at least one observable data point</w:t>
      </w:r>
    </w:p>
    <w:p>
      <w:pPr>
        <w:pStyle w:val="ListParagraph"/>
        <w:numPr>
          <w:ilvl w:val="0"/>
          <w:numId w:val="2"/>
        </w:numPr>
        <w:spacing w:after="40" w:before="40"/>
      </w:pPr>
      <w:r>
        <w:rPr>
          <w:rFonts w:ascii="Arial" w:cs="Arial" w:eastAsia="Arial" w:hAnsi="Arial"/>
          <w:color w:val="4A4A4A"/>
          <w:sz w:val="22"/>
          <w:szCs w:val="22"/>
        </w:rPr>
        <w:t xml:space="preserve">Sloan Accrual Ratio calculated: flag &gt; +5% for fundamental review</w:t>
      </w:r>
    </w:p>
    <w:p>
      <w:pPr>
        <w:pStyle w:val="ListParagraph"/>
        <w:numPr>
          <w:ilvl w:val="0"/>
          <w:numId w:val="2"/>
        </w:numPr>
        <w:spacing w:after="40" w:before="40"/>
      </w:pPr>
      <w:r>
        <w:rPr>
          <w:rFonts w:ascii="Arial" w:cs="Arial" w:eastAsia="Arial" w:hAnsi="Arial"/>
          <w:color w:val="4A4A4A"/>
          <w:sz w:val="22"/>
          <w:szCs w:val="22"/>
        </w:rPr>
        <w:t xml:space="preserve">Piotroski F-Score calculated: &lt; 5 requires explicit explanation before deployment</w:t>
      </w:r>
    </w:p>
    <w:p>
      <w:pPr>
        <w:pStyle w:val="ListParagraph"/>
        <w:numPr>
          <w:ilvl w:val="0"/>
          <w:numId w:val="2"/>
        </w:numPr>
        <w:spacing w:after="40" w:before="40"/>
      </w:pPr>
      <w:r>
        <w:rPr>
          <w:rFonts w:ascii="Arial" w:cs="Arial" w:eastAsia="Arial" w:hAnsi="Arial"/>
          <w:color w:val="4A4A4A"/>
          <w:sz w:val="22"/>
          <w:szCs w:val="22"/>
        </w:rPr>
        <w:t xml:space="preserve">Earnings Power Value (EPV) calculated: EPV = Normalized EBIT × (1−t) ÷ WACC. EPV/market price ratio documented as measure of growth premium being paid</w:t>
      </w:r>
    </w:p>
    <w:p>
      <w:pPr>
        <w:pStyle w:val="ListParagraph"/>
        <w:numPr>
          <w:ilvl w:val="0"/>
          <w:numId w:val="2"/>
        </w:numPr>
        <w:spacing w:after="40" w:before="40"/>
      </w:pPr>
      <w:r>
        <w:rPr>
          <w:rFonts w:ascii="Arial" w:cs="Arial" w:eastAsia="Arial" w:hAnsi="Arial"/>
          <w:color w:val="4A4A4A"/>
          <w:sz w:val="22"/>
          <w:szCs w:val="22"/>
        </w:rPr>
        <w:t xml:space="preserve">Performance attribution completed on all closed positions: thesis attribution, valuation attribution, timing attribution, process attribution</w:t>
      </w:r>
    </w:p>
    <w:p>
      <w:pPr>
        <w:spacing w:after="80" w:before="0"/>
      </w:pPr>
      <w:r>
        <w:t xml:space="preserve"/>
      </w:r>
    </w:p>
    <w:p>
      <w:pPr>
        <w:spacing w:after="80" w:before="0"/>
      </w:pPr>
      <w:r>
        <w:t xml:space="preserve"/>
      </w:r>
    </w:p>
    <w:p>
      <w:pPr>
        <w:spacing w:after="100" w:before="200"/>
        <w:jc w:val="center"/>
      </w:pPr>
      <w:r>
        <w:rPr>
          <w:rFonts w:ascii="Arial" w:cs="Arial" w:eastAsia="Arial" w:hAnsi="Arial"/>
          <w:b/>
          <w:bCs/>
          <w:i/>
          <w:iCs/>
          <w:color w:val="D4851A"/>
          <w:sz w:val="22"/>
          <w:szCs w:val="22"/>
        </w:rPr>
        <w:t xml:space="preserve">★ Think like a builder. Invest like a pro. Let AI enforce the discipline.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pPr>
    <w:r>
      <w:rPr>
        <w:rFonts w:ascii="Arial" w:cs="Arial" w:eastAsia="Arial" w:hAnsi="Arial"/>
        <w:color w:val="2E6DA4"/>
        <w:sz w:val="16"/>
        <w:szCs w:val="16"/>
      </w:rPr>
      <w:t xml:space="preserve">© Framework — Think Like a Builder, Invest Like a Pro</w:t>
    </w:r>
    <w:r>
      <w:rPr>
        <w:rFonts w:ascii="Arial" w:cs="Arial" w:eastAsia="Arial" w:hAnsi="Arial"/>
        <w:color w:val="2E6DA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color w:val="2E6DA4"/>
        <w:sz w:val="18"/>
        <w:szCs w:val="18"/>
      </w:rPr>
      <w:t xml:space="preserve">Integrated Investment Decision Framework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2E6DA4"/>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color w:val="4A4A4A"/>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2026-04-25T02:13:12.197Z</dcterms:created>
  <dcterms:modified xsi:type="dcterms:W3CDTF">2026-04-25T02:13:12.199Z</dcterms:modified>
</cp:coreProperties>
</file>

<file path=docProps/custom.xml><?xml version="1.0" encoding="utf-8"?>
<Properties xmlns="http://schemas.openxmlformats.org/officeDocument/2006/custom-properties" xmlns:vt="http://schemas.openxmlformats.org/officeDocument/2006/docPropsVTypes"/>
</file>