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F08D" w14:textId="77777777" w:rsidR="00E47C7E" w:rsidRPr="00CF0766" w:rsidRDefault="00D54D69">
      <w:pPr>
        <w:spacing w:after="240"/>
        <w:rPr>
          <w:rFonts w:ascii="Arial" w:hAnsi="Arial" w:cs="Arial"/>
          <w:sz w:val="18"/>
          <w:szCs w:val="18"/>
        </w:rPr>
      </w:pPr>
      <w:r w:rsidRPr="00CF0766">
        <w:rPr>
          <w:rFonts w:ascii="Arial" w:hAnsi="Arial" w:cs="Arial"/>
          <w:b/>
          <w:color w:val="17365D"/>
          <w:sz w:val="18"/>
          <w:szCs w:val="18"/>
        </w:rPr>
        <w:t>Data Lifecycle Maps</w:t>
      </w:r>
    </w:p>
    <w:p w14:paraId="7B47F08E" w14:textId="77777777" w:rsidR="00E47C7E" w:rsidRPr="00CC4367" w:rsidRDefault="00D54D69">
      <w:pPr>
        <w:spacing w:after="140"/>
        <w:rPr>
          <w:rFonts w:ascii="Arial" w:hAnsi="Arial" w:cs="Arial"/>
          <w:sz w:val="18"/>
          <w:szCs w:val="18"/>
        </w:rPr>
      </w:pPr>
      <w:r w:rsidRPr="00CC4367">
        <w:rPr>
          <w:rFonts w:ascii="Arial" w:hAnsi="Arial" w:cs="Arial"/>
          <w:sz w:val="18"/>
          <w:szCs w:val="18"/>
        </w:rPr>
        <w:t>Lifecycle stages, controls, retention periods, and key decisions for clinical, billing, and marketing consent data.</w:t>
      </w:r>
    </w:p>
    <w:p w14:paraId="7B47F08F" w14:textId="77777777" w:rsidR="00E47C7E" w:rsidRPr="00CC4367" w:rsidRDefault="00D54D69">
      <w:pPr>
        <w:pStyle w:val="Heading1"/>
        <w:keepNext/>
        <w:rPr>
          <w:rFonts w:ascii="Arial" w:hAnsi="Arial" w:cs="Arial" w:hint="default"/>
          <w:sz w:val="18"/>
          <w:szCs w:val="18"/>
        </w:rPr>
      </w:pPr>
      <w:proofErr w:type="gramStart"/>
      <w:r w:rsidRPr="00CC4367">
        <w:rPr>
          <w:rFonts w:ascii="Arial" w:hAnsi="Arial" w:cs="Arial" w:hint="default"/>
          <w:sz w:val="18"/>
          <w:szCs w:val="18"/>
        </w:rPr>
        <w:t>CLINICAL  Patient</w:t>
      </w:r>
      <w:proofErr w:type="gramEnd"/>
      <w:r w:rsidRPr="00CC4367">
        <w:rPr>
          <w:rFonts w:ascii="Arial" w:hAnsi="Arial" w:cs="Arial" w:hint="default"/>
          <w:sz w:val="18"/>
          <w:szCs w:val="18"/>
        </w:rPr>
        <w:t xml:space="preserve"> Records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2528"/>
      </w:tblGrid>
      <w:tr w:rsidR="00E47C7E" w:rsidRPr="00CC4367" w14:paraId="7B47F092" w14:textId="77777777">
        <w:trPr>
          <w:tblHeader/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7B47F090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2528" w:type="dxa"/>
            <w:shd w:val="clear" w:color="auto" w:fill="17365D"/>
            <w:vAlign w:val="center"/>
          </w:tcPr>
          <w:p w14:paraId="7B47F091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Details</w:t>
            </w:r>
          </w:p>
        </w:tc>
      </w:tr>
      <w:tr w:rsidR="00E47C7E" w:rsidRPr="00CC4367" w14:paraId="7B47F095" w14:textId="77777777">
        <w:trPr>
          <w:jc w:val="center"/>
        </w:trPr>
        <w:tc>
          <w:tcPr>
            <w:tcW w:w="2880" w:type="dxa"/>
            <w:vAlign w:val="center"/>
          </w:tcPr>
          <w:p w14:paraId="7B47F093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Owner</w:t>
            </w:r>
          </w:p>
        </w:tc>
        <w:tc>
          <w:tcPr>
            <w:tcW w:w="12528" w:type="dxa"/>
            <w:vAlign w:val="center"/>
          </w:tcPr>
          <w:p w14:paraId="7B47F094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Head of Clinical Services</w:t>
            </w:r>
          </w:p>
        </w:tc>
      </w:tr>
      <w:tr w:rsidR="00E47C7E" w:rsidRPr="00CC4367" w14:paraId="7B47F098" w14:textId="77777777">
        <w:trPr>
          <w:jc w:val="center"/>
        </w:trPr>
        <w:tc>
          <w:tcPr>
            <w:tcW w:w="2880" w:type="dxa"/>
            <w:shd w:val="clear" w:color="auto" w:fill="EAF0F6"/>
            <w:vAlign w:val="center"/>
          </w:tcPr>
          <w:p w14:paraId="7B47F096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Retention period</w:t>
            </w:r>
          </w:p>
        </w:tc>
        <w:tc>
          <w:tcPr>
            <w:tcW w:w="12528" w:type="dxa"/>
            <w:shd w:val="clear" w:color="auto" w:fill="EAF0F6"/>
            <w:vAlign w:val="center"/>
          </w:tcPr>
          <w:p w14:paraId="7B47F097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10 years</w:t>
            </w:r>
          </w:p>
        </w:tc>
      </w:tr>
      <w:tr w:rsidR="00E47C7E" w:rsidRPr="00CC4367" w14:paraId="7B47F09B" w14:textId="77777777">
        <w:trPr>
          <w:jc w:val="center"/>
        </w:trPr>
        <w:tc>
          <w:tcPr>
            <w:tcW w:w="2880" w:type="dxa"/>
            <w:vAlign w:val="center"/>
          </w:tcPr>
          <w:p w14:paraId="7B47F099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Archive after</w:t>
            </w:r>
          </w:p>
        </w:tc>
        <w:tc>
          <w:tcPr>
            <w:tcW w:w="12528" w:type="dxa"/>
            <w:vAlign w:val="center"/>
          </w:tcPr>
          <w:p w14:paraId="7B47F09A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7 years</w:t>
            </w:r>
          </w:p>
        </w:tc>
      </w:tr>
    </w:tbl>
    <w:p w14:paraId="7B47F09C" w14:textId="77777777" w:rsidR="00E47C7E" w:rsidRPr="00CC4367" w:rsidRDefault="00E47C7E">
      <w:pPr>
        <w:spacing w:after="20"/>
        <w:rPr>
          <w:rFonts w:ascii="Arial" w:hAnsi="Arial" w:cs="Arial"/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408"/>
        <w:gridCol w:w="6912"/>
      </w:tblGrid>
      <w:tr w:rsidR="00E47C7E" w:rsidRPr="00CC4367" w14:paraId="7B47F0A0" w14:textId="77777777">
        <w:trPr>
          <w:tblHeader/>
          <w:jc w:val="center"/>
        </w:trPr>
        <w:tc>
          <w:tcPr>
            <w:tcW w:w="2088" w:type="dxa"/>
            <w:shd w:val="clear" w:color="auto" w:fill="17365D"/>
            <w:vAlign w:val="center"/>
          </w:tcPr>
          <w:p w14:paraId="7B47F09D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Lifecycle stage</w:t>
            </w:r>
          </w:p>
        </w:tc>
        <w:tc>
          <w:tcPr>
            <w:tcW w:w="6408" w:type="dxa"/>
            <w:shd w:val="clear" w:color="auto" w:fill="17365D"/>
            <w:vAlign w:val="center"/>
          </w:tcPr>
          <w:p w14:paraId="7B47F09E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6912" w:type="dxa"/>
            <w:shd w:val="clear" w:color="auto" w:fill="17365D"/>
            <w:vAlign w:val="center"/>
          </w:tcPr>
          <w:p w14:paraId="7B47F09F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Key decision</w:t>
            </w:r>
          </w:p>
        </w:tc>
      </w:tr>
      <w:tr w:rsidR="00E47C7E" w:rsidRPr="00CC4367" w14:paraId="7B47F0A4" w14:textId="77777777">
        <w:trPr>
          <w:jc w:val="center"/>
        </w:trPr>
        <w:tc>
          <w:tcPr>
            <w:tcW w:w="2088" w:type="dxa"/>
            <w:vAlign w:val="center"/>
          </w:tcPr>
          <w:p w14:paraId="7B47F0A1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Create</w:t>
            </w:r>
          </w:p>
        </w:tc>
        <w:tc>
          <w:tcPr>
            <w:tcW w:w="6408" w:type="dxa"/>
            <w:vAlign w:val="center"/>
          </w:tcPr>
          <w:p w14:paraId="7B47F0A2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Register patients and create records during consultations, diagnosis, and treatment.</w:t>
            </w:r>
          </w:p>
        </w:tc>
        <w:tc>
          <w:tcPr>
            <w:tcW w:w="6912" w:type="dxa"/>
            <w:vAlign w:val="center"/>
          </w:tcPr>
          <w:p w14:paraId="7B47F0A3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Collect accurate, necessary patient information and assign a unique patient identifier.</w:t>
            </w:r>
          </w:p>
        </w:tc>
      </w:tr>
      <w:tr w:rsidR="00E47C7E" w:rsidRPr="00CC4367" w14:paraId="7B47F0A8" w14:textId="77777777">
        <w:trPr>
          <w:jc w:val="center"/>
        </w:trPr>
        <w:tc>
          <w:tcPr>
            <w:tcW w:w="2088" w:type="dxa"/>
            <w:shd w:val="clear" w:color="auto" w:fill="EAF0F6"/>
            <w:vAlign w:val="center"/>
          </w:tcPr>
          <w:p w14:paraId="7B47F0A5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Store</w:t>
            </w:r>
          </w:p>
        </w:tc>
        <w:tc>
          <w:tcPr>
            <w:tcW w:w="6408" w:type="dxa"/>
            <w:shd w:val="clear" w:color="auto" w:fill="EAF0F6"/>
            <w:vAlign w:val="center"/>
          </w:tcPr>
          <w:p w14:paraId="7B47F0A6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Store records in the hospital information system with encryption, backups, and access controls.</w:t>
            </w:r>
          </w:p>
        </w:tc>
        <w:tc>
          <w:tcPr>
            <w:tcW w:w="6912" w:type="dxa"/>
            <w:shd w:val="clear" w:color="auto" w:fill="EAF0F6"/>
            <w:vAlign w:val="center"/>
          </w:tcPr>
          <w:p w14:paraId="7B47F0A7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Only authorized healthcare personnel may access identifiable patient records.</w:t>
            </w:r>
          </w:p>
        </w:tc>
      </w:tr>
      <w:tr w:rsidR="00E47C7E" w:rsidRPr="00CC4367" w14:paraId="7B47F0AC" w14:textId="77777777">
        <w:trPr>
          <w:jc w:val="center"/>
        </w:trPr>
        <w:tc>
          <w:tcPr>
            <w:tcW w:w="2088" w:type="dxa"/>
            <w:vAlign w:val="center"/>
          </w:tcPr>
          <w:p w14:paraId="7B47F0A9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Use</w:t>
            </w:r>
          </w:p>
        </w:tc>
        <w:tc>
          <w:tcPr>
            <w:tcW w:w="6408" w:type="dxa"/>
            <w:vAlign w:val="center"/>
          </w:tcPr>
          <w:p w14:paraId="7B47F0AA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Use records for diagnosis, treatment, follow-up care, and other authorized healthcare purposes.</w:t>
            </w:r>
          </w:p>
        </w:tc>
        <w:tc>
          <w:tcPr>
            <w:tcW w:w="6912" w:type="dxa"/>
            <w:vAlign w:val="center"/>
          </w:tcPr>
          <w:p w14:paraId="7B47F0AB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Ensure each use is authorized and limited to a legitimate purpose.</w:t>
            </w:r>
          </w:p>
        </w:tc>
      </w:tr>
      <w:tr w:rsidR="00E47C7E" w:rsidRPr="00CC4367" w14:paraId="7B47F0B0" w14:textId="77777777">
        <w:trPr>
          <w:jc w:val="center"/>
        </w:trPr>
        <w:tc>
          <w:tcPr>
            <w:tcW w:w="2088" w:type="dxa"/>
            <w:shd w:val="clear" w:color="auto" w:fill="EAF0F6"/>
            <w:vAlign w:val="center"/>
          </w:tcPr>
          <w:p w14:paraId="7B47F0AD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Archive</w:t>
            </w:r>
          </w:p>
        </w:tc>
        <w:tc>
          <w:tcPr>
            <w:tcW w:w="6408" w:type="dxa"/>
            <w:shd w:val="clear" w:color="auto" w:fill="EAF0F6"/>
            <w:vAlign w:val="center"/>
          </w:tcPr>
          <w:p w14:paraId="7B47F0AE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Move eligible records to secure archival storage while preserving their integrity and retrievability.</w:t>
            </w:r>
          </w:p>
        </w:tc>
        <w:tc>
          <w:tcPr>
            <w:tcW w:w="6912" w:type="dxa"/>
            <w:shd w:val="clear" w:color="auto" w:fill="EAF0F6"/>
            <w:vAlign w:val="center"/>
          </w:tcPr>
          <w:p w14:paraId="7B47F0AF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Restrict routine access and maintain records needed for ongoing care or legal obligations.</w:t>
            </w:r>
          </w:p>
        </w:tc>
      </w:tr>
      <w:tr w:rsidR="00E47C7E" w:rsidRPr="00CC4367" w14:paraId="7B47F0B4" w14:textId="77777777">
        <w:trPr>
          <w:jc w:val="center"/>
        </w:trPr>
        <w:tc>
          <w:tcPr>
            <w:tcW w:w="2088" w:type="dxa"/>
            <w:vAlign w:val="center"/>
          </w:tcPr>
          <w:p w14:paraId="7B47F0B1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Delete</w:t>
            </w:r>
          </w:p>
        </w:tc>
        <w:tc>
          <w:tcPr>
            <w:tcW w:w="6408" w:type="dxa"/>
            <w:vAlign w:val="center"/>
          </w:tcPr>
          <w:p w14:paraId="7B47F0B2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Securely delete eligible records from active systems and archives when retention is no longer required.</w:t>
            </w:r>
          </w:p>
        </w:tc>
        <w:tc>
          <w:tcPr>
            <w:tcW w:w="6912" w:type="dxa"/>
            <w:vAlign w:val="center"/>
          </w:tcPr>
          <w:p w14:paraId="7B47F0B3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Verify expiry, legal holds, applicable retention requirements, and backup deletion procedures before disposal.</w:t>
            </w:r>
          </w:p>
        </w:tc>
      </w:tr>
    </w:tbl>
    <w:p w14:paraId="7B47F0B5" w14:textId="77777777" w:rsidR="00E47C7E" w:rsidRPr="00CC4367" w:rsidRDefault="00D54D69">
      <w:pPr>
        <w:rPr>
          <w:rFonts w:ascii="Arial" w:hAnsi="Arial" w:cs="Arial"/>
          <w:sz w:val="18"/>
          <w:szCs w:val="18"/>
        </w:rPr>
      </w:pPr>
      <w:r w:rsidRPr="00CC4367">
        <w:rPr>
          <w:rFonts w:ascii="Arial" w:hAnsi="Arial" w:cs="Arial"/>
          <w:sz w:val="18"/>
          <w:szCs w:val="18"/>
        </w:rPr>
        <w:br w:type="page"/>
      </w:r>
    </w:p>
    <w:p w14:paraId="7B47F0B6" w14:textId="77777777" w:rsidR="00E47C7E" w:rsidRPr="00CC4367" w:rsidRDefault="00D54D69">
      <w:pPr>
        <w:pStyle w:val="Heading1"/>
        <w:keepNext/>
        <w:rPr>
          <w:rFonts w:ascii="Arial" w:hAnsi="Arial" w:cs="Arial" w:hint="default"/>
          <w:sz w:val="18"/>
          <w:szCs w:val="18"/>
        </w:rPr>
      </w:pPr>
      <w:proofErr w:type="gramStart"/>
      <w:r w:rsidRPr="00CC4367">
        <w:rPr>
          <w:rFonts w:ascii="Arial" w:hAnsi="Arial" w:cs="Arial" w:hint="default"/>
          <w:sz w:val="18"/>
          <w:szCs w:val="18"/>
        </w:rPr>
        <w:lastRenderedPageBreak/>
        <w:t>BILLING  Financial</w:t>
      </w:r>
      <w:proofErr w:type="gramEnd"/>
      <w:r w:rsidRPr="00CC4367">
        <w:rPr>
          <w:rFonts w:ascii="Arial" w:hAnsi="Arial" w:cs="Arial" w:hint="default"/>
          <w:sz w:val="18"/>
          <w:szCs w:val="18"/>
        </w:rPr>
        <w:t xml:space="preserve"> Records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2528"/>
      </w:tblGrid>
      <w:tr w:rsidR="00E47C7E" w:rsidRPr="00CC4367" w14:paraId="7B47F0B9" w14:textId="77777777">
        <w:trPr>
          <w:tblHeader/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7B47F0B7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2528" w:type="dxa"/>
            <w:shd w:val="clear" w:color="auto" w:fill="17365D"/>
            <w:vAlign w:val="center"/>
          </w:tcPr>
          <w:p w14:paraId="7B47F0B8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Details</w:t>
            </w:r>
          </w:p>
        </w:tc>
      </w:tr>
      <w:tr w:rsidR="00E47C7E" w:rsidRPr="00CC4367" w14:paraId="7B47F0BC" w14:textId="77777777">
        <w:trPr>
          <w:jc w:val="center"/>
        </w:trPr>
        <w:tc>
          <w:tcPr>
            <w:tcW w:w="2880" w:type="dxa"/>
            <w:vAlign w:val="center"/>
          </w:tcPr>
          <w:p w14:paraId="7B47F0BA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Owner</w:t>
            </w:r>
          </w:p>
        </w:tc>
        <w:tc>
          <w:tcPr>
            <w:tcW w:w="12528" w:type="dxa"/>
            <w:vAlign w:val="center"/>
          </w:tcPr>
          <w:p w14:paraId="7B47F0BB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Finance Manager</w:t>
            </w:r>
          </w:p>
        </w:tc>
      </w:tr>
      <w:tr w:rsidR="00E47C7E" w:rsidRPr="00CC4367" w14:paraId="7B47F0BF" w14:textId="77777777">
        <w:trPr>
          <w:jc w:val="center"/>
        </w:trPr>
        <w:tc>
          <w:tcPr>
            <w:tcW w:w="2880" w:type="dxa"/>
            <w:shd w:val="clear" w:color="auto" w:fill="EAF0F6"/>
            <w:vAlign w:val="center"/>
          </w:tcPr>
          <w:p w14:paraId="7B47F0BD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Retention period</w:t>
            </w:r>
          </w:p>
        </w:tc>
        <w:tc>
          <w:tcPr>
            <w:tcW w:w="12528" w:type="dxa"/>
            <w:shd w:val="clear" w:color="auto" w:fill="EAF0F6"/>
            <w:vAlign w:val="center"/>
          </w:tcPr>
          <w:p w14:paraId="7B47F0BE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7 years</w:t>
            </w:r>
          </w:p>
        </w:tc>
      </w:tr>
      <w:tr w:rsidR="00E47C7E" w:rsidRPr="00CC4367" w14:paraId="7B47F0C2" w14:textId="77777777">
        <w:trPr>
          <w:jc w:val="center"/>
        </w:trPr>
        <w:tc>
          <w:tcPr>
            <w:tcW w:w="2880" w:type="dxa"/>
            <w:vAlign w:val="center"/>
          </w:tcPr>
          <w:p w14:paraId="7B47F0C0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Archive after</w:t>
            </w:r>
          </w:p>
        </w:tc>
        <w:tc>
          <w:tcPr>
            <w:tcW w:w="12528" w:type="dxa"/>
            <w:vAlign w:val="center"/>
          </w:tcPr>
          <w:p w14:paraId="7B47F0C1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5 years</w:t>
            </w:r>
          </w:p>
        </w:tc>
      </w:tr>
      <w:tr w:rsidR="00E47C7E" w:rsidRPr="00CC4367" w14:paraId="7B47F0C5" w14:textId="77777777">
        <w:trPr>
          <w:jc w:val="center"/>
        </w:trPr>
        <w:tc>
          <w:tcPr>
            <w:tcW w:w="2880" w:type="dxa"/>
            <w:shd w:val="clear" w:color="auto" w:fill="EAF0F6"/>
            <w:vAlign w:val="center"/>
          </w:tcPr>
          <w:p w14:paraId="7B47F0C3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Lawful basis</w:t>
            </w:r>
          </w:p>
        </w:tc>
        <w:tc>
          <w:tcPr>
            <w:tcW w:w="12528" w:type="dxa"/>
            <w:shd w:val="clear" w:color="auto" w:fill="EAF0F6"/>
            <w:vAlign w:val="center"/>
          </w:tcPr>
          <w:p w14:paraId="7B47F0C4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Legal obligation, where applicable to the relevant processing.</w:t>
            </w:r>
          </w:p>
        </w:tc>
      </w:tr>
    </w:tbl>
    <w:p w14:paraId="7B47F0C6" w14:textId="77777777" w:rsidR="00E47C7E" w:rsidRPr="00CC4367" w:rsidRDefault="00E47C7E">
      <w:pPr>
        <w:spacing w:after="20"/>
        <w:rPr>
          <w:rFonts w:ascii="Arial" w:hAnsi="Arial" w:cs="Arial"/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408"/>
        <w:gridCol w:w="6912"/>
      </w:tblGrid>
      <w:tr w:rsidR="00E47C7E" w:rsidRPr="00CC4367" w14:paraId="7B47F0CA" w14:textId="77777777">
        <w:trPr>
          <w:tblHeader/>
          <w:jc w:val="center"/>
        </w:trPr>
        <w:tc>
          <w:tcPr>
            <w:tcW w:w="2088" w:type="dxa"/>
            <w:shd w:val="clear" w:color="auto" w:fill="17365D"/>
            <w:vAlign w:val="center"/>
          </w:tcPr>
          <w:p w14:paraId="7B47F0C7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Lifecycle stage</w:t>
            </w:r>
          </w:p>
        </w:tc>
        <w:tc>
          <w:tcPr>
            <w:tcW w:w="6408" w:type="dxa"/>
            <w:shd w:val="clear" w:color="auto" w:fill="17365D"/>
            <w:vAlign w:val="center"/>
          </w:tcPr>
          <w:p w14:paraId="7B47F0C8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6912" w:type="dxa"/>
            <w:shd w:val="clear" w:color="auto" w:fill="17365D"/>
            <w:vAlign w:val="center"/>
          </w:tcPr>
          <w:p w14:paraId="7B47F0C9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Key decision</w:t>
            </w:r>
          </w:p>
        </w:tc>
      </w:tr>
      <w:tr w:rsidR="00E47C7E" w:rsidRPr="00CC4367" w14:paraId="7B47F0CE" w14:textId="77777777">
        <w:trPr>
          <w:jc w:val="center"/>
        </w:trPr>
        <w:tc>
          <w:tcPr>
            <w:tcW w:w="2088" w:type="dxa"/>
            <w:vAlign w:val="center"/>
          </w:tcPr>
          <w:p w14:paraId="7B47F0CB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Create</w:t>
            </w:r>
          </w:p>
        </w:tc>
        <w:tc>
          <w:tcPr>
            <w:tcW w:w="6408" w:type="dxa"/>
            <w:vAlign w:val="center"/>
          </w:tcPr>
          <w:p w14:paraId="7B47F0CC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Generate invoices, receipts, payment records, and insurance claims.</w:t>
            </w:r>
          </w:p>
        </w:tc>
        <w:tc>
          <w:tcPr>
            <w:tcW w:w="6912" w:type="dxa"/>
            <w:vAlign w:val="center"/>
          </w:tcPr>
          <w:p w14:paraId="7B47F0CD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Capture accurate transaction details, amounts, dates, and reference numbers.</w:t>
            </w:r>
          </w:p>
        </w:tc>
      </w:tr>
      <w:tr w:rsidR="00E47C7E" w:rsidRPr="00CC4367" w14:paraId="7B47F0D2" w14:textId="77777777">
        <w:trPr>
          <w:jc w:val="center"/>
        </w:trPr>
        <w:tc>
          <w:tcPr>
            <w:tcW w:w="2088" w:type="dxa"/>
            <w:shd w:val="clear" w:color="auto" w:fill="EAF0F6"/>
            <w:vAlign w:val="center"/>
          </w:tcPr>
          <w:p w14:paraId="7B47F0CF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Store</w:t>
            </w:r>
          </w:p>
        </w:tc>
        <w:tc>
          <w:tcPr>
            <w:tcW w:w="6408" w:type="dxa"/>
            <w:shd w:val="clear" w:color="auto" w:fill="EAF0F6"/>
            <w:vAlign w:val="center"/>
          </w:tcPr>
          <w:p w14:paraId="7B47F0D0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Store billing records in a secure financial database with access controls and backups.</w:t>
            </w:r>
          </w:p>
        </w:tc>
        <w:tc>
          <w:tcPr>
            <w:tcW w:w="6912" w:type="dxa"/>
            <w:shd w:val="clear" w:color="auto" w:fill="EAF0F6"/>
            <w:vAlign w:val="center"/>
          </w:tcPr>
          <w:p w14:paraId="7B47F0D1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Restrict access to authorized finance personnel and protect sensitive payment information.</w:t>
            </w:r>
          </w:p>
        </w:tc>
      </w:tr>
      <w:tr w:rsidR="00E47C7E" w:rsidRPr="00CC4367" w14:paraId="7B47F0D6" w14:textId="77777777">
        <w:trPr>
          <w:jc w:val="center"/>
        </w:trPr>
        <w:tc>
          <w:tcPr>
            <w:tcW w:w="2088" w:type="dxa"/>
            <w:vAlign w:val="center"/>
          </w:tcPr>
          <w:p w14:paraId="7B47F0D3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Use</w:t>
            </w:r>
          </w:p>
        </w:tc>
        <w:tc>
          <w:tcPr>
            <w:tcW w:w="6408" w:type="dxa"/>
            <w:vAlign w:val="center"/>
          </w:tcPr>
          <w:p w14:paraId="7B47F0D4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Process payments, reconcile accounts, prepare financial reports, and support audits.</w:t>
            </w:r>
          </w:p>
        </w:tc>
        <w:tc>
          <w:tcPr>
            <w:tcW w:w="6912" w:type="dxa"/>
            <w:vAlign w:val="center"/>
          </w:tcPr>
          <w:p w14:paraId="7B47F0D5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Permit only authorized financial and compliance activities.</w:t>
            </w:r>
          </w:p>
        </w:tc>
      </w:tr>
      <w:tr w:rsidR="00E47C7E" w:rsidRPr="00CC4367" w14:paraId="7B47F0DA" w14:textId="77777777">
        <w:trPr>
          <w:jc w:val="center"/>
        </w:trPr>
        <w:tc>
          <w:tcPr>
            <w:tcW w:w="2088" w:type="dxa"/>
            <w:shd w:val="clear" w:color="auto" w:fill="EAF0F6"/>
            <w:vAlign w:val="center"/>
          </w:tcPr>
          <w:p w14:paraId="7B47F0D7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Archive</w:t>
            </w:r>
          </w:p>
        </w:tc>
        <w:tc>
          <w:tcPr>
            <w:tcW w:w="6408" w:type="dxa"/>
            <w:shd w:val="clear" w:color="auto" w:fill="EAF0F6"/>
            <w:vAlign w:val="center"/>
          </w:tcPr>
          <w:p w14:paraId="7B47F0D8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Move eligible records to secure archival storage for historical reference and auditing.</w:t>
            </w:r>
          </w:p>
        </w:tc>
        <w:tc>
          <w:tcPr>
            <w:tcW w:w="6912" w:type="dxa"/>
            <w:shd w:val="clear" w:color="auto" w:fill="EAF0F6"/>
            <w:vAlign w:val="center"/>
          </w:tcPr>
          <w:p w14:paraId="7B47F0D9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Preserve transaction integrity and retrieval capability for the required period.</w:t>
            </w:r>
          </w:p>
        </w:tc>
      </w:tr>
      <w:tr w:rsidR="00E47C7E" w:rsidRPr="00CC4367" w14:paraId="7B47F0DE" w14:textId="77777777">
        <w:trPr>
          <w:jc w:val="center"/>
        </w:trPr>
        <w:tc>
          <w:tcPr>
            <w:tcW w:w="2088" w:type="dxa"/>
            <w:vAlign w:val="center"/>
          </w:tcPr>
          <w:p w14:paraId="7B47F0DB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Delete</w:t>
            </w:r>
          </w:p>
        </w:tc>
        <w:tc>
          <w:tcPr>
            <w:tcW w:w="6408" w:type="dxa"/>
            <w:vAlign w:val="center"/>
          </w:tcPr>
          <w:p w14:paraId="7B47F0DC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Securely dispose of records that have reached the end of their approved retention period.</w:t>
            </w:r>
          </w:p>
        </w:tc>
        <w:tc>
          <w:tcPr>
            <w:tcW w:w="6912" w:type="dxa"/>
            <w:vAlign w:val="center"/>
          </w:tcPr>
          <w:p w14:paraId="7B47F0DD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Confirm there are no outstanding audits, disputes, legal holds, or other retention requirements.</w:t>
            </w:r>
          </w:p>
        </w:tc>
      </w:tr>
    </w:tbl>
    <w:p w14:paraId="7B47F0DF" w14:textId="77777777" w:rsidR="00E47C7E" w:rsidRPr="00CC4367" w:rsidRDefault="00D54D69">
      <w:pPr>
        <w:rPr>
          <w:rFonts w:ascii="Arial" w:hAnsi="Arial" w:cs="Arial"/>
          <w:sz w:val="18"/>
          <w:szCs w:val="18"/>
        </w:rPr>
      </w:pPr>
      <w:r w:rsidRPr="00CC4367">
        <w:rPr>
          <w:rFonts w:ascii="Arial" w:hAnsi="Arial" w:cs="Arial"/>
          <w:sz w:val="18"/>
          <w:szCs w:val="18"/>
        </w:rPr>
        <w:br w:type="page"/>
      </w:r>
    </w:p>
    <w:p w14:paraId="7B47F0E0" w14:textId="77777777" w:rsidR="00E47C7E" w:rsidRPr="00CC4367" w:rsidRDefault="00D54D69">
      <w:pPr>
        <w:pStyle w:val="Heading1"/>
        <w:keepNext/>
        <w:rPr>
          <w:rFonts w:ascii="Arial" w:hAnsi="Arial" w:cs="Arial" w:hint="default"/>
          <w:sz w:val="18"/>
          <w:szCs w:val="18"/>
        </w:rPr>
      </w:pPr>
      <w:r w:rsidRPr="00CC4367">
        <w:rPr>
          <w:rFonts w:ascii="Arial" w:hAnsi="Arial" w:cs="Arial" w:hint="default"/>
          <w:sz w:val="18"/>
          <w:szCs w:val="18"/>
        </w:rPr>
        <w:lastRenderedPageBreak/>
        <w:t xml:space="preserve">MARKETING </w:t>
      </w:r>
      <w:proofErr w:type="gramStart"/>
      <w:r w:rsidRPr="00CC4367">
        <w:rPr>
          <w:rFonts w:ascii="Arial" w:hAnsi="Arial" w:cs="Arial" w:hint="default"/>
          <w:sz w:val="18"/>
          <w:szCs w:val="18"/>
        </w:rPr>
        <w:t>CONSENT  Marketing</w:t>
      </w:r>
      <w:proofErr w:type="gramEnd"/>
      <w:r w:rsidRPr="00CC4367">
        <w:rPr>
          <w:rFonts w:ascii="Arial" w:hAnsi="Arial" w:cs="Arial" w:hint="default"/>
          <w:sz w:val="18"/>
          <w:szCs w:val="18"/>
        </w:rPr>
        <w:t xml:space="preserve"> Permissions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2528"/>
      </w:tblGrid>
      <w:tr w:rsidR="00E47C7E" w:rsidRPr="00CC4367" w14:paraId="7B47F0E3" w14:textId="77777777">
        <w:trPr>
          <w:tblHeader/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7B47F0E1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2528" w:type="dxa"/>
            <w:shd w:val="clear" w:color="auto" w:fill="17365D"/>
            <w:vAlign w:val="center"/>
          </w:tcPr>
          <w:p w14:paraId="7B47F0E2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Details</w:t>
            </w:r>
          </w:p>
        </w:tc>
      </w:tr>
      <w:tr w:rsidR="00E47C7E" w:rsidRPr="00CC4367" w14:paraId="7B47F0E6" w14:textId="77777777">
        <w:trPr>
          <w:jc w:val="center"/>
        </w:trPr>
        <w:tc>
          <w:tcPr>
            <w:tcW w:w="2880" w:type="dxa"/>
            <w:vAlign w:val="center"/>
          </w:tcPr>
          <w:p w14:paraId="7B47F0E4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Owner</w:t>
            </w:r>
          </w:p>
        </w:tc>
        <w:tc>
          <w:tcPr>
            <w:tcW w:w="12528" w:type="dxa"/>
            <w:vAlign w:val="center"/>
          </w:tcPr>
          <w:p w14:paraId="7B47F0E5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Data Steward</w:t>
            </w:r>
          </w:p>
        </w:tc>
      </w:tr>
      <w:tr w:rsidR="00E47C7E" w:rsidRPr="00CC4367" w14:paraId="7B47F0E9" w14:textId="77777777">
        <w:trPr>
          <w:jc w:val="center"/>
        </w:trPr>
        <w:tc>
          <w:tcPr>
            <w:tcW w:w="2880" w:type="dxa"/>
            <w:shd w:val="clear" w:color="auto" w:fill="EAF0F6"/>
            <w:vAlign w:val="center"/>
          </w:tcPr>
          <w:p w14:paraId="7B47F0E7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Retention period</w:t>
            </w:r>
          </w:p>
        </w:tc>
        <w:tc>
          <w:tcPr>
            <w:tcW w:w="12528" w:type="dxa"/>
            <w:shd w:val="clear" w:color="auto" w:fill="EAF0F6"/>
            <w:vAlign w:val="center"/>
          </w:tcPr>
          <w:p w14:paraId="7B47F0E8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2 years</w:t>
            </w:r>
          </w:p>
        </w:tc>
      </w:tr>
      <w:tr w:rsidR="00E47C7E" w:rsidRPr="00CC4367" w14:paraId="7B47F0EC" w14:textId="77777777">
        <w:trPr>
          <w:jc w:val="center"/>
        </w:trPr>
        <w:tc>
          <w:tcPr>
            <w:tcW w:w="2880" w:type="dxa"/>
            <w:vAlign w:val="center"/>
          </w:tcPr>
          <w:p w14:paraId="7B47F0EA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Archive after</w:t>
            </w:r>
          </w:p>
        </w:tc>
        <w:tc>
          <w:tcPr>
            <w:tcW w:w="12528" w:type="dxa"/>
            <w:vAlign w:val="center"/>
          </w:tcPr>
          <w:p w14:paraId="7B47F0EB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1 year</w:t>
            </w:r>
          </w:p>
        </w:tc>
      </w:tr>
      <w:tr w:rsidR="00E47C7E" w:rsidRPr="00CC4367" w14:paraId="7B47F0EF" w14:textId="77777777">
        <w:trPr>
          <w:jc w:val="center"/>
        </w:trPr>
        <w:tc>
          <w:tcPr>
            <w:tcW w:w="2880" w:type="dxa"/>
            <w:shd w:val="clear" w:color="auto" w:fill="EAF0F6"/>
            <w:vAlign w:val="center"/>
          </w:tcPr>
          <w:p w14:paraId="7B47F0ED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Lawful basis</w:t>
            </w:r>
          </w:p>
        </w:tc>
        <w:tc>
          <w:tcPr>
            <w:tcW w:w="12528" w:type="dxa"/>
            <w:shd w:val="clear" w:color="auto" w:fill="EAF0F6"/>
            <w:vAlign w:val="center"/>
          </w:tcPr>
          <w:p w14:paraId="7B47F0EE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Consent, where valid consent is the applicable basis for processing.</w:t>
            </w:r>
          </w:p>
        </w:tc>
      </w:tr>
    </w:tbl>
    <w:p w14:paraId="7B47F0F0" w14:textId="77777777" w:rsidR="00E47C7E" w:rsidRPr="00CC4367" w:rsidRDefault="00E47C7E">
      <w:pPr>
        <w:spacing w:after="20"/>
        <w:rPr>
          <w:rFonts w:ascii="Arial" w:hAnsi="Arial" w:cs="Arial"/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408"/>
        <w:gridCol w:w="6912"/>
      </w:tblGrid>
      <w:tr w:rsidR="00E47C7E" w:rsidRPr="00CC4367" w14:paraId="7B47F0F4" w14:textId="77777777">
        <w:trPr>
          <w:tblHeader/>
          <w:jc w:val="center"/>
        </w:trPr>
        <w:tc>
          <w:tcPr>
            <w:tcW w:w="2088" w:type="dxa"/>
            <w:shd w:val="clear" w:color="auto" w:fill="17365D"/>
            <w:vAlign w:val="center"/>
          </w:tcPr>
          <w:p w14:paraId="7B47F0F1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Lifecycle stage</w:t>
            </w:r>
          </w:p>
        </w:tc>
        <w:tc>
          <w:tcPr>
            <w:tcW w:w="6408" w:type="dxa"/>
            <w:shd w:val="clear" w:color="auto" w:fill="17365D"/>
            <w:vAlign w:val="center"/>
          </w:tcPr>
          <w:p w14:paraId="7B47F0F2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Activity</w:t>
            </w:r>
          </w:p>
        </w:tc>
        <w:tc>
          <w:tcPr>
            <w:tcW w:w="6912" w:type="dxa"/>
            <w:shd w:val="clear" w:color="auto" w:fill="17365D"/>
            <w:vAlign w:val="center"/>
          </w:tcPr>
          <w:p w14:paraId="7B47F0F3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Key decision</w:t>
            </w:r>
          </w:p>
        </w:tc>
      </w:tr>
      <w:tr w:rsidR="00E47C7E" w:rsidRPr="00CC4367" w14:paraId="7B47F0F8" w14:textId="77777777">
        <w:trPr>
          <w:jc w:val="center"/>
        </w:trPr>
        <w:tc>
          <w:tcPr>
            <w:tcW w:w="2088" w:type="dxa"/>
            <w:vAlign w:val="center"/>
          </w:tcPr>
          <w:p w14:paraId="7B47F0F5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Create</w:t>
            </w:r>
          </w:p>
        </w:tc>
        <w:tc>
          <w:tcPr>
            <w:tcW w:w="6408" w:type="dxa"/>
            <w:vAlign w:val="center"/>
          </w:tcPr>
          <w:p w14:paraId="7B47F0F6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Record consent when an individual agrees to receive marketing communications.</w:t>
            </w:r>
          </w:p>
        </w:tc>
        <w:tc>
          <w:tcPr>
            <w:tcW w:w="6912" w:type="dxa"/>
            <w:vAlign w:val="center"/>
          </w:tcPr>
          <w:p w14:paraId="7B47F0F7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Record the consent date, method, scope, and communication preferences.</w:t>
            </w:r>
          </w:p>
        </w:tc>
      </w:tr>
      <w:tr w:rsidR="00E47C7E" w:rsidRPr="00CC4367" w14:paraId="7B47F0FC" w14:textId="77777777">
        <w:trPr>
          <w:jc w:val="center"/>
        </w:trPr>
        <w:tc>
          <w:tcPr>
            <w:tcW w:w="2088" w:type="dxa"/>
            <w:shd w:val="clear" w:color="auto" w:fill="EAF0F6"/>
            <w:vAlign w:val="center"/>
          </w:tcPr>
          <w:p w14:paraId="7B47F0F9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Store</w:t>
            </w:r>
          </w:p>
        </w:tc>
        <w:tc>
          <w:tcPr>
            <w:tcW w:w="6408" w:type="dxa"/>
            <w:shd w:val="clear" w:color="auto" w:fill="EAF0F6"/>
            <w:vAlign w:val="center"/>
          </w:tcPr>
          <w:p w14:paraId="7B47F0FA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Store consent records securely with appropriate access controls.</w:t>
            </w:r>
          </w:p>
        </w:tc>
        <w:tc>
          <w:tcPr>
            <w:tcW w:w="6912" w:type="dxa"/>
            <w:shd w:val="clear" w:color="auto" w:fill="EAF0F6"/>
            <w:vAlign w:val="center"/>
          </w:tcPr>
          <w:p w14:paraId="7B47F0FB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Maintain reliable evidence of consent and any subsequent changes or withdrawals.</w:t>
            </w:r>
          </w:p>
        </w:tc>
      </w:tr>
      <w:tr w:rsidR="00E47C7E" w:rsidRPr="00CC4367" w14:paraId="7B47F100" w14:textId="77777777">
        <w:trPr>
          <w:jc w:val="center"/>
        </w:trPr>
        <w:tc>
          <w:tcPr>
            <w:tcW w:w="2088" w:type="dxa"/>
            <w:vAlign w:val="center"/>
          </w:tcPr>
          <w:p w14:paraId="7B47F0FD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Use</w:t>
            </w:r>
          </w:p>
        </w:tc>
        <w:tc>
          <w:tcPr>
            <w:tcW w:w="6408" w:type="dxa"/>
            <w:vAlign w:val="center"/>
          </w:tcPr>
          <w:p w14:paraId="7B47F0FE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Check consent status before sending marketing emails, SMS messages, or other communications.</w:t>
            </w:r>
          </w:p>
        </w:tc>
        <w:tc>
          <w:tcPr>
            <w:tcW w:w="6912" w:type="dxa"/>
            <w:vAlign w:val="center"/>
          </w:tcPr>
          <w:p w14:paraId="7B47F0FF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Respect the individual's preferences and stop marketing when consent is withdrawn where consent is the applicable basis.</w:t>
            </w:r>
          </w:p>
        </w:tc>
      </w:tr>
      <w:tr w:rsidR="00E47C7E" w:rsidRPr="00CC4367" w14:paraId="7B47F104" w14:textId="77777777">
        <w:trPr>
          <w:jc w:val="center"/>
        </w:trPr>
        <w:tc>
          <w:tcPr>
            <w:tcW w:w="2088" w:type="dxa"/>
            <w:shd w:val="clear" w:color="auto" w:fill="EAF0F6"/>
            <w:vAlign w:val="center"/>
          </w:tcPr>
          <w:p w14:paraId="7B47F101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Archive</w:t>
            </w:r>
          </w:p>
        </w:tc>
        <w:tc>
          <w:tcPr>
            <w:tcW w:w="6408" w:type="dxa"/>
            <w:shd w:val="clear" w:color="auto" w:fill="EAF0F6"/>
            <w:vAlign w:val="center"/>
          </w:tcPr>
          <w:p w14:paraId="7B47F102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Archive inactive consent records when appropriate.</w:t>
            </w:r>
          </w:p>
        </w:tc>
        <w:tc>
          <w:tcPr>
            <w:tcW w:w="6912" w:type="dxa"/>
            <w:shd w:val="clear" w:color="auto" w:fill="EAF0F6"/>
            <w:vAlign w:val="center"/>
          </w:tcPr>
          <w:p w14:paraId="7B47F103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Retain only the evidence needed for accountability and compliance; keep withdrawal or suppression information available where necessary to prevent unwanted marketing.</w:t>
            </w:r>
          </w:p>
        </w:tc>
      </w:tr>
      <w:tr w:rsidR="00E47C7E" w:rsidRPr="00CC4367" w14:paraId="7B47F108" w14:textId="77777777">
        <w:trPr>
          <w:jc w:val="center"/>
        </w:trPr>
        <w:tc>
          <w:tcPr>
            <w:tcW w:w="2088" w:type="dxa"/>
            <w:vAlign w:val="center"/>
          </w:tcPr>
          <w:p w14:paraId="7B47F105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Delete</w:t>
            </w:r>
          </w:p>
        </w:tc>
        <w:tc>
          <w:tcPr>
            <w:tcW w:w="6408" w:type="dxa"/>
            <w:vAlign w:val="center"/>
          </w:tcPr>
          <w:p w14:paraId="7B47F106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Delete records no longer required for marketing, accountability, or legal compliance.</w:t>
            </w:r>
          </w:p>
        </w:tc>
        <w:tc>
          <w:tcPr>
            <w:tcW w:w="6912" w:type="dxa"/>
            <w:vAlign w:val="center"/>
          </w:tcPr>
          <w:p w14:paraId="7B47F107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Check retention requirements before deletion; retain minimal suppression records when necessary to honor opt-outs.</w:t>
            </w:r>
          </w:p>
        </w:tc>
      </w:tr>
    </w:tbl>
    <w:p w14:paraId="7B47F109" w14:textId="77777777" w:rsidR="00E47C7E" w:rsidRPr="00CC4367" w:rsidRDefault="00D54D69">
      <w:pPr>
        <w:pStyle w:val="Heading1"/>
        <w:keepNext/>
        <w:rPr>
          <w:rFonts w:ascii="Arial" w:hAnsi="Arial" w:cs="Arial" w:hint="default"/>
          <w:sz w:val="18"/>
          <w:szCs w:val="18"/>
        </w:rPr>
      </w:pPr>
      <w:r w:rsidRPr="00CC4367">
        <w:rPr>
          <w:rFonts w:ascii="Arial" w:hAnsi="Arial" w:cs="Arial" w:hint="default"/>
          <w:sz w:val="18"/>
          <w:szCs w:val="18"/>
        </w:rPr>
        <w:t>Governance Decisions</w:t>
      </w:r>
    </w:p>
    <w:p w14:paraId="7B47F10A" w14:textId="77777777" w:rsidR="00E47C7E" w:rsidRPr="00CC4367" w:rsidRDefault="00D54D69">
      <w:pPr>
        <w:spacing w:after="140"/>
        <w:rPr>
          <w:rFonts w:ascii="Arial" w:hAnsi="Arial" w:cs="Arial"/>
          <w:sz w:val="18"/>
          <w:szCs w:val="18"/>
        </w:rPr>
      </w:pPr>
      <w:r w:rsidRPr="00CC4367">
        <w:rPr>
          <w:rFonts w:ascii="Arial" w:hAnsi="Arial" w:cs="Arial"/>
          <w:sz w:val="18"/>
          <w:szCs w:val="18"/>
        </w:rPr>
        <w:t>Each lifecycle map gives the governance team five operational decisions: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2528"/>
      </w:tblGrid>
      <w:tr w:rsidR="00E47C7E" w:rsidRPr="00CC4367" w14:paraId="7B47F10D" w14:textId="77777777">
        <w:trPr>
          <w:tblHeader/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7B47F10B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Decision area</w:t>
            </w:r>
          </w:p>
        </w:tc>
        <w:tc>
          <w:tcPr>
            <w:tcW w:w="12528" w:type="dxa"/>
            <w:shd w:val="clear" w:color="auto" w:fill="17365D"/>
            <w:vAlign w:val="center"/>
          </w:tcPr>
          <w:p w14:paraId="7B47F10C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b/>
                <w:color w:val="FFFFFF"/>
                <w:sz w:val="18"/>
                <w:szCs w:val="18"/>
              </w:rPr>
              <w:t>Governance question</w:t>
            </w:r>
          </w:p>
        </w:tc>
      </w:tr>
      <w:tr w:rsidR="00E47C7E" w:rsidRPr="00CC4367" w14:paraId="7B47F110" w14:textId="77777777">
        <w:trPr>
          <w:jc w:val="center"/>
        </w:trPr>
        <w:tc>
          <w:tcPr>
            <w:tcW w:w="2880" w:type="dxa"/>
            <w:vAlign w:val="center"/>
          </w:tcPr>
          <w:p w14:paraId="7B47F10E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Create</w:t>
            </w:r>
          </w:p>
        </w:tc>
        <w:tc>
          <w:tcPr>
            <w:tcW w:w="12528" w:type="dxa"/>
            <w:vAlign w:val="center"/>
          </w:tcPr>
          <w:p w14:paraId="7B47F10F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What information may be collected and how it is recorded.</w:t>
            </w:r>
          </w:p>
        </w:tc>
      </w:tr>
      <w:tr w:rsidR="00E47C7E" w:rsidRPr="00CC4367" w14:paraId="7B47F113" w14:textId="77777777">
        <w:trPr>
          <w:jc w:val="center"/>
        </w:trPr>
        <w:tc>
          <w:tcPr>
            <w:tcW w:w="2880" w:type="dxa"/>
            <w:shd w:val="clear" w:color="auto" w:fill="EAF0F6"/>
            <w:vAlign w:val="center"/>
          </w:tcPr>
          <w:p w14:paraId="7B47F111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Store</w:t>
            </w:r>
          </w:p>
        </w:tc>
        <w:tc>
          <w:tcPr>
            <w:tcW w:w="12528" w:type="dxa"/>
            <w:shd w:val="clear" w:color="auto" w:fill="EAF0F6"/>
            <w:vAlign w:val="center"/>
          </w:tcPr>
          <w:p w14:paraId="7B47F112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Where data is kept and how it is protected.</w:t>
            </w:r>
          </w:p>
        </w:tc>
      </w:tr>
      <w:tr w:rsidR="00E47C7E" w:rsidRPr="00CC4367" w14:paraId="7B47F116" w14:textId="77777777">
        <w:trPr>
          <w:jc w:val="center"/>
        </w:trPr>
        <w:tc>
          <w:tcPr>
            <w:tcW w:w="2880" w:type="dxa"/>
            <w:vAlign w:val="center"/>
          </w:tcPr>
          <w:p w14:paraId="7B47F114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Use</w:t>
            </w:r>
          </w:p>
        </w:tc>
        <w:tc>
          <w:tcPr>
            <w:tcW w:w="12528" w:type="dxa"/>
            <w:vAlign w:val="center"/>
          </w:tcPr>
          <w:p w14:paraId="7B47F115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Who can access it and for what purposes.</w:t>
            </w:r>
          </w:p>
        </w:tc>
      </w:tr>
      <w:tr w:rsidR="00E47C7E" w:rsidRPr="00CC4367" w14:paraId="7B47F119" w14:textId="77777777">
        <w:trPr>
          <w:jc w:val="center"/>
        </w:trPr>
        <w:tc>
          <w:tcPr>
            <w:tcW w:w="2880" w:type="dxa"/>
            <w:shd w:val="clear" w:color="auto" w:fill="EAF0F6"/>
            <w:vAlign w:val="center"/>
          </w:tcPr>
          <w:p w14:paraId="7B47F117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Archive</w:t>
            </w:r>
          </w:p>
        </w:tc>
        <w:tc>
          <w:tcPr>
            <w:tcW w:w="12528" w:type="dxa"/>
            <w:shd w:val="clear" w:color="auto" w:fill="EAF0F6"/>
            <w:vAlign w:val="center"/>
          </w:tcPr>
          <w:p w14:paraId="7B47F118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When data moves out of active use and how it remains accessible when necessary.</w:t>
            </w:r>
          </w:p>
        </w:tc>
      </w:tr>
      <w:tr w:rsidR="00E47C7E" w:rsidRPr="00CC4367" w14:paraId="7B47F11C" w14:textId="77777777">
        <w:trPr>
          <w:jc w:val="center"/>
        </w:trPr>
        <w:tc>
          <w:tcPr>
            <w:tcW w:w="2880" w:type="dxa"/>
            <w:vAlign w:val="center"/>
          </w:tcPr>
          <w:p w14:paraId="7B47F11A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Delete</w:t>
            </w:r>
          </w:p>
        </w:tc>
        <w:tc>
          <w:tcPr>
            <w:tcW w:w="12528" w:type="dxa"/>
            <w:vAlign w:val="center"/>
          </w:tcPr>
          <w:p w14:paraId="7B47F11B" w14:textId="77777777" w:rsidR="00E47C7E" w:rsidRPr="00CC4367" w:rsidRDefault="00D54D69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CC4367">
              <w:rPr>
                <w:rFonts w:ascii="Arial" w:hAnsi="Arial" w:cs="Arial"/>
                <w:sz w:val="18"/>
                <w:szCs w:val="18"/>
              </w:rPr>
              <w:t>When and how data is securely disposed of.</w:t>
            </w:r>
          </w:p>
        </w:tc>
      </w:tr>
    </w:tbl>
    <w:p w14:paraId="7B47F11D" w14:textId="77777777" w:rsidR="00E47C7E" w:rsidRPr="00CC4367" w:rsidRDefault="00D54D69">
      <w:pPr>
        <w:spacing w:after="140"/>
        <w:rPr>
          <w:rFonts w:ascii="Arial" w:hAnsi="Arial" w:cs="Arial"/>
          <w:sz w:val="18"/>
          <w:szCs w:val="18"/>
        </w:rPr>
      </w:pPr>
      <w:r w:rsidRPr="00CC4367">
        <w:rPr>
          <w:rFonts w:ascii="Arial" w:hAnsi="Arial" w:cs="Arial"/>
          <w:i/>
          <w:sz w:val="18"/>
          <w:szCs w:val="18"/>
        </w:rPr>
        <w:t>These are draft lifecycle policies based on the proposed retention periods. Confirm the periods against applicable law and organizational requirements before approving them for implementation.</w:t>
      </w:r>
    </w:p>
    <w:sectPr w:rsidR="00E47C7E" w:rsidRPr="00CC4367">
      <w:pgSz w:w="16838" w:h="11906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C403AB"/>
    <w:rsid w:val="005430F8"/>
    <w:rsid w:val="00CC4367"/>
    <w:rsid w:val="00CF0766"/>
    <w:rsid w:val="00D54D69"/>
    <w:rsid w:val="00E47C7E"/>
    <w:rsid w:val="66C4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7F08D"/>
  <w15:docId w15:val="{E80FBDFB-AB77-4AB3-98A8-9E63A9CEF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19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GRANNY</dc:creator>
  <cp:lastModifiedBy>Cathyson kayson</cp:lastModifiedBy>
  <cp:revision>3</cp:revision>
  <dcterms:created xsi:type="dcterms:W3CDTF">2026-10-09T13:17:00Z</dcterms:created>
  <dcterms:modified xsi:type="dcterms:W3CDTF">2026-10-11T15:22:00Z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5DDBD6BF91BB4117968EEA7F001139A6_11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