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BỘ VĂN HÓA, THỂ THAO VÀ DU LỊCH</w:t>
      </w:r>
    </w:p>
    <w:p>
      <w:pPr>
        <w:jc w:val="center"/>
      </w:pPr>
      <w:r>
        <w:rPr>
          <w:b/>
          <w:sz w:val="28"/>
        </w:rPr>
        <w:t>TRƯỜNG ĐẠI HỌC VĂN HÓA HÀ NỘI</w:t>
      </w:r>
    </w:p>
    <w:p>
      <w:pPr>
        <w:jc w:val="center"/>
      </w:pPr>
      <w:r>
        <w:rPr>
          <w:b/>
          <w:sz w:val="26"/>
        </w:rPr>
        <w:t>KHOA DU LỊCH</w:t>
      </w:r>
    </w:p>
    <w:p>
      <w:pPr>
        <w:ind w:firstLine="397"/>
        <w:jc w:val="both"/>
      </w:pPr>
      <w:r>
        <w:rPr>
          <w:b w:val="0"/>
        </w:rPr>
      </w:r>
    </w:p>
    <w:p>
      <w:pPr>
        <w:jc w:val="center"/>
      </w:pPr>
      <w:r>
        <w:t>HỌC PHẦN: KINH DOANH LỮ HÀNH</w:t>
      </w:r>
    </w:p>
    <w:p>
      <w:pPr>
        <w:ind w:firstLine="397"/>
        <w:jc w:val="both"/>
      </w:pPr>
      <w:r>
        <w:rPr>
          <w:b w:val="0"/>
        </w:rPr>
      </w:r>
    </w:p>
    <w:p>
      <w:pPr>
        <w:ind w:firstLine="397"/>
        <w:jc w:val="both"/>
      </w:pPr>
      <w:r>
        <w:rPr>
          <w:b w:val="0"/>
        </w:rPr>
      </w:r>
    </w:p>
    <w:p>
      <w:pPr>
        <w:jc w:val="center"/>
      </w:pPr>
      <w:r>
        <w:rPr>
          <w:b/>
          <w:sz w:val="48"/>
        </w:rPr>
        <w:t>ĐỀ ÁN</w:t>
      </w:r>
    </w:p>
    <w:p>
      <w:pPr>
        <w:jc w:val="center"/>
      </w:pPr>
      <w:r>
        <w:rPr>
          <w:b/>
          <w:sz w:val="36"/>
        </w:rPr>
        <w:t>THÀNH LẬP CÔNG TY TNHH</w:t>
      </w:r>
    </w:p>
    <w:p>
      <w:pPr>
        <w:jc w:val="center"/>
      </w:pPr>
      <w:r>
        <w:rPr>
          <w:b/>
          <w:sz w:val="40"/>
        </w:rPr>
        <w:t>DU LỊCH NÉT VIỆT</w:t>
      </w:r>
    </w:p>
    <w:p>
      <w:pPr>
        <w:jc w:val="center"/>
      </w:pPr>
      <w:r>
        <w:rPr>
          <w:b/>
          <w:sz w:val="34"/>
        </w:rPr>
        <w:t>NÉT VIỆT TRAVEL</w:t>
      </w:r>
    </w:p>
    <w:p>
      <w:pPr>
        <w:jc w:val="center"/>
      </w:pPr>
      <w:r>
        <w:t>Sản phẩm khởi đầu: Kim Bôi – Nghỉ cuối tuần theo cách mình</w:t>
      </w:r>
    </w:p>
    <w:p>
      <w:pPr>
        <w:jc w:val="center"/>
      </w:pPr>
      <w:r>
        <w:t>Hai ngày một đêm | Lữ hành nội địa</w:t>
      </w:r>
    </w:p>
    <w:p>
      <w:pPr>
        <w:ind w:firstLine="397"/>
        <w:jc w:val="both"/>
      </w:pPr>
      <w:r>
        <w:rPr>
          <w:b w:val="0"/>
        </w:rPr>
      </w:r>
    </w:p>
    <w:p>
      <w:pPr>
        <w:ind w:firstLine="397"/>
        <w:jc w:val="both"/>
      </w:pPr>
      <w:r>
        <w:rPr>
          <w:b w:val="0"/>
        </w:rPr>
      </w:r>
    </w:p>
    <w:p>
      <w:pPr>
        <w:ind w:left="1134"/>
        <w:jc w:val="both"/>
      </w:pPr>
      <w:r>
        <w:rPr>
          <w:b w:val="0"/>
        </w:rPr>
        <w:t>Giảng viên: ........................................................................</w:t>
      </w:r>
    </w:p>
    <w:p>
      <w:pPr>
        <w:ind w:left="1134"/>
        <w:jc w:val="both"/>
      </w:pPr>
      <w:r>
        <w:rPr>
          <w:b w:val="0"/>
        </w:rPr>
        <w:t>Nhóm thực hiện: .................................................................</w:t>
      </w:r>
    </w:p>
    <w:p>
      <w:pPr>
        <w:ind w:left="1134"/>
        <w:jc w:val="both"/>
      </w:pPr>
      <w:r>
        <w:rPr>
          <w:b w:val="0"/>
        </w:rPr>
        <w:t>Lớp: ...................................................................................</w:t>
      </w:r>
    </w:p>
    <w:p>
      <w:pPr>
        <w:ind w:firstLine="397"/>
        <w:jc w:val="both"/>
      </w:pPr>
      <w:r>
        <w:rPr>
          <w:b w:val="0"/>
        </w:rPr>
      </w:r>
    </w:p>
    <w:p>
      <w:pPr>
        <w:jc w:val="center"/>
      </w:pPr>
      <w:r>
        <w:t>Hà Nội, tháng 10 năm 2026</w:t>
      </w:r>
    </w:p>
    <w:p>
      <w:r>
        <w:br w:type="page"/>
      </w:r>
    </w:p>
    <w:p>
      <w:pPr>
        <w:jc w:val="center"/>
      </w:pPr>
      <w:r>
        <w:rPr>
          <w:b/>
          <w:sz w:val="32"/>
        </w:rPr>
        <w:t>MỤC LỤC</w:t>
      </w:r>
    </w:p>
    <w:p>
      <w:pPr>
        <w:tabs>
          <w:tab w:pos="9241" w:val="right" w:leader="dot"/>
        </w:tabs>
        <w:spacing w:after="240" w:line="269" w:lineRule="auto"/>
      </w:pPr>
      <w:hyperlink w:anchor="sec_0" w:history="1">
        <w:r>
          <w:rPr>
            <w:b/>
          </w:rPr>
          <w:t>MỞ ĐẦU</w:t>
        </w:r>
        <w:r>
          <w:tab/>
        </w:r>
        <w:r>
          <w:t>3</w:t>
        </w:r>
      </w:hyperlink>
    </w:p>
    <w:p>
      <w:pPr>
        <w:tabs>
          <w:tab w:pos="9241" w:val="right" w:leader="dot"/>
        </w:tabs>
        <w:spacing w:after="240" w:line="269" w:lineRule="auto"/>
      </w:pPr>
      <w:hyperlink w:anchor="sec_1" w:history="1">
        <w:r>
          <w:rPr>
            <w:b/>
          </w:rPr>
          <w:t>I. PHƯƠNG ÁN THÀNH LẬP DOANH NGHIỆP</w:t>
        </w:r>
        <w:r>
          <w:tab/>
        </w:r>
        <w:r>
          <w:t>3</w:t>
        </w:r>
      </w:hyperlink>
    </w:p>
    <w:p>
      <w:pPr>
        <w:tabs>
          <w:tab w:pos="9241" w:val="right" w:leader="dot"/>
        </w:tabs>
        <w:spacing w:after="240" w:line="269" w:lineRule="auto"/>
      </w:pPr>
      <w:hyperlink w:anchor="sec_2" w:history="1">
        <w:r>
          <w:rPr>
            <w:b/>
          </w:rPr>
          <w:t>II. THỊ TRƯỜNG VÀ KHÁCH HÀNG</w:t>
        </w:r>
        <w:r>
          <w:tab/>
        </w:r>
        <w:r>
          <w:t>6</w:t>
        </w:r>
      </w:hyperlink>
    </w:p>
    <w:p>
      <w:pPr>
        <w:tabs>
          <w:tab w:pos="9241" w:val="right" w:leader="dot"/>
        </w:tabs>
        <w:spacing w:after="240" w:line="269" w:lineRule="auto"/>
      </w:pPr>
      <w:hyperlink w:anchor="sec_3" w:history="1">
        <w:r>
          <w:rPr>
            <w:b/>
          </w:rPr>
          <w:t>III. SẢN PHẨM VÀ CÁCH KINH DOANH</w:t>
        </w:r>
        <w:r>
          <w:tab/>
        </w:r>
        <w:r>
          <w:t>8</w:t>
        </w:r>
      </w:hyperlink>
    </w:p>
    <w:p>
      <w:pPr>
        <w:tabs>
          <w:tab w:pos="9241" w:val="right" w:leader="dot"/>
        </w:tabs>
        <w:spacing w:after="240" w:line="269" w:lineRule="auto"/>
      </w:pPr>
      <w:hyperlink w:anchor="sec_4" w:history="1">
        <w:r>
          <w:rPr>
            <w:b/>
          </w:rPr>
          <w:t>IV. CƠ CẤU TỔ CHỨC VÀ NHÂN SỰ</w:t>
        </w:r>
        <w:r>
          <w:tab/>
        </w:r>
        <w:r>
          <w:t>10</w:t>
        </w:r>
      </w:hyperlink>
    </w:p>
    <w:p>
      <w:pPr>
        <w:tabs>
          <w:tab w:pos="9241" w:val="right" w:leader="dot"/>
        </w:tabs>
        <w:spacing w:after="240" w:line="269" w:lineRule="auto"/>
      </w:pPr>
      <w:hyperlink w:anchor="sec_5" w:history="1">
        <w:r>
          <w:rPr>
            <w:b/>
          </w:rPr>
          <w:t>V. NHÀ CUNG CẤP VÀ TỔ CHỨC TOUR</w:t>
        </w:r>
        <w:r>
          <w:tab/>
        </w:r>
        <w:r>
          <w:t>11</w:t>
        </w:r>
      </w:hyperlink>
    </w:p>
    <w:p>
      <w:pPr>
        <w:tabs>
          <w:tab w:pos="9241" w:val="right" w:leader="dot"/>
        </w:tabs>
        <w:spacing w:after="240" w:line="269" w:lineRule="auto"/>
      </w:pPr>
      <w:hyperlink w:anchor="sec_6" w:history="1">
        <w:r>
          <w:rPr>
            <w:b/>
          </w:rPr>
          <w:t>VI. MARKETING VÀ BÁN HÀNG</w:t>
        </w:r>
        <w:r>
          <w:tab/>
        </w:r>
        <w:r>
          <w:t>12</w:t>
        </w:r>
      </w:hyperlink>
    </w:p>
    <w:p>
      <w:pPr>
        <w:tabs>
          <w:tab w:pos="9241" w:val="right" w:leader="dot"/>
        </w:tabs>
        <w:spacing w:after="240" w:line="269" w:lineRule="auto"/>
      </w:pPr>
      <w:hyperlink w:anchor="sec_7" w:history="1">
        <w:r>
          <w:rPr>
            <w:b/>
          </w:rPr>
          <w:t>VII. PHƯƠNG ÁN TÀI CHÍNH</w:t>
        </w:r>
        <w:r>
          <w:tab/>
        </w:r>
        <w:r>
          <w:t>13</w:t>
        </w:r>
      </w:hyperlink>
    </w:p>
    <w:p>
      <w:pPr>
        <w:tabs>
          <w:tab w:pos="9241" w:val="right" w:leader="dot"/>
        </w:tabs>
        <w:spacing w:after="240" w:line="269" w:lineRule="auto"/>
      </w:pPr>
      <w:hyperlink w:anchor="sec_8" w:history="1">
        <w:r>
          <w:rPr>
            <w:b/>
          </w:rPr>
          <w:t>VIII. RỦI RO VÀ LỘ TRÌNH THỰC HIỆN</w:t>
        </w:r>
        <w:r>
          <w:tab/>
        </w:r>
        <w:r>
          <w:t>17</w:t>
        </w:r>
      </w:hyperlink>
    </w:p>
    <w:p>
      <w:pPr>
        <w:tabs>
          <w:tab w:pos="9241" w:val="right" w:leader="dot"/>
        </w:tabs>
        <w:spacing w:after="240" w:line="269" w:lineRule="auto"/>
      </w:pPr>
      <w:hyperlink w:anchor="sec_9" w:history="1">
        <w:r>
          <w:rPr>
            <w:b/>
          </w:rPr>
          <w:t>KẾT LUẬN</w:t>
        </w:r>
        <w:r>
          <w:tab/>
        </w:r>
        <w:r>
          <w:t>17</w:t>
        </w:r>
      </w:hyperlink>
    </w:p>
    <w:p>
      <w:pPr>
        <w:tabs>
          <w:tab w:pos="9241" w:val="right" w:leader="dot"/>
        </w:tabs>
        <w:spacing w:after="240" w:line="269" w:lineRule="auto"/>
      </w:pPr>
      <w:hyperlink w:anchor="sec_10" w:history="1">
        <w:r>
          <w:rPr>
            <w:b/>
          </w:rPr>
          <w:t>TÀI LIỆU THAM KHẢO</w:t>
        </w:r>
        <w:r>
          <w:tab/>
        </w:r>
        <w:r>
          <w:t>18</w:t>
        </w:r>
      </w:hyperlink>
    </w:p>
    <w:p>
      <w:r>
        <w:br w:type="page"/>
      </w:r>
    </w:p>
    <w:p>
      <w:bookmarkStart w:id="100" w:name="sec_0"/>
      <w:pPr>
        <w:pStyle w:val="Heading1"/>
      </w:pPr>
      <w:r>
        <w:t>MỞ ĐẦU</w:t>
      </w:r>
      <w:bookmarkEnd w:id="100"/>
    </w:p>
    <w:p>
      <w:pPr>
        <w:ind w:firstLine="397"/>
        <w:jc w:val="both"/>
      </w:pPr>
      <w:r>
        <w:rPr>
          <w:b w:val="0"/>
        </w:rPr>
        <w:t>Một chuyến đi do công ty tài trợ không nhất thiết phải trở thành một buổi làm việc ngoài văn phòng. Có những đoàn muốn được nghỉ, ăn uống và tìm hiểu nơi mình đến, nhưng không muốn dành ngày nghỉ để thi đấu, biểu diễn hay hoàn thành nhiệm vụ tập thể. Nét Việt Travel lựa chọn phục vụ nhóm nhu cầu đó bằng những chuyến đi riêng vào cuối tuần, có dịch vụ rõ ràng và thời gian riêng được tôn trọng.</w:t>
      </w:r>
    </w:p>
    <w:p>
      <w:pPr>
        <w:ind w:firstLine="397"/>
        <w:jc w:val="both"/>
      </w:pPr>
      <w:r>
        <w:rPr>
          <w:b w:val="0"/>
        </w:rPr>
        <w:t>Đề án xây dựng Công ty TNHH Du lịch Nét Việt tại Hà Nội, với hai thành viên góp vốn và phạm vi lữ hành nội địa. Sản phẩm đầu tiên là chương trình Kim Bôi hai ngày một đêm: tìm hiểu ẩm thực Mường tại An Lạc, nghỉ tại Khách sạn Công đoàn Việt Nam ở Mớ Đá và sử dụng dịch vụ tắm khoáng. Công ty không đầu tư xe hoặc cơ sở lưu trú riêng, mà thiết kế chương trình, bán tour và điều hành việc thực hiện.</w:t>
      </w:r>
    </w:p>
    <w:p>
      <w:pPr>
        <w:ind w:firstLine="397"/>
        <w:jc w:val="both"/>
      </w:pPr>
      <w:r>
        <w:rPr>
          <w:b w:val="0"/>
        </w:rPr>
        <w:t>Doanh nghiệp, nhân sự sáng lập và kế hoạch tài chính là phương án học tập. Điểm đến, dịch vụ công bố và sản phẩm đối chiếu được lấy từ nguồn có thể kiểm tra. Nhu cầu mua, giá mua dành riêng cho đoàn và sản lượng dự kiến chưa được khảo sát hoặc ký kết; những nội dung này được trình bày là giả định, không thay thế bằng chứng thị trường. Kỳ kế hoạch là tháng 10/2026 đến tháng 9/2027; mốc đối chiếu nguồn và pháp lý là ngày 15/10/2026.</w:t>
      </w:r>
    </w:p>
    <w:p>
      <w:bookmarkStart w:id="101" w:name="sec_1"/>
      <w:pPr>
        <w:pStyle w:val="Heading1"/>
      </w:pPr>
      <w:r>
        <w:t>I. PHƯƠNG ÁN THÀNH LẬP DOANH NGHIỆP</w:t>
      </w:r>
      <w:bookmarkEnd w:id="101"/>
    </w:p>
    <w:p>
      <w:pPr>
        <w:pStyle w:val="Heading2"/>
      </w:pPr>
      <w:r>
        <w:t>1. Thông tin và lựa chọn mô hình</w:t>
      </w:r>
    </w:p>
    <w:p>
      <w:pPr>
        <w:pStyle w:val="Caption"/>
        <w:jc w:val="both"/>
      </w:pPr>
      <w:r>
        <w:rPr>
          <w:b w:val="0"/>
        </w:rPr>
        <w:t>Bảng 1. Thông tin doanh nghiệp dự kiến</w:t>
      </w:r>
    </w:p>
    <w:tbl>
      <w:tblPr>
        <w:tblW w:type="auto" w:w="0"/>
        <w:jc w:val="center"/>
        <w:tblLayout w:type="fixed"/>
        <w:tblLook w:firstColumn="1" w:firstRow="1" w:lastColumn="0" w:lastRow="0" w:noHBand="0" w:noVBand="1" w:val="04A0"/>
      </w:tblPr>
      <w:tblGrid>
        <w:gridCol w:w="2268"/>
        <w:gridCol w:w="7087"/>
      </w:tblGrid>
      <w:tr>
        <w:trPr>
          <w:tblHeader/>
          <w:cantSplit/>
        </w:trPr>
        <w:tc>
          <w:tcPr>
            <w:tcW w:type="dxa" w:w="2268"/>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shd w:fill="EAEAEA"/>
          </w:tcPr>
          <w:p>
            <w:pPr>
              <w:keepNext w:val="0"/>
              <w:spacing w:after="20" w:before="20" w:line="247" w:lineRule="auto"/>
            </w:pPr>
            <w:r>
              <w:rPr>
                <w:rFonts w:ascii="Times New Roman" w:hAnsi="Times New Roman"/>
                <w:b/>
                <w:sz w:val="23"/>
              </w:rPr>
              <w:t>Nội dung</w:t>
            </w:r>
          </w:p>
        </w:tc>
        <w:tc>
          <w:tcPr>
            <w:tcW w:type="dxa" w:w="7087"/>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shd w:fill="EAEAEA"/>
          </w:tcPr>
          <w:p>
            <w:pPr>
              <w:keepNext w:val="0"/>
              <w:spacing w:after="20" w:before="20" w:line="247" w:lineRule="auto"/>
            </w:pPr>
            <w:r>
              <w:rPr>
                <w:rFonts w:ascii="Times New Roman" w:hAnsi="Times New Roman"/>
                <w:b/>
                <w:sz w:val="23"/>
              </w:rPr>
              <w:t>Phương án</w:t>
            </w:r>
          </w:p>
        </w:tc>
      </w:tr>
      <w:tr>
        <w:trPr>
          <w:cantSplit/>
        </w:trPr>
        <w:tc>
          <w:tcPr>
            <w:tcW w:type="dxa" w:w="2268"/>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Tên pháp lý / thương hiệu</w:t>
            </w:r>
          </w:p>
        </w:tc>
        <w:tc>
          <w:tcPr>
            <w:tcW w:type="dxa" w:w="7087"/>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Công ty TNHH Du lịch Nét Việt / Nét Việt Travel.</w:t>
            </w:r>
          </w:p>
        </w:tc>
      </w:tr>
      <w:tr>
        <w:trPr>
          <w:cantSplit/>
        </w:trPr>
        <w:tc>
          <w:tcPr>
            <w:tcW w:type="dxa" w:w="2268"/>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Loại hình và trụ sở</w:t>
            </w:r>
          </w:p>
        </w:tc>
        <w:tc>
          <w:tcPr>
            <w:tcW w:type="dxa" w:w="7087"/>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Công ty TNHH hai thành viên, vốn trong nước. Thuê chỗ làm việc nhỏ tại Hà Nội; chọn địa chỉ hợp lệ trước khi đăng ký.</w:t>
            </w:r>
          </w:p>
        </w:tc>
      </w:tr>
      <w:tr>
        <w:trPr>
          <w:cantSplit/>
        </w:trPr>
        <w:tc>
          <w:tcPr>
            <w:tcW w:type="dxa" w:w="2268"/>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Ngành nghề và phạm vi</w:t>
            </w:r>
          </w:p>
        </w:tc>
        <w:tc>
          <w:tcPr>
            <w:tcW w:type="dxa" w:w="7087"/>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Điều hành chương trình du lịch; kinh doanh lữ hành nội địa. Tour mẫu phục vụ nhân viên là công dân Việt Nam, đi trong nước.</w:t>
            </w:r>
          </w:p>
        </w:tc>
      </w:tr>
      <w:tr>
        <w:trPr>
          <w:cantSplit/>
        </w:trPr>
        <w:tc>
          <w:tcPr>
            <w:tcW w:type="dxa" w:w="2268"/>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Vốn và người góp vốn</w:t>
            </w:r>
          </w:p>
        </w:tc>
        <w:tc>
          <w:tcPr>
            <w:tcW w:type="dxa" w:w="7087"/>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400 triệu đồng; Nguyễn Minh An và Trần Hà Linh góp 200 triệu đồng/người, không vay trong năm đầu.</w:t>
            </w:r>
          </w:p>
        </w:tc>
      </w:tr>
      <w:tr>
        <w:trPr>
          <w:cantSplit/>
        </w:trPr>
        <w:tc>
          <w:tcPr>
            <w:tcW w:type="dxa" w:w="2268"/>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Quản lý</w:t>
            </w:r>
          </w:p>
        </w:tc>
        <w:tc>
          <w:tcPr>
            <w:tcW w:type="dxa" w:w="7087"/>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Nguyễn Minh An: Giám đốc, đại diện theo pháp luật, phụ trách lữ hành. Trần Hà Linh: Chủ tịch Hội đồng thành viên, phụ trách kinh doanh. Đây là hai nhân vật giả định.</w:t>
            </w:r>
          </w:p>
        </w:tc>
      </w:tr>
    </w:tbl>
    <w:p>
      <w:pPr>
        <w:spacing w:after="0" w:line="240" w:lineRule="auto" w:before="0"/>
        <w:jc w:val="both"/>
      </w:pPr>
      <w:r>
        <w:rPr>
          <w:b w:val="0"/>
          <w:sz w:val="4"/>
        </w:rPr>
      </w:r>
    </w:p>
    <w:p>
      <w:pPr>
        <w:ind w:firstLine="397"/>
        <w:jc w:val="both"/>
      </w:pPr>
      <w:r>
        <w:rPr>
          <w:b w:val="0"/>
        </w:rPr>
        <w:t>Hai thành viên cùng quyết định vốn, ngân sách và hướng phát triển; Giám đốc quản lý công việc hằng ngày. Lựa chọn quy mô nhỏ giúp giảm đầu tư ban đầu, nhưng không làm giảm trách nhiệm của doanh nghiệp với khách hàng và nhà cung cấp.</w:t>
      </w:r>
    </w:p>
    <w:p>
      <w:pPr>
        <w:pStyle w:val="Heading2"/>
      </w:pPr>
      <w:r>
        <w:t>2. Tầm nhìn, sứ mệnh và định hướng</w:t>
      </w:r>
    </w:p>
    <w:p>
      <w:pPr>
        <w:keepLines/>
        <w:ind w:firstLine="397"/>
        <w:jc w:val="both"/>
      </w:pPr>
      <w:r>
        <w:rPr>
          <w:b w:val="0"/>
        </w:rPr>
        <w:t>Tầm nhìn của Nét Việt là hình thành một dòng tour cuối tuần kết hợp nghỉ ngơi và tìm hiểu văn hóa Việt. Sứ mệnh là giúp khách có chuyến đi được tổ chức chu đáo mà vẫn giữ quyền lựa chọn cách tham gia. Trong năm đầu, công ty chỉ tập trung một chương trình Kim Bôi, hoàn thiện dịch vụ trước khi mở thêm tuyến; không mặc định tour dài ngày sẽ có lợi nhuận cao hơn.</w:t>
      </w:r>
    </w:p>
    <w:p>
      <w:pPr>
        <w:pStyle w:val="Heading2"/>
      </w:pPr>
      <w:r>
        <w:t>3. Điều kiện kinh doanh lữ hành nội địa</w:t>
      </w:r>
    </w:p>
    <w:p>
      <w:pPr>
        <w:ind w:firstLine="397"/>
        <w:jc w:val="both"/>
      </w:pPr>
      <w:r>
        <w:rPr>
          <w:b w:val="0"/>
        </w:rPr>
        <w:t>Đăng ký doanh nghiệp và giấy phép kinh doanh dịch vụ lữ hành là hai thủ tục riêng. Nét Việt chỉ bán và tổ chức chương trình trong phạm vi đã được cấp phép. Công ty không kinh doanh đón khách quốc tế hoặc đưa khách ra nước ngoài trong phương án năm đầu. [1]</w:t>
      </w:r>
    </w:p>
    <w:p>
      <w:pPr>
        <w:pStyle w:val="Caption"/>
        <w:jc w:val="both"/>
      </w:pPr>
      <w:r>
        <w:rPr>
          <w:b w:val="0"/>
        </w:rPr>
        <w:t>Bảng 2. Điều kiện và cách thực hiện</w:t>
      </w:r>
    </w:p>
    <w:tbl>
      <w:tblPr>
        <w:tblW w:type="auto" w:w="0"/>
        <w:jc w:val="center"/>
        <w:tblLayout w:type="fixed"/>
        <w:tblLook w:firstColumn="1" w:firstRow="1" w:lastColumn="0" w:lastRow="0" w:noHBand="0" w:noVBand="1" w:val="04A0"/>
      </w:tblPr>
      <w:tblGrid>
        <w:gridCol w:w="2381"/>
        <w:gridCol w:w="6973"/>
      </w:tblGrid>
      <w:tr>
        <w:trPr>
          <w:tblHeader/>
          <w:cantSplit/>
        </w:trPr>
        <w:tc>
          <w:tcPr>
            <w:tcW w:type="dxa" w:w="2381"/>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shd w:fill="EAEAEA"/>
          </w:tcPr>
          <w:p>
            <w:pPr>
              <w:keepNext w:val="0"/>
              <w:spacing w:after="20" w:before="20" w:line="247" w:lineRule="auto"/>
            </w:pPr>
            <w:r>
              <w:rPr>
                <w:rFonts w:ascii="Times New Roman" w:hAnsi="Times New Roman"/>
                <w:b/>
                <w:sz w:val="23"/>
              </w:rPr>
              <w:t>Điều kiện</w:t>
            </w:r>
          </w:p>
        </w:tc>
        <w:tc>
          <w:tcPr>
            <w:tcW w:type="dxa" w:w="6973"/>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shd w:fill="EAEAEA"/>
          </w:tcPr>
          <w:p>
            <w:pPr>
              <w:keepNext w:val="0"/>
              <w:spacing w:after="20" w:before="20" w:line="247" w:lineRule="auto"/>
            </w:pPr>
            <w:r>
              <w:rPr>
                <w:rFonts w:ascii="Times New Roman" w:hAnsi="Times New Roman"/>
                <w:b/>
                <w:sz w:val="23"/>
              </w:rPr>
              <w:t>Nét Việt đáp ứng</w:t>
            </w:r>
          </w:p>
        </w:tc>
      </w:tr>
      <w:tr>
        <w:trPr>
          <w:cantSplit/>
        </w:trPr>
        <w:tc>
          <w:tcPr>
            <w:tcW w:type="dxa" w:w="2381"/>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Thành lập doanh nghiệp</w:t>
            </w:r>
          </w:p>
        </w:tc>
        <w:tc>
          <w:tcPr>
            <w:tcW w:type="dxa" w:w="6973"/>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Đăng ký công ty TNHH hai thành viên và ngành nghề điều hành chương trình du lịch.</w:t>
            </w:r>
          </w:p>
        </w:tc>
      </w:tr>
      <w:tr>
        <w:trPr>
          <w:cantSplit/>
        </w:trPr>
        <w:tc>
          <w:tcPr>
            <w:tcW w:type="dxa" w:w="2381"/>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Ký quỹ</w:t>
            </w:r>
          </w:p>
        </w:tc>
        <w:tc>
          <w:tcPr>
            <w:tcW w:type="dxa" w:w="6973"/>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Dành 100 triệu đồng từ vốn góp để ký quỹ tại ngân hàng. Khoản tiền này được duy trì riêng, không dùng trả dịch vụ tour.</w:t>
            </w:r>
          </w:p>
        </w:tc>
      </w:tr>
      <w:tr>
        <w:trPr>
          <w:cantSplit/>
        </w:trPr>
        <w:tc>
          <w:tcPr>
            <w:tcW w:type="dxa" w:w="2381"/>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Người phụ trách</w:t>
            </w:r>
          </w:p>
        </w:tc>
        <w:tc>
          <w:tcPr>
            <w:tcW w:type="dxa" w:w="6973"/>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Giám đốc được giả định đã tốt nghiệp cao đẳng ngành Quản trị dịch vụ du lịch và lữ hành. Không coi sinh viên đang học là người đã đủ điều kiện văn bằng.</w:t>
            </w:r>
          </w:p>
        </w:tc>
      </w:tr>
    </w:tbl>
    <w:p>
      <w:pPr>
        <w:spacing w:after="0" w:line="240" w:lineRule="auto" w:before="0"/>
        <w:jc w:val="both"/>
      </w:pPr>
      <w:r>
        <w:rPr>
          <w:b w:val="0"/>
          <w:sz w:val="4"/>
        </w:rPr>
      </w:r>
    </w:p>
    <w:p>
      <w:pPr>
        <w:ind w:firstLine="397"/>
        <w:jc w:val="both"/>
      </w:pPr>
      <w:r>
        <w:rPr>
          <w:b w:val="0"/>
        </w:rPr>
        <w:t>Theo thủ tục du lịch công bố năm 2026, người phụ trách lữ hành nội địa cần tốt nghiệp từ trung cấp chuyên ngành lữ hành; nếu tốt nghiệp ngành khác thì có thêm chứng chỉ nghiệp vụ điều hành du lịch nội địa hoặc quốc tế theo điều kiện được công bố. Hồ sơ văn bằng phải được kiểm tra trước khi bổ nhiệm. [3]</w:t>
      </w:r>
    </w:p>
    <w:p>
      <w:pPr>
        <w:pStyle w:val="Heading2"/>
      </w:pPr>
      <w:r>
        <w:t>4. Trình tự thành lập và chuẩn bị kinh doanh</w:t>
      </w:r>
    </w:p>
    <w:p>
      <w:pPr>
        <w:pStyle w:val="Caption"/>
        <w:jc w:val="both"/>
      </w:pPr>
      <w:r>
        <w:rPr>
          <w:b w:val="0"/>
        </w:rPr>
        <w:t>Bảng 3. Chín bước triển khai</w:t>
      </w:r>
    </w:p>
    <w:tbl>
      <w:tblPr>
        <w:tblW w:type="auto" w:w="0"/>
        <w:jc w:val="center"/>
        <w:tblLayout w:type="fixed"/>
        <w:tblLook w:firstColumn="1" w:firstRow="1" w:lastColumn="0" w:lastRow="0" w:noHBand="0" w:noVBand="1" w:val="04A0"/>
      </w:tblPr>
      <w:tblGrid>
        <w:gridCol w:w="680"/>
        <w:gridCol w:w="4025"/>
        <w:gridCol w:w="4649"/>
      </w:tblGrid>
      <w:tr>
        <w:trPr>
          <w:tblHeader/>
          <w:cantSplit/>
        </w:trPr>
        <w:tc>
          <w:tcPr>
            <w:tcW w:type="dxa" w:w="680"/>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shd w:fill="EAEAEA"/>
          </w:tcPr>
          <w:p>
            <w:pPr>
              <w:keepNext w:val="0"/>
              <w:spacing w:after="20" w:before="20" w:line="247" w:lineRule="auto"/>
            </w:pPr>
            <w:r>
              <w:rPr>
                <w:rFonts w:ascii="Times New Roman" w:hAnsi="Times New Roman"/>
                <w:b/>
                <w:sz w:val="23"/>
              </w:rPr>
              <w:t>Bước</w:t>
            </w:r>
          </w:p>
        </w:tc>
        <w:tc>
          <w:tcPr>
            <w:tcW w:type="dxa" w:w="4025"/>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shd w:fill="EAEAEA"/>
          </w:tcPr>
          <w:p>
            <w:pPr>
              <w:keepNext w:val="0"/>
              <w:spacing w:after="20" w:before="20" w:line="247" w:lineRule="auto"/>
            </w:pPr>
            <w:r>
              <w:rPr>
                <w:rFonts w:ascii="Times New Roman" w:hAnsi="Times New Roman"/>
                <w:b/>
                <w:sz w:val="23"/>
              </w:rPr>
              <w:t>Công việc</w:t>
            </w:r>
          </w:p>
        </w:tc>
        <w:tc>
          <w:tcPr>
            <w:tcW w:type="dxa" w:w="4649"/>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shd w:fill="EAEAEA"/>
          </w:tcPr>
          <w:p>
            <w:pPr>
              <w:keepNext w:val="0"/>
              <w:spacing w:after="20" w:before="20" w:line="247" w:lineRule="auto"/>
            </w:pPr>
            <w:r>
              <w:rPr>
                <w:rFonts w:ascii="Times New Roman" w:hAnsi="Times New Roman"/>
                <w:b/>
                <w:sz w:val="23"/>
              </w:rPr>
              <w:t>Kết quả cần có</w:t>
            </w:r>
          </w:p>
        </w:tc>
      </w:tr>
      <w:tr>
        <w:trPr>
          <w:cantSplit/>
        </w:trPr>
        <w:tc>
          <w:tcPr>
            <w:tcW w:type="dxa" w:w="680"/>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1</w:t>
            </w:r>
          </w:p>
        </w:tc>
        <w:tc>
          <w:tcPr>
            <w:tcW w:type="dxa" w:w="4025"/>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Thống nhất khách hàng, sản phẩm, vốn và phân công</w:t>
            </w:r>
          </w:p>
        </w:tc>
        <w:tc>
          <w:tcPr>
            <w:tcW w:type="dxa" w:w="4649"/>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Phương án kinh doanh, dự thảo ngân sách.</w:t>
            </w:r>
          </w:p>
        </w:tc>
      </w:tr>
      <w:tr>
        <w:trPr>
          <w:cantSplit/>
        </w:trPr>
        <w:tc>
          <w:tcPr>
            <w:tcW w:type="dxa" w:w="680"/>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2</w:t>
            </w:r>
          </w:p>
        </w:tc>
        <w:tc>
          <w:tcPr>
            <w:tcW w:type="dxa" w:w="4025"/>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Đăng ký doanh nghiệp</w:t>
            </w:r>
          </w:p>
        </w:tc>
        <w:tc>
          <w:tcPr>
            <w:tcW w:type="dxa" w:w="4649"/>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Giấy chứng nhận đăng ký doanh nghiệp.</w:t>
            </w:r>
          </w:p>
        </w:tc>
      </w:tr>
      <w:tr>
        <w:trPr>
          <w:cantSplit/>
        </w:trPr>
        <w:tc>
          <w:tcPr>
            <w:tcW w:type="dxa" w:w="680"/>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3</w:t>
            </w:r>
          </w:p>
        </w:tc>
        <w:tc>
          <w:tcPr>
            <w:tcW w:type="dxa" w:w="4025"/>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Mở tài khoản và ký quỹ</w:t>
            </w:r>
          </w:p>
        </w:tc>
        <w:tc>
          <w:tcPr>
            <w:tcW w:type="dxa" w:w="4649"/>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Hoàn thành giao dịch ký quỹ.</w:t>
            </w:r>
          </w:p>
        </w:tc>
      </w:tr>
      <w:tr>
        <w:trPr>
          <w:cantSplit/>
        </w:trPr>
        <w:tc>
          <w:tcPr>
            <w:tcW w:type="dxa" w:w="680"/>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4</w:t>
            </w:r>
          </w:p>
        </w:tc>
        <w:tc>
          <w:tcPr>
            <w:tcW w:type="dxa" w:w="4025"/>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Nhận chứng nhận ký quỹ</w:t>
            </w:r>
          </w:p>
        </w:tc>
        <w:tc>
          <w:tcPr>
            <w:tcW w:type="dxa" w:w="4649"/>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Giấy chứng nhận của ngân hàng.</w:t>
            </w:r>
          </w:p>
        </w:tc>
      </w:tr>
      <w:tr>
        <w:trPr>
          <w:cantSplit/>
        </w:trPr>
        <w:tc>
          <w:tcPr>
            <w:tcW w:type="dxa" w:w="680"/>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5</w:t>
            </w:r>
          </w:p>
        </w:tc>
        <w:tc>
          <w:tcPr>
            <w:tcW w:type="dxa" w:w="4025"/>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Bổ nhiệm người phụ trách đủ điều kiện</w:t>
            </w:r>
          </w:p>
        </w:tc>
        <w:tc>
          <w:tcPr>
            <w:tcW w:type="dxa" w:w="4649"/>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Quyết định hoặc hợp đồng và hồ sơ chuyên môn.</w:t>
            </w:r>
          </w:p>
        </w:tc>
      </w:tr>
      <w:tr>
        <w:trPr>
          <w:cantSplit/>
        </w:trPr>
        <w:tc>
          <w:tcPr>
            <w:tcW w:type="dxa" w:w="680"/>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6</w:t>
            </w:r>
          </w:p>
        </w:tc>
        <w:tc>
          <w:tcPr>
            <w:tcW w:type="dxa" w:w="4025"/>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Chuẩn bị hồ sơ xin phép lữ hành</w:t>
            </w:r>
          </w:p>
        </w:tc>
        <w:tc>
          <w:tcPr>
            <w:tcW w:type="dxa" w:w="4649"/>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Một bộ hồ sơ đầy đủ.</w:t>
            </w:r>
          </w:p>
        </w:tc>
      </w:tr>
      <w:tr>
        <w:trPr>
          <w:cantSplit/>
        </w:trPr>
        <w:tc>
          <w:tcPr>
            <w:tcW w:type="dxa" w:w="680"/>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7</w:t>
            </w:r>
          </w:p>
        </w:tc>
        <w:tc>
          <w:tcPr>
            <w:tcW w:type="dxa" w:w="4025"/>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Nộp hồ sơ đến nơi tiếp nhận phù hợp</w:t>
            </w:r>
          </w:p>
        </w:tc>
        <w:tc>
          <w:tcPr>
            <w:tcW w:type="dxa" w:w="4649"/>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Hồ sơ được tiếp nhận; bổ sung nếu có yêu cầu.</w:t>
            </w:r>
          </w:p>
        </w:tc>
      </w:tr>
      <w:tr>
        <w:trPr>
          <w:cantSplit/>
        </w:trPr>
        <w:tc>
          <w:tcPr>
            <w:tcW w:type="dxa" w:w="680"/>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8</w:t>
            </w:r>
          </w:p>
        </w:tc>
        <w:tc>
          <w:tcPr>
            <w:tcW w:type="dxa" w:w="4025"/>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Thẩm định và nhận giấy phép</w:t>
            </w:r>
          </w:p>
        </w:tc>
        <w:tc>
          <w:tcPr>
            <w:tcW w:type="dxa" w:w="4649"/>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Được cấp phép trong phạm vi nội địa.</w:t>
            </w:r>
          </w:p>
        </w:tc>
      </w:tr>
      <w:tr>
        <w:trPr>
          <w:cantSplit/>
        </w:trPr>
        <w:tc>
          <w:tcPr>
            <w:tcW w:type="dxa" w:w="680"/>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9</w:t>
            </w:r>
          </w:p>
        </w:tc>
        <w:tc>
          <w:tcPr>
            <w:tcW w:type="dxa" w:w="4025"/>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Tổ chức kinh doanh đúng phạm vi</w:t>
            </w:r>
          </w:p>
        </w:tc>
        <w:tc>
          <w:tcPr>
            <w:tcW w:type="dxa" w:w="4649"/>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Hợp đồng, hóa đơn, bảo hiểm và nhân sự hợp lệ.</w:t>
            </w:r>
          </w:p>
        </w:tc>
      </w:tr>
    </w:tbl>
    <w:p>
      <w:pPr>
        <w:spacing w:after="0" w:line="240" w:lineRule="auto" w:before="0"/>
        <w:jc w:val="both"/>
      </w:pPr>
      <w:r>
        <w:rPr>
          <w:b w:val="0"/>
          <w:sz w:val="4"/>
        </w:rPr>
      </w:r>
    </w:p>
    <w:p>
      <w:pPr>
        <w:ind w:firstLine="397"/>
        <w:jc w:val="both"/>
      </w:pPr>
      <w:r>
        <w:rPr>
          <w:b w:val="0"/>
        </w:rPr>
        <w:t>Khảo sát dịch vụ và chuẩn bị tài liệu bán hàng được thực hiện song song với thủ tục. Công ty chưa nhận tổ chức tour khi giấy phép hoặc người phụ trách chưa đáp ứng điều kiện. Hai tháng đầu dành cho giai đoạn chuẩn bị, không tính doanh thu.</w:t>
      </w:r>
    </w:p>
    <w:p>
      <w:pPr>
        <w:pStyle w:val="Heading2"/>
      </w:pPr>
      <w:r>
        <w:t>5. Hồ sơ đăng ký doanh nghiệp và xin giấy phép</w:t>
      </w:r>
    </w:p>
    <w:p>
      <w:pPr>
        <w:ind w:firstLine="397"/>
        <w:jc w:val="both"/>
      </w:pPr>
      <w:r>
        <w:rPr>
          <w:b w:val="0"/>
        </w:rPr>
        <w:t>Hồ sơ công ty TNHH hai thành viên gồm giấy đề nghị đăng ký, điều lệ, danh sách thành viên và thông tin định danh, chủ sở hữu hưởng lợi theo quy định. Hai người góp vốn kê khai trung thực phần vốn của mình. Nộp hồ sơ tại cơ quan đăng ký kinh doanh cấp tỉnh thuộc Sở Tài chính hoặc qua hệ thống đăng ký điện tử; các dữ liệu đã có được khai thác theo điều kiện kết nối, không mặc định mọi giấy tờ đều phải nộp lại. Áp dụng Nghị định 168/2025/NĐ-CP và phần sửa đổi tại Nghị định 296/2026/NĐ-CP có hiệu lực từ 23/7/2026. [2]</w:t>
      </w:r>
    </w:p>
    <w:p>
      <w:pPr>
        <w:pStyle w:val="Caption"/>
        <w:jc w:val="both"/>
      </w:pPr>
      <w:r>
        <w:rPr>
          <w:b w:val="0"/>
        </w:rPr>
        <w:t>Bảng 4. Thủ tục cấp phép sử dụng trong bối cảnh tháng 10/2026 [3], [4]</w:t>
      </w:r>
    </w:p>
    <w:tbl>
      <w:tblPr>
        <w:tblW w:type="auto" w:w="0"/>
        <w:jc w:val="center"/>
        <w:tblLayout w:type="fixed"/>
        <w:tblLook w:firstColumn="1" w:firstRow="1" w:lastColumn="0" w:lastRow="0" w:noHBand="0" w:noVBand="1" w:val="04A0"/>
      </w:tblPr>
      <w:tblGrid>
        <w:gridCol w:w="2268"/>
        <w:gridCol w:w="7087"/>
      </w:tblGrid>
      <w:tr>
        <w:trPr>
          <w:tblHeader/>
          <w:cantSplit/>
        </w:trPr>
        <w:tc>
          <w:tcPr>
            <w:tcW w:type="dxa" w:w="2268"/>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shd w:fill="EAEAEA"/>
          </w:tcPr>
          <w:p>
            <w:pPr>
              <w:keepNext w:val="0"/>
              <w:spacing w:after="20" w:before="20" w:line="247" w:lineRule="auto"/>
            </w:pPr>
            <w:r>
              <w:rPr>
                <w:rFonts w:ascii="Times New Roman" w:hAnsi="Times New Roman"/>
                <w:b/>
                <w:sz w:val="23"/>
              </w:rPr>
              <w:t>Nội dung</w:t>
            </w:r>
          </w:p>
        </w:tc>
        <w:tc>
          <w:tcPr>
            <w:tcW w:type="dxa" w:w="7087"/>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shd w:fill="EAEAEA"/>
          </w:tcPr>
          <w:p>
            <w:pPr>
              <w:keepNext w:val="0"/>
              <w:spacing w:after="20" w:before="20" w:line="247" w:lineRule="auto"/>
            </w:pPr>
            <w:r>
              <w:rPr>
                <w:rFonts w:ascii="Times New Roman" w:hAnsi="Times New Roman"/>
                <w:b/>
                <w:sz w:val="23"/>
              </w:rPr>
              <w:t>Cấp mới giấy phép lữ hành nội địa</w:t>
            </w:r>
          </w:p>
        </w:tc>
      </w:tr>
      <w:tr>
        <w:trPr>
          <w:cantSplit/>
        </w:trPr>
        <w:tc>
          <w:tcPr>
            <w:tcW w:type="dxa" w:w="2268"/>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Thành phần chính</w:t>
            </w:r>
          </w:p>
        </w:tc>
        <w:tc>
          <w:tcPr>
            <w:tcW w:type="dxa" w:w="7087"/>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Đơn Mẫu số 07; bản sao đăng ký doanh nghiệp; bản gốc chứng nhận ký quỹ; bản sao văn bằng, chứng chỉ phù hợp và quyết định bổ nhiệm hoặc hợp đồng của người phụ trách. Việc khai thác dữ liệu, đối chiếu hoặc bổ sung giấy tờ thực hiện theo thủ tục hiện hành.</w:t>
            </w:r>
          </w:p>
        </w:tc>
      </w:tr>
      <w:tr>
        <w:trPr>
          <w:cantSplit/>
        </w:trPr>
        <w:tc>
          <w:tcPr>
            <w:tcW w:type="dxa" w:w="2268"/>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Nơi tiếp nhận</w:t>
            </w:r>
          </w:p>
        </w:tc>
        <w:tc>
          <w:tcPr>
            <w:tcW w:type="dxa" w:w="7087"/>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Một bộ hồ sơ qua Trung tâm Phục vụ hành chính công nơi đặt trụ sở, bưu chính hoặc Cổng Dịch vụ công quốc gia.</w:t>
            </w:r>
          </w:p>
        </w:tc>
      </w:tr>
      <w:tr>
        <w:trPr>
          <w:cantSplit/>
        </w:trPr>
        <w:tc>
          <w:tcPr>
            <w:tcW w:type="dxa" w:w="2268"/>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Cơ quan giải quyết tại Hà Nội</w:t>
            </w:r>
          </w:p>
        </w:tc>
        <w:tc>
          <w:tcPr>
            <w:tcW w:type="dxa" w:w="7087"/>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Sở Văn hóa, Thể thao và Du lịch Hà Nội, theo cơ cấu cơ quan được công bố tháng 8/2026.</w:t>
            </w:r>
          </w:p>
        </w:tc>
      </w:tr>
      <w:tr>
        <w:trPr>
          <w:cantSplit/>
        </w:trPr>
        <w:tc>
          <w:tcPr>
            <w:tcW w:type="dxa" w:w="2268"/>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Thời hạn / phí</w:t>
            </w:r>
          </w:p>
        </w:tc>
        <w:tc>
          <w:tcPr>
            <w:tcW w:type="dxa" w:w="7087"/>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5 ngày làm việc kể từ khi hồ sơ đầy đủ, đúng quy định. Phí thẩm định cấp mới 1 triệu đồng/giấy phép đến hết 31/12/2026.</w:t>
            </w:r>
          </w:p>
        </w:tc>
      </w:tr>
    </w:tbl>
    <w:p>
      <w:pPr>
        <w:spacing w:after="0" w:line="240" w:lineRule="auto" w:before="0"/>
        <w:jc w:val="both"/>
      </w:pPr>
      <w:r>
        <w:rPr>
          <w:b w:val="0"/>
          <w:sz w:val="4"/>
        </w:rPr>
      </w:r>
    </w:p>
    <w:p>
      <w:pPr>
        <w:pStyle w:val="Heading2"/>
      </w:pPr>
      <w:r>
        <w:t>6. Trách nhiệm trong quá trình hoạt động</w:t>
      </w:r>
    </w:p>
    <w:p>
      <w:pPr>
        <w:ind w:firstLine="397"/>
        <w:jc w:val="both"/>
      </w:pPr>
      <w:r>
        <w:rPr>
          <w:b w:val="0"/>
        </w:rPr>
        <w:t>Hợp đồng lữ hành được lập bằng văn bản, ghi số lượng, chất lượng và giá dịch vụ, thời gian thực hiện, thanh toán, bảo hiểm, điều kiện thay đổi hoặc hủy và trách nhiệm của các bên. Nét Việt mua bảo hiểm cho khách trong chương trình, trừ trường hợp khách đã được bảo hiểm cho toàn bộ chương trình theo quy định. Thuê ngoài dịch vụ không làm mất trách nhiệm của công ty với khách. [1]</w:t>
      </w:r>
    </w:p>
    <w:p>
      <w:pPr>
        <w:ind w:firstLine="397"/>
        <w:jc w:val="both"/>
      </w:pPr>
      <w:r>
        <w:rPr>
          <w:b w:val="0"/>
        </w:rPr>
        <w:t>Hướng dẫn viên phải có thẻ phù hợp, đáp ứng điều kiện hành nghề và có hợp đồng hướng dẫn hoặc văn bản phân công cho chuyến đi. Người phụ trách kinh doanh lữ hành quản lý doanh nghiệp; hướng dẫn viên trực tiếp phục vụ đoàn. Người hướng dẫn trải nghiệm cơm lam không thay thế hướng dẫn viên của tour. [1]</w:t>
      </w:r>
    </w:p>
    <w:p>
      <w:pPr>
        <w:ind w:firstLine="397"/>
        <w:jc w:val="both"/>
      </w:pPr>
      <w:r>
        <w:rPr>
          <w:b w:val="0"/>
        </w:rPr>
        <w:t>Kế toán thuê ngoài theo dõi hóa đơn, công nợ, các nghĩa vụ thuế và chế độ nhân sự. Giá bán được thông báo cả trước thuế và tổng tiền thanh toán. Mức giảm VAT chỉ áp dụng cho dịch vụ thuộc phạm vi quy định và đúng thời hạn; không dùng một thuế suất chung cho mọi đầu vào. [5]</w:t>
      </w:r>
    </w:p>
    <w:p>
      <w:bookmarkStart w:id="102" w:name="sec_2"/>
      <w:pPr>
        <w:pStyle w:val="Heading1"/>
      </w:pPr>
      <w:r>
        <w:t>II. THỊ TRƯỜNG VÀ KHÁCH HÀNG</w:t>
      </w:r>
      <w:bookmarkEnd w:id="102"/>
    </w:p>
    <w:p>
      <w:pPr>
        <w:pStyle w:val="Heading2"/>
      </w:pPr>
      <w:r>
        <w:t>1. Cơ sở lựa chọn thị trường</w:t>
      </w:r>
    </w:p>
    <w:p>
      <w:pPr>
        <w:ind w:firstLine="397"/>
        <w:jc w:val="both"/>
      </w:pPr>
      <w:r>
        <w:rPr>
          <w:b w:val="0"/>
        </w:rPr>
        <w:t>Nguồn công bố của An Lạc có dịch vụ trải nghiệm văn hóa Mường, làm cơm lam và các chương trình dành cho đoàn. Trang du lịch chính thức của Phú Thọ giới thiệu Khách sạn Công đoàn Việt Nam tại Kim Bôi, khu Mớ Đá, có phòng nghỉ, nhà hàng và bể khoáng có mái che. Những thông tin này xác nhận có nền dịch vụ để xây dựng tour, không xác nhận đã có khách đặt chương trình của Nét Việt. [6], [7]</w:t>
      </w:r>
    </w:p>
    <w:p>
      <w:pPr>
        <w:ind w:firstLine="397"/>
        <w:jc w:val="both"/>
      </w:pPr>
      <w:r>
        <w:rPr>
          <w:b w:val="0"/>
        </w:rPr>
        <w:t>Các công ty lữ hành cũng đang công bố sản phẩm An Lạc hai ngày một đêm với nhiều tiêu chuẩn lưu trú. Vì vậy, thị trường không trống và khách có lựa chọn thay thế. Công ty không lấy việc có tour tương tự, hay số liệu tăng trưởng du lịch toàn ngành, để suy ra chắc chắn bán được tour cho dân văn phòng. [8], [9]</w:t>
      </w:r>
    </w:p>
    <w:p>
      <w:pPr>
        <w:pStyle w:val="Heading2"/>
      </w:pPr>
      <w:r>
        <w:t>2. Khách hàng mục tiêu và vấn đề cần giải quyết</w:t>
      </w:r>
    </w:p>
    <w:p>
      <w:pPr>
        <w:ind w:firstLine="397"/>
        <w:jc w:val="both"/>
      </w:pPr>
      <w:r>
        <w:rPr>
          <w:b w:val="0"/>
        </w:rPr>
        <w:t>Nét Việt tập trung vào phòng ban hoặc công ty nhỏ tại Hà Nội, dự kiến tổ chức chuyến phúc lợi cho 24–30 nhân viên trưởng thành. Người mua muốn một chuyến nghỉ cuối tuần chứ không đặt trọng tâm vào đào tạo, thi đua hoặc truyền thông mục tiêu kinh doanh. Phương án không phục vụ đoàn yêu cầu gala, trò chơi bắt buộc hay lịch tham quan dày bằng chính gói tiêu chuẩn này.</w:t>
      </w:r>
    </w:p>
    <w:p>
      <w:pPr>
        <w:pStyle w:val="Caption"/>
        <w:jc w:val="both"/>
      </w:pPr>
      <w:r>
        <w:rPr>
          <w:b w:val="0"/>
        </w:rPr>
        <w:t>Bảng 5. Người đi, người mua và nhu cầu lựa chọn</w:t>
      </w:r>
    </w:p>
    <w:tbl>
      <w:tblPr>
        <w:tblW w:type="auto" w:w="0"/>
        <w:jc w:val="center"/>
        <w:tblLayout w:type="fixed"/>
        <w:tblLook w:firstColumn="1" w:firstRow="1" w:lastColumn="0" w:lastRow="0" w:noHBand="0" w:noVBand="1" w:val="04A0"/>
      </w:tblPr>
      <w:tblGrid>
        <w:gridCol w:w="2438"/>
        <w:gridCol w:w="6917"/>
      </w:tblGrid>
      <w:tr>
        <w:trPr>
          <w:tblHeader/>
          <w:cantSplit/>
        </w:trPr>
        <w:tc>
          <w:tcPr>
            <w:tcW w:type="dxa" w:w="2438"/>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shd w:fill="EAEAEA"/>
          </w:tcPr>
          <w:p>
            <w:pPr>
              <w:keepNext w:val="0"/>
              <w:spacing w:after="20" w:before="20" w:line="247" w:lineRule="auto"/>
            </w:pPr>
            <w:r>
              <w:rPr>
                <w:rFonts w:ascii="Times New Roman" w:hAnsi="Times New Roman"/>
                <w:b/>
                <w:sz w:val="23"/>
              </w:rPr>
              <w:t>Vai trò / nhu cầu</w:t>
            </w:r>
          </w:p>
        </w:tc>
        <w:tc>
          <w:tcPr>
            <w:tcW w:type="dxa" w:w="6917"/>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shd w:fill="EAEAEA"/>
          </w:tcPr>
          <w:p>
            <w:pPr>
              <w:keepNext w:val="0"/>
              <w:spacing w:after="20" w:before="20" w:line="247" w:lineRule="auto"/>
            </w:pPr>
            <w:r>
              <w:rPr>
                <w:rFonts w:ascii="Times New Roman" w:hAnsi="Times New Roman"/>
                <w:b/>
                <w:sz w:val="23"/>
              </w:rPr>
              <w:t>Cách tiếp cận</w:t>
            </w:r>
          </w:p>
        </w:tc>
      </w:tr>
      <w:tr>
        <w:trPr>
          <w:cantSplit/>
        </w:trPr>
        <w:tc>
          <w:tcPr>
            <w:tcW w:type="dxa" w:w="2438"/>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Người sử dụng</w:t>
            </w:r>
          </w:p>
        </w:tc>
        <w:tc>
          <w:tcPr>
            <w:tcW w:type="dxa" w:w="6917"/>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Nhân viên văn phòng, định hướng 23–45 tuổi nhưng không loại khách chỉ vì lớn tuổi hơn; lựa chọn dựa vào nhu cầu và khả năng tham gia.</w:t>
            </w:r>
          </w:p>
        </w:tc>
      </w:tr>
      <w:tr>
        <w:trPr>
          <w:cantSplit/>
        </w:trPr>
        <w:tc>
          <w:tcPr>
            <w:tcW w:type="dxa" w:w="2438"/>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Người liên hệ</w:t>
            </w:r>
          </w:p>
        </w:tc>
        <w:tc>
          <w:tcPr>
            <w:tcW w:type="dxa" w:w="6917"/>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Hành chính, nhân sự hoặc đại diện được giao tìm chương trình; cần báo giá và điều kiện rõ để trình duyệt.</w:t>
            </w:r>
          </w:p>
        </w:tc>
      </w:tr>
      <w:tr>
        <w:trPr>
          <w:cantSplit/>
        </w:trPr>
        <w:tc>
          <w:tcPr>
            <w:tcW w:type="dxa" w:w="2438"/>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Người quyết định và trả tiền</w:t>
            </w:r>
          </w:p>
        </w:tc>
        <w:tc>
          <w:tcPr>
            <w:tcW w:type="dxa" w:w="6917"/>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Người có thẩm quyền duyệt chi; doanh nghiệp ký hợp đồng và thanh toán. Không suy ngân sách từ thu nhập cá nhân của nhân viên.</w:t>
            </w:r>
          </w:p>
        </w:tc>
      </w:tr>
      <w:tr>
        <w:trPr>
          <w:cantSplit/>
        </w:trPr>
        <w:tc>
          <w:tcPr>
            <w:tcW w:type="dxa" w:w="2438"/>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Ngân sách mục tiêu cần kiểm chứng</w:t>
            </w:r>
          </w:p>
        </w:tc>
        <w:tc>
          <w:tcPr>
            <w:tcW w:type="dxa" w:w="6917"/>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Khoảng 2,7–2,9 triệu đồng/người, đã dự trù thuế, theo tiêu chuẩn hai người/phòng. Đây là giả thuyết tiếp cận khách, không phải mức chi đã khảo sát.</w:t>
            </w:r>
          </w:p>
        </w:tc>
      </w:tr>
      <w:tr>
        <w:trPr>
          <w:cantSplit/>
        </w:trPr>
        <w:tc>
          <w:tcPr>
            <w:tcW w:type="dxa" w:w="2438"/>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Nhu cầu riêng</w:t>
            </w:r>
          </w:p>
        </w:tc>
        <w:tc>
          <w:tcPr>
            <w:tcW w:type="dxa" w:w="6917"/>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Đi trong thứ Bảy – Chủ nhật; có phòng nghỉ phù hợp đồng nghiệp, một lượt tắm khoáng và thời gian không phải thực hiện nhiệm vụ tập thể.</w:t>
            </w:r>
          </w:p>
        </w:tc>
      </w:tr>
    </w:tbl>
    <w:p>
      <w:pPr>
        <w:spacing w:after="0" w:line="240" w:lineRule="auto" w:before="0"/>
        <w:jc w:val="both"/>
      </w:pPr>
      <w:r>
        <w:rPr>
          <w:b w:val="0"/>
          <w:sz w:val="4"/>
        </w:rPr>
      </w:r>
    </w:p>
    <w:p>
      <w:pPr>
        <w:ind w:firstLine="397"/>
        <w:jc w:val="both"/>
      </w:pPr>
      <w:r>
        <w:rPr>
          <w:b w:val="0"/>
        </w:rPr>
        <w:t>Ví dụ minh họa: một phòng ban 28 người có ngân sách tối đa 80 triệu đồng, muốn đi cuối tuần và không tổ chức gala. Giá tiêu chuẩn 2,5 triệu đồng/người trước VAT tạo tổng 75,6 triệu đồng khi đủ điều kiện áp dụng VAT 8%, chưa có yêu cầu tăng phòng. Đây là tình huống để giải thích giao dịch, không phải khách hàng hoặc hợp đồng đã có.</w:t>
      </w:r>
    </w:p>
    <w:p>
      <w:pPr>
        <w:ind w:firstLine="397"/>
        <w:jc w:val="both"/>
      </w:pPr>
      <w:r>
        <w:rPr>
          <w:b w:val="0"/>
        </w:rPr>
        <w:t>Trước khi mở bán, người kinh doanh trao đổi với một số đầu mối doanh nghiệp về ngân sách được duyệt, kỳ vọng phòng và quyền tự chọn hoạt động. Phải ghi nhận cả lý do từ chối. Chỉ sau các cuộc trao đổi và chuyến thử mới có cơ sở điều chỉnh sản phẩm; không dựng sẵn tỷ lệ chuyển đổi để hợp thức hóa mục tiêu năm.</w:t>
      </w:r>
    </w:p>
    <w:p>
      <w:pPr>
        <w:pStyle w:val="Heading2"/>
      </w:pPr>
      <w:r>
        <w:t>3. Đối thủ, phương án thay thế và vị trí cạnh tranh</w:t>
      </w:r>
    </w:p>
    <w:p>
      <w:pPr>
        <w:pStyle w:val="Caption"/>
        <w:jc w:val="both"/>
      </w:pPr>
      <w:r>
        <w:rPr>
          <w:b w:val="0"/>
        </w:rPr>
        <w:t>Bảng 6. Đối chiếu sản phẩm và điều kiện giá</w:t>
      </w:r>
    </w:p>
    <w:tbl>
      <w:tblPr>
        <w:tblW w:type="auto" w:w="0"/>
        <w:jc w:val="center"/>
        <w:tblLayout w:type="fixed"/>
        <w:tblLook w:firstColumn="1" w:firstRow="1" w:lastColumn="0" w:lastRow="0" w:noHBand="0" w:noVBand="1" w:val="04A0"/>
      </w:tblPr>
      <w:tblGrid>
        <w:gridCol w:w="2041"/>
        <w:gridCol w:w="3742"/>
        <w:gridCol w:w="3572"/>
      </w:tblGrid>
      <w:tr>
        <w:trPr>
          <w:tblHeader/>
          <w:cantSplit/>
        </w:trPr>
        <w:tc>
          <w:tcPr>
            <w:tcW w:type="dxa" w:w="2041"/>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shd w:fill="EAEAEA"/>
          </w:tcPr>
          <w:p>
            <w:pPr>
              <w:keepNext w:val="0"/>
              <w:spacing w:after="20" w:before="20" w:line="247" w:lineRule="auto"/>
            </w:pPr>
            <w:r>
              <w:rPr>
                <w:rFonts w:ascii="Times New Roman" w:hAnsi="Times New Roman"/>
                <w:b/>
                <w:sz w:val="23"/>
              </w:rPr>
              <w:t>Phương án đối chiếu</w:t>
            </w:r>
          </w:p>
        </w:tc>
        <w:tc>
          <w:tcPr>
            <w:tcW w:type="dxa" w:w="3742"/>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shd w:fill="EAEAEA"/>
          </w:tcPr>
          <w:p>
            <w:pPr>
              <w:keepNext w:val="0"/>
              <w:spacing w:after="20" w:before="20" w:line="247" w:lineRule="auto"/>
            </w:pPr>
            <w:r>
              <w:rPr>
                <w:rFonts w:ascii="Times New Roman" w:hAnsi="Times New Roman"/>
                <w:b/>
                <w:sz w:val="23"/>
              </w:rPr>
              <w:t>Thông tin công bố</w:t>
            </w:r>
          </w:p>
        </w:tc>
        <w:tc>
          <w:tcPr>
            <w:tcW w:type="dxa" w:w="3572"/>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shd w:fill="EAEAEA"/>
          </w:tcPr>
          <w:p>
            <w:pPr>
              <w:keepNext w:val="0"/>
              <w:spacing w:after="20" w:before="20" w:line="247" w:lineRule="auto"/>
            </w:pPr>
            <w:r>
              <w:rPr>
                <w:rFonts w:ascii="Times New Roman" w:hAnsi="Times New Roman"/>
                <w:b/>
                <w:sz w:val="23"/>
              </w:rPr>
              <w:t>Giới hạn so sánh</w:t>
            </w:r>
          </w:p>
        </w:tc>
      </w:tr>
      <w:tr>
        <w:trPr>
          <w:cantSplit/>
        </w:trPr>
        <w:tc>
          <w:tcPr>
            <w:tcW w:type="dxa" w:w="2041"/>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Đặt thẳng tại An Lạc [6]</w:t>
            </w:r>
          </w:p>
        </w:tc>
        <w:tc>
          <w:tcPr>
            <w:tcW w:type="dxa" w:w="3742"/>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Gói đoàn từ 1,5 triệu đồng/người, áp dụng từ 30 người; có ăn, nghỉ, tiện ích, gala và hoạt động tập thể.</w:t>
            </w:r>
          </w:p>
        </w:tc>
        <w:tc>
          <w:tcPr>
            <w:tcW w:type="dxa" w:w="3572"/>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Chưa rõ phòng, tối thứ Bảy và xe khứ hồi; chưa gồm VAT. Không coi đây là giá trọn tour cùng tiêu chuẩn.</w:t>
            </w:r>
          </w:p>
        </w:tc>
      </w:tr>
      <w:tr>
        <w:trPr>
          <w:cantSplit/>
        </w:trPr>
        <w:tc>
          <w:tcPr>
            <w:tcW w:type="dxa" w:w="2041"/>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Let’s Tour – An Lạc 2N1Đ [8]</w:t>
            </w:r>
          </w:p>
        </w:tc>
        <w:tc>
          <w:tcPr>
            <w:tcW w:type="dxa" w:w="3742"/>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Trang đề ngày 20/02/2025 hiển thị phòng khách sạn: 2,34 triệu/người cho 21–28 khách; 2,24 triệu cho 29–34 khách. Có xe, hướng dẫn viên và bữa ăn.</w:t>
            </w:r>
          </w:p>
        </w:tc>
        <w:tc>
          <w:tcPr>
            <w:tcW w:type="dxa" w:w="3572"/>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Chưa VAT; nghỉ đêm thứ Sáu, thứ Bảy phải hỏi giá. Đây là mức lưu trên trang, không phải báo giá tháng 10/2026.</w:t>
            </w:r>
          </w:p>
        </w:tc>
      </w:tr>
      <w:tr>
        <w:trPr>
          <w:cantSplit/>
        </w:trPr>
        <w:tc>
          <w:tcPr>
            <w:tcW w:type="dxa" w:w="2041"/>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Tour.Pro – An Lạc [9]</w:t>
            </w:r>
          </w:p>
        </w:tc>
        <w:tc>
          <w:tcPr>
            <w:tcW w:type="dxa" w:w="3742"/>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Trang giới thiệu mức khoảng 1,45 triệu/người, tiêu chuẩn lưu trú tập thể 10–16 người/phòng.</w:t>
            </w:r>
          </w:p>
        </w:tc>
        <w:tc>
          <w:tcPr>
            <w:tcW w:type="dxa" w:w="3572"/>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Không ngang với phòng hai giường, hai người/phòng; cần kiểm tra ngày và quyền lợi khoáng.</w:t>
            </w:r>
          </w:p>
        </w:tc>
      </w:tr>
      <w:tr>
        <w:trPr>
          <w:cantSplit/>
        </w:trPr>
        <w:tc>
          <w:tcPr>
            <w:tcW w:type="dxa" w:w="2041"/>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Khách tự tổ chức</w:t>
            </w:r>
          </w:p>
        </w:tc>
        <w:tc>
          <w:tcPr>
            <w:tcW w:type="dxa" w:w="3742"/>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Doanh nghiệp tự thuê xe, đặt phòng và mua vé; có thể kiểm soát trực tiếp các khoản mua.</w:t>
            </w:r>
          </w:p>
        </w:tc>
        <w:tc>
          <w:tcPr>
            <w:tcW w:type="dxa" w:w="3572"/>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Không phát sinh phí tổ chức của Nét Việt, nhưng người phụ trách phải tự điều phối và xử lý thay đổi.</w:t>
            </w:r>
          </w:p>
        </w:tc>
      </w:tr>
    </w:tbl>
    <w:p>
      <w:pPr>
        <w:spacing w:after="0" w:line="240" w:lineRule="auto" w:before="0"/>
        <w:jc w:val="both"/>
      </w:pPr>
      <w:r>
        <w:rPr>
          <w:b w:val="0"/>
          <w:sz w:val="4"/>
        </w:rPr>
      </w:r>
    </w:p>
    <w:p>
      <w:pPr>
        <w:ind w:firstLine="397"/>
        <w:jc w:val="both"/>
      </w:pPr>
      <w:r>
        <w:rPr>
          <w:b w:val="0"/>
        </w:rPr>
        <w:t>Mức giá 2,5 triệu đồng trước VAT của Nét Việt là lựa chọn kinh doanh, không phải kết luận rẻ hơn mọi đối thủ. Công ty không phục vụ phân khúc chỉ tìm mức giá thấp nhất hoặc muốn resort cao cấp. Muốn kiểm tra sức cạnh tranh phải xin báo giá cùng ngày thứ Bảy, số khách, loại giường, bữa ăn và dịch vụ khoáng; bảng trên chưa đủ để kết luận khách sẽ chọn Nét Việt.</w:t>
      </w:r>
    </w:p>
    <w:p>
      <w:pPr>
        <w:pStyle w:val="Heading2"/>
      </w:pPr>
      <w:r>
        <w:t>4. Giá trị cung cấp và giới hạn của khác biệt</w:t>
      </w:r>
    </w:p>
    <w:p>
      <w:pPr>
        <w:ind w:firstLine="397"/>
        <w:jc w:val="both"/>
      </w:pPr>
      <w:r>
        <w:rPr>
          <w:b w:val="0"/>
        </w:rPr>
        <w:t>Điểm nhấn của chương trình là “Đi cùng công ty, nghỉ theo cách mình”: không tổ chức team building, gala, họp công việc hoặc biểu diễn bắt buộc. Lịch có ít nhất năm giờ ban ngày dành cho nhu cầu riêng, ngoài thời gian ăn, di chuyển và ngủ đêm. Khoảng này không bị điều hành tự ý lấp bằng hoạt động tập thể; những việc chung cần tuân thủ chỉ gồm giờ xe, nhận trả phòng và quy định an toàn.</w:t>
      </w:r>
    </w:p>
    <w:p>
      <w:pPr>
        <w:ind w:firstLine="397"/>
        <w:jc w:val="both"/>
      </w:pPr>
      <w:r>
        <w:rPr>
          <w:b w:val="0"/>
        </w:rPr>
        <w:t>Khách được một đêm ở phòng hai giường riêng theo xác nhận, một trải nghiệm cơm lam có người hướng dẫn và một lượt khoáng có mái che. Nét Việt thu thập nhu cầu ăn, ở, tắm khoáng trước chuyến đi rồi sắp xếp dịch vụ, thay vì chỉ bán quyền vào cửa một khu nghỉ. Người mua phải đồng ý với mục đích phúc lợi và thời gian riêng; công ty không nhận rồi lặng lẽ đổi thành chương trình bắt buộc.</w:t>
      </w:r>
    </w:p>
    <w:p>
      <w:pPr>
        <w:ind w:firstLine="397"/>
        <w:jc w:val="both"/>
      </w:pPr>
      <w:r>
        <w:rPr>
          <w:b w:val="0"/>
        </w:rPr>
        <w:t>Đối thủ có thể sao chép thông điệp này. Lợi thế cần tích lũy nằm ở cách thực hiện, chất lượng đối tác và hiểu nhu cầu của từng đoàn; chưa phải lợi thế độc quyền. Nếu phòng, độ ồn hoặc quyền lợi khoáng không đáp ứng, không thể chỉ dùng khẩu hiệu để giữ khách.</w:t>
      </w:r>
    </w:p>
    <w:p>
      <w:bookmarkStart w:id="103" w:name="sec_3"/>
      <w:pPr>
        <w:pStyle w:val="Heading1"/>
      </w:pPr>
      <w:r>
        <w:t>III. SẢN PHẨM VÀ CÁCH KINH DOANH</w:t>
      </w:r>
      <w:bookmarkEnd w:id="103"/>
    </w:p>
    <w:p>
      <w:pPr>
        <w:pStyle w:val="Heading2"/>
      </w:pPr>
      <w:r>
        <w:t>1. Tour chủ lực và địa điểm cụ thể</w:t>
      </w:r>
    </w:p>
    <w:p>
      <w:pPr>
        <w:ind w:firstLine="397"/>
        <w:jc w:val="both"/>
      </w:pPr>
      <w:r>
        <w:rPr>
          <w:b w:val="0"/>
        </w:rPr>
        <w:t>Tên chương trình: “Kim Bôi – Nghỉ cuối tuần theo cách mình”. Thời lượng hai ngày một đêm, khởi hành thứ Bảy và về Chủ nhật. Bán đoàn riêng 24–30 khách, không ghép khách lẻ. Năm đầu chỉ đưa sản phẩm này vào dự toán doanh thu.</w:t>
      </w:r>
    </w:p>
    <w:p>
      <w:pPr>
        <w:pStyle w:val="Caption"/>
        <w:jc w:val="both"/>
      </w:pPr>
      <w:r>
        <w:rPr>
          <w:b w:val="0"/>
        </w:rPr>
        <w:t>Bảng 7. Hai điểm dịch vụ của tuyến chính</w:t>
      </w:r>
    </w:p>
    <w:tbl>
      <w:tblPr>
        <w:tblW w:type="auto" w:w="0"/>
        <w:jc w:val="center"/>
        <w:tblLayout w:type="fixed"/>
        <w:tblLook w:firstColumn="1" w:firstRow="1" w:lastColumn="0" w:lastRow="0" w:noHBand="0" w:noVBand="1" w:val="04A0"/>
      </w:tblPr>
      <w:tblGrid>
        <w:gridCol w:w="2891"/>
        <w:gridCol w:w="6463"/>
      </w:tblGrid>
      <w:tr>
        <w:trPr>
          <w:tblHeader/>
          <w:cantSplit/>
        </w:trPr>
        <w:tc>
          <w:tcPr>
            <w:tcW w:type="dxa" w:w="2891"/>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shd w:fill="EAEAEA"/>
          </w:tcPr>
          <w:p>
            <w:pPr>
              <w:keepNext w:val="0"/>
              <w:spacing w:after="20" w:before="20" w:line="247" w:lineRule="auto"/>
            </w:pPr>
            <w:r>
              <w:rPr>
                <w:rFonts w:ascii="Times New Roman" w:hAnsi="Times New Roman"/>
                <w:b/>
                <w:sz w:val="23"/>
              </w:rPr>
              <w:t>Điểm dịch vụ</w:t>
            </w:r>
          </w:p>
        </w:tc>
        <w:tc>
          <w:tcPr>
            <w:tcW w:type="dxa" w:w="6463"/>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shd w:fill="EAEAEA"/>
          </w:tcPr>
          <w:p>
            <w:pPr>
              <w:keepNext w:val="0"/>
              <w:spacing w:after="20" w:before="20" w:line="247" w:lineRule="auto"/>
            </w:pPr>
            <w:r>
              <w:rPr>
                <w:rFonts w:ascii="Times New Roman" w:hAnsi="Times New Roman"/>
                <w:b/>
                <w:sz w:val="23"/>
              </w:rPr>
              <w:t>Vị trí và phần việc</w:t>
            </w:r>
          </w:p>
        </w:tc>
      </w:tr>
      <w:tr>
        <w:trPr>
          <w:cantSplit/>
        </w:trPr>
        <w:tc>
          <w:tcPr>
            <w:tcW w:type="dxa" w:w="2891"/>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An Lạc Eco Farm &amp; Hot Springs</w:t>
            </w:r>
          </w:p>
        </w:tc>
        <w:tc>
          <w:tcPr>
            <w:tcW w:type="dxa" w:w="6463"/>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Xóm Cốc, khu vực Vĩnh Đồng cũ, Kim Bôi. Website cơ sở vẫn ghi địa chỉ Hòa Bình trước sắp xếp hành chính. Dùng dịch vụ tham quan trong ngày, tìm hiểu ẩm thực Mường, làm cơm lam và ăn trưa tại nhà hàng của An Lạc. [6]</w:t>
            </w:r>
          </w:p>
        </w:tc>
      </w:tr>
      <w:tr>
        <w:trPr>
          <w:cantSplit/>
        </w:trPr>
        <w:tc>
          <w:tcPr>
            <w:tcW w:type="dxa" w:w="2891"/>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Khách sạn Công đoàn Việt Nam tại Kim Bôi</w:t>
            </w:r>
          </w:p>
        </w:tc>
        <w:tc>
          <w:tcPr>
            <w:tcW w:type="dxa" w:w="6463"/>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Khu Mớ Đá, xã Kim Bôi, tỉnh Phú Thọ; cũng được giới thiệu là Khu du lịch suối khoáng Kim Bôi. Nghỉ đêm, ăn tối, ăn sáng, ăn trưa ngày hai và tắm khoáng tại cơ sở. [7]</w:t>
            </w:r>
          </w:p>
        </w:tc>
      </w:tr>
      <w:tr>
        <w:trPr>
          <w:cantSplit/>
        </w:trPr>
        <w:tc>
          <w:tcPr>
            <w:tcW w:type="dxa" w:w="2891"/>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Đón và trả đoàn</w:t>
            </w:r>
          </w:p>
        </w:tc>
        <w:tc>
          <w:tcPr>
            <w:tcW w:type="dxa" w:w="6463"/>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Một điểm hẹn do bên mua thống nhất tại Hà Nội; chỉ chốt lộ trình xe sau khi có địa chỉ đón và xác nhận cổng tiếp cận hai cơ sở.</w:t>
            </w:r>
          </w:p>
        </w:tc>
      </w:tr>
    </w:tbl>
    <w:p>
      <w:pPr>
        <w:spacing w:after="0" w:line="240" w:lineRule="auto" w:before="0"/>
        <w:jc w:val="both"/>
      </w:pPr>
      <w:r>
        <w:rPr>
          <w:b w:val="0"/>
          <w:sz w:val="4"/>
        </w:rPr>
      </w:r>
    </w:p>
    <w:p>
      <w:pPr>
        <w:ind w:firstLine="397"/>
        <w:jc w:val="both"/>
      </w:pPr>
      <w:r>
        <w:rPr>
          <w:b w:val="0"/>
        </w:rPr>
        <w:t>Cấu hình tách trải nghiệm ban ngày và lưu trú nhằm giữ giá vừa phải nhưng vẫn có nét Mường và nghỉ khoáng. Trang phòng tiêu chuẩn An Lạc mô tả một giường đôi, nên không mặc định đó là phòng hai giường cho đồng nghiệp. Cơ sở Công đoàn có phòng và bể khoáng được ngành du lịch địa phương giới thiệu; loại phòng, chất lượng và số lượng có thể mua đúng ngày vẫn phải được kiểm tra. [6], [7]</w:t>
      </w:r>
    </w:p>
    <w:p>
      <w:pPr>
        <w:pStyle w:val="Heading2"/>
      </w:pPr>
      <w:r>
        <w:t>2. Lịch trình thứ Bảy</w:t>
      </w:r>
    </w:p>
    <w:p>
      <w:pPr>
        <w:pStyle w:val="Caption"/>
        <w:jc w:val="both"/>
      </w:pPr>
      <w:r>
        <w:rPr>
          <w:b w:val="0"/>
        </w:rPr>
        <w:t>Bảng 8. Ngày 1 – trải nghiệm Mường và nghỉ khoáng</w:t>
      </w:r>
    </w:p>
    <w:tbl>
      <w:tblPr>
        <w:tblW w:type="auto" w:w="0"/>
        <w:jc w:val="center"/>
        <w:tblLayout w:type="fixed"/>
        <w:tblLook w:firstColumn="1" w:firstRow="1" w:lastColumn="0" w:lastRow="0" w:noHBand="0" w:noVBand="1" w:val="04A0"/>
      </w:tblPr>
      <w:tblGrid>
        <w:gridCol w:w="1757"/>
        <w:gridCol w:w="7597"/>
      </w:tblGrid>
      <w:tr>
        <w:trPr>
          <w:tblHeader/>
          <w:cantSplit/>
        </w:trPr>
        <w:tc>
          <w:tcPr>
            <w:tcW w:type="dxa" w:w="1757"/>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shd w:fill="EAEAEA"/>
          </w:tcPr>
          <w:p>
            <w:pPr>
              <w:keepNext w:val="0"/>
              <w:spacing w:after="20" w:before="20" w:line="247" w:lineRule="auto"/>
            </w:pPr>
            <w:r>
              <w:rPr>
                <w:rFonts w:ascii="Times New Roman" w:hAnsi="Times New Roman"/>
                <w:b/>
                <w:sz w:val="23"/>
              </w:rPr>
              <w:t>Giờ dự kiến</w:t>
            </w:r>
          </w:p>
        </w:tc>
        <w:tc>
          <w:tcPr>
            <w:tcW w:type="dxa" w:w="7597"/>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shd w:fill="EAEAEA"/>
          </w:tcPr>
          <w:p>
            <w:pPr>
              <w:keepNext w:val="0"/>
              <w:spacing w:after="20" w:before="20" w:line="247" w:lineRule="auto"/>
            </w:pPr>
            <w:r>
              <w:rPr>
                <w:rFonts w:ascii="Times New Roman" w:hAnsi="Times New Roman"/>
                <w:b/>
                <w:sz w:val="23"/>
              </w:rPr>
              <w:t>Địa điểm và nội dung</w:t>
            </w:r>
          </w:p>
        </w:tc>
      </w:tr>
      <w:tr>
        <w:trPr>
          <w:cantSplit/>
        </w:trPr>
        <w:tc>
          <w:tcPr>
            <w:tcW w:type="dxa" w:w="1757"/>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07:45–10:30</w:t>
            </w:r>
          </w:p>
        </w:tc>
        <w:tc>
          <w:tcPr>
            <w:tcW w:type="dxa" w:w="7597"/>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Tập trung tại Hà Nội, khởi hành khoảng 08:00; xe 35 chỗ đến An Lạc. Dành thời gian nghỉ dọc đường và dự phòng giao thông.</w:t>
            </w:r>
          </w:p>
        </w:tc>
      </w:tr>
      <w:tr>
        <w:trPr>
          <w:cantSplit/>
        </w:trPr>
        <w:tc>
          <w:tcPr>
            <w:tcW w:type="dxa" w:w="1757"/>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10:30–11:45</w:t>
            </w:r>
          </w:p>
        </w:tc>
        <w:tc>
          <w:tcPr>
            <w:tcW w:type="dxa" w:w="7597"/>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Tại An Lạc: nghe giới thiệu ngắn về ẩm thực Mường, quan sát và tham gia công đoạn cơm lam phù hợp. Nhân sự cơ sở phụ trách lửa và dao; khách không muốn làm có thể quan sát hoặc nghỉ cùng khu vực.</w:t>
            </w:r>
          </w:p>
        </w:tc>
      </w:tr>
      <w:tr>
        <w:trPr>
          <w:cantSplit/>
        </w:trPr>
        <w:tc>
          <w:tcPr>
            <w:tcW w:type="dxa" w:w="1757"/>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11:45–12:45</w:t>
            </w:r>
          </w:p>
        </w:tc>
        <w:tc>
          <w:tcPr>
            <w:tcW w:type="dxa" w:w="7597"/>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Ăn trưa tại nhà hàng An Lạc, thực đơn địa phương đã thống nhất; chuẩn bị suất ăn kiêng khi có yêu cầu từ trước.</w:t>
            </w:r>
          </w:p>
        </w:tc>
      </w:tr>
      <w:tr>
        <w:trPr>
          <w:cantSplit/>
        </w:trPr>
        <w:tc>
          <w:tcPr>
            <w:tcW w:type="dxa" w:w="1757"/>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12:45–14:00</w:t>
            </w:r>
          </w:p>
        </w:tc>
        <w:tc>
          <w:tcPr>
            <w:tcW w:type="dxa" w:w="7597"/>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Nghỉ ngắn trong khuôn viên; chuyển tới Khách sạn Công đoàn tại Mớ Đá và nhận phòng từ khoảng 14:00. Chừa 45 phút cho chặng chuyển điểm, lên xuống xe và giao nhận hành lý.</w:t>
            </w:r>
          </w:p>
        </w:tc>
      </w:tr>
      <w:tr>
        <w:trPr>
          <w:cantSplit/>
        </w:trPr>
        <w:tc>
          <w:tcPr>
            <w:tcW w:type="dxa" w:w="1757"/>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15:00–18:00</w:t>
            </w:r>
          </w:p>
        </w:tc>
        <w:tc>
          <w:tcPr>
            <w:tcW w:type="dxa" w:w="7597"/>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Thời gian riêng tại khu nghỉ. Khách dùng một lượt khoáng đã đặt theo giờ phù hợp, đi dạo hoặc nghỉ phòng. Không yêu cầu tắm liên tục trong cả khung giờ.</w:t>
            </w:r>
          </w:p>
        </w:tc>
      </w:tr>
      <w:tr>
        <w:trPr>
          <w:cantSplit/>
        </w:trPr>
        <w:tc>
          <w:tcPr>
            <w:tcW w:type="dxa" w:w="1757"/>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18:30–19:30</w:t>
            </w:r>
          </w:p>
        </w:tc>
        <w:tc>
          <w:tcPr>
            <w:tcW w:type="dxa" w:w="7597"/>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Ăn tối tại nhà hàng Khách sạn Công đoàn. Sau bữa tối tự do; không gala, karaoke hoặc vinh danh do Nét Việt tổ chức.</w:t>
            </w:r>
          </w:p>
        </w:tc>
      </w:tr>
    </w:tbl>
    <w:p>
      <w:pPr>
        <w:spacing w:after="0" w:line="240" w:lineRule="auto" w:before="0"/>
        <w:jc w:val="both"/>
      </w:pPr>
      <w:r>
        <w:rPr>
          <w:b w:val="0"/>
          <w:sz w:val="4"/>
        </w:rPr>
      </w:r>
    </w:p>
    <w:p>
      <w:pPr>
        <w:pStyle w:val="Heading2"/>
      </w:pPr>
      <w:r>
        <w:t>3. Lịch trình Chủ nhật và tiêu chuẩn phục vụ</w:t>
      </w:r>
    </w:p>
    <w:p>
      <w:pPr>
        <w:pStyle w:val="Caption"/>
        <w:jc w:val="both"/>
      </w:pPr>
      <w:r>
        <w:rPr>
          <w:b w:val="0"/>
        </w:rPr>
        <w:t>Bảng 9. Ngày 2 – nghỉ thêm một buổi sáng và trở về</w:t>
      </w:r>
    </w:p>
    <w:tbl>
      <w:tblPr>
        <w:tblW w:type="auto" w:w="0"/>
        <w:jc w:val="center"/>
        <w:tblLayout w:type="fixed"/>
        <w:tblLook w:firstColumn="1" w:firstRow="1" w:lastColumn="0" w:lastRow="0" w:noHBand="0" w:noVBand="1" w:val="04A0"/>
      </w:tblPr>
      <w:tblGrid>
        <w:gridCol w:w="1757"/>
        <w:gridCol w:w="7597"/>
      </w:tblGrid>
      <w:tr>
        <w:trPr>
          <w:tblHeader/>
          <w:cantSplit/>
        </w:trPr>
        <w:tc>
          <w:tcPr>
            <w:tcW w:type="dxa" w:w="1757"/>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shd w:fill="EAEAEA"/>
          </w:tcPr>
          <w:p>
            <w:pPr>
              <w:keepNext w:val="0"/>
              <w:spacing w:after="20" w:before="20" w:line="247" w:lineRule="auto"/>
            </w:pPr>
            <w:r>
              <w:rPr>
                <w:rFonts w:ascii="Times New Roman" w:hAnsi="Times New Roman"/>
                <w:b/>
                <w:sz w:val="23"/>
              </w:rPr>
              <w:t>Giờ dự kiến</w:t>
            </w:r>
          </w:p>
        </w:tc>
        <w:tc>
          <w:tcPr>
            <w:tcW w:type="dxa" w:w="7597"/>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shd w:fill="EAEAEA"/>
          </w:tcPr>
          <w:p>
            <w:pPr>
              <w:keepNext w:val="0"/>
              <w:spacing w:after="20" w:before="20" w:line="247" w:lineRule="auto"/>
            </w:pPr>
            <w:r>
              <w:rPr>
                <w:rFonts w:ascii="Times New Roman" w:hAnsi="Times New Roman"/>
                <w:b/>
                <w:sz w:val="23"/>
              </w:rPr>
              <w:t>Địa điểm và nội dung</w:t>
            </w:r>
          </w:p>
        </w:tc>
      </w:tr>
      <w:tr>
        <w:trPr>
          <w:cantSplit/>
        </w:trPr>
        <w:tc>
          <w:tcPr>
            <w:tcW w:type="dxa" w:w="1757"/>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07:30–09:00</w:t>
            </w:r>
          </w:p>
        </w:tc>
        <w:tc>
          <w:tcPr>
            <w:tcW w:type="dxa" w:w="7597"/>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Ăn sáng tại Khách sạn Công đoàn trong giờ phục vụ đã xác nhận; không bắt cả đoàn có mặt cùng một giờ.</w:t>
            </w:r>
          </w:p>
        </w:tc>
      </w:tr>
      <w:tr>
        <w:trPr>
          <w:cantSplit/>
        </w:trPr>
        <w:tc>
          <w:tcPr>
            <w:tcW w:type="dxa" w:w="1757"/>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09:00–11:00</w:t>
            </w:r>
          </w:p>
        </w:tc>
        <w:tc>
          <w:tcPr>
            <w:tcW w:type="dxa" w:w="7597"/>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Thời gian riêng trong khu nghỉ: nghỉ phòng, đi dạo, đọc sách hoặc trò chuyện. Lượt khoáng thứ hai và dịch vụ riêng ngoài gói không mặc nhiên được bao gồm.</w:t>
            </w:r>
          </w:p>
        </w:tc>
      </w:tr>
      <w:tr>
        <w:trPr>
          <w:cantSplit/>
        </w:trPr>
        <w:tc>
          <w:tcPr>
            <w:tcW w:type="dxa" w:w="1757"/>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11:00–13:00</w:t>
            </w:r>
          </w:p>
        </w:tc>
        <w:tc>
          <w:tcPr>
            <w:tcW w:type="dxa" w:w="7597"/>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Thu xếp hành lý, trả phòng trước 12:00; ăn trưa tại nhà hàng của khách sạn.</w:t>
            </w:r>
          </w:p>
        </w:tc>
      </w:tr>
      <w:tr>
        <w:trPr>
          <w:cantSplit/>
        </w:trPr>
        <w:tc>
          <w:tcPr>
            <w:tcW w:type="dxa" w:w="1757"/>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13:00–16:30</w:t>
            </w:r>
          </w:p>
        </w:tc>
        <w:tc>
          <w:tcPr>
            <w:tcW w:type="dxa" w:w="7597"/>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Trở về đúng điểm đón tại Hà Nội. Có thời gian dự phòng; không dừng mua sắm bắt buộc.</w:t>
            </w:r>
          </w:p>
        </w:tc>
      </w:tr>
    </w:tbl>
    <w:p>
      <w:pPr>
        <w:spacing w:after="0" w:line="240" w:lineRule="auto" w:before="0"/>
        <w:jc w:val="both"/>
      </w:pPr>
      <w:r>
        <w:rPr>
          <w:b w:val="0"/>
          <w:sz w:val="4"/>
        </w:rPr>
      </w:r>
    </w:p>
    <w:p>
      <w:pPr>
        <w:ind w:firstLine="397"/>
        <w:jc w:val="both"/>
      </w:pPr>
      <w:r>
        <w:rPr>
          <w:b w:val="0"/>
        </w:rPr>
        <w:t>Các mốc giờ là kế hoạch điều hành, chưa phải kết quả chạy thử. Giám đốc kiểm tra đường xe lớn, giờ nhận phòng và dịch vụ trước khi bán. Không đưa Thủy điện Hòa Bình hoặc điểm xa khác vào gói này. Nếu chậm đường, ưu tiên bỏ phần dạo chơi phụ, không rút ngắn quyền lợi chính đã bán mà không trao đổi với khách.</w:t>
      </w:r>
    </w:p>
    <w:p>
      <w:pPr>
        <w:ind w:firstLine="397"/>
        <w:jc w:val="both"/>
      </w:pPr>
      <w:r>
        <w:rPr>
          <w:b w:val="0"/>
        </w:rPr>
        <w:t>Giá gồm xe khứ hồi và chuyển điểm, một đêm phòng hai giường riêng cho hai người, một bữa sáng, ba bữa chính, vé ngày tại An Lạc, vật liệu và người hướng dẫn cơm lam, một lượt khoáng có mái che tại Công đoàn, hướng dẫn viên theo đoàn, bảo hiểm và nước. Không gồm rượu bia, spa, onsen riêng, vé khoáng bổ sung, chi tiêu cá nhân hoặc phòng tăng thêm.</w:t>
      </w:r>
    </w:p>
    <w:p>
      <w:pPr>
        <w:ind w:firstLine="397"/>
        <w:jc w:val="both"/>
      </w:pPr>
      <w:r>
        <w:rPr>
          <w:b w:val="0"/>
        </w:rPr>
        <w:t>Đây là cấu hình khách sạn và khoáng truyền thống, không phải gói resort sang trọng. Nước khoáng Kim Bôi được nguồn địa phương mô tả khoảng 34–36°C khi lộ thiên; không hứa nhiệt độ kiểu onsen rất nóng hoặc hiệu quả chữa bệnh. Phải xác nhận bể, nhiệt độ vận hành, trang phục, giờ phục vụ và quy định an toàn; một lượt tắm là quyền sử dụng theo quy định cơ sở, không phải quyền ở dưới nước nhiều giờ. [7]</w:t>
      </w:r>
    </w:p>
    <w:p>
      <w:pPr>
        <w:pStyle w:val="Heading2"/>
      </w:pPr>
      <w:r>
        <w:t>4. Giá bán, phòng nghỉ và cách tạo doanh thu</w:t>
      </w:r>
    </w:p>
    <w:p>
      <w:pPr>
        <w:ind w:firstLine="397"/>
        <w:jc w:val="both"/>
      </w:pPr>
      <w:r>
        <w:rPr>
          <w:b w:val="0"/>
        </w:rPr>
        <w:t>Giá tiêu chuẩn dự kiến 2,5 triệu đồng/người trước VAT, áp dụng số khách đã chốt từ 24 đến 30, theo tiêu chuẩn hai người/phòng. Khi dịch vụ đủ điều kiện giảm VAT 8% trong năm 2026, tổng giá là 2,7 triệu đồng/người. Trường hợp tính theo mức 10% để dự trù sau khi chính sách giảm thuế hết hạn, tổng là 2,75 triệu đồng; đây không phải dự báo chính sách năm 2027. Hợp đồng ghi mức thuế thực tế áp dụng. [5]</w:t>
      </w:r>
    </w:p>
    <w:p>
      <w:pPr>
        <w:ind w:firstLine="397"/>
        <w:jc w:val="both"/>
      </w:pPr>
      <w:r>
        <w:rPr>
          <w:b w:val="0"/>
        </w:rPr>
        <w:t>Số khách lẻ, nhu cầu phòng đơn hoặc cách ghép phòng làm tăng số phòng sẽ được tính riêng trước khi ký. Không ép hai đồng nghiệp dùng chung một giường. Đoàn dưới 24 hoặc trên 30 khách phải thiết kế và báo giá lại. Khách không tắm khoáng được trao đổi trước về dịch vụ thay thế hoặc phần tiền có thể giảm nếu nhà cung cấp hoàn được, không tự hứa hoàn một khoản cố định.</w:t>
      </w:r>
    </w:p>
    <w:p>
      <w:pPr>
        <w:ind w:firstLine="397"/>
        <w:jc w:val="both"/>
      </w:pPr>
      <w:r>
        <w:rPr>
          <w:b w:val="0"/>
        </w:rPr>
        <w:t>Ví dụ đoàn 28 khách mua theo giá tiêu chuẩn tạo doanh thu trước VAT 70 triệu đồng. Dự toán trực tiếp 54 triệu đồng được trả cho các nhà cung cấp và nhân sự chuyến; phần còn lại 16 triệu đồng dùng bù chi phí công ty. Đây chưa phải lãi ròng. Nét Việt chịu trách nhiệm tổ chức và đối soát toàn bộ gói, không chỉ hưởng phí giới thiệu khách sạn.</w:t>
      </w:r>
    </w:p>
    <w:p>
      <w:bookmarkStart w:id="104" w:name="sec_4"/>
      <w:pPr>
        <w:pStyle w:val="Heading1"/>
      </w:pPr>
      <w:r>
        <w:t>IV. CƠ CẤU TỔ CHỨC VÀ NHÂN SỰ</w:t>
      </w:r>
      <w:bookmarkEnd w:id="104"/>
    </w:p>
    <w:p>
      <w:pPr>
        <w:ind w:firstLine="397"/>
        <w:jc w:val="both"/>
      </w:pPr>
      <w:r>
        <w:rPr>
          <w:b w:val="0"/>
        </w:rPr>
        <w:t>Hội đồng thành viên gồm hai người góp vốn; Giám đốc điều hành công việc hằng ngày, người còn lại phụ trách bán hàng. Công ty chưa thành lập nhiều phòng ban khi mới vận hành một sản phẩm. Việc kế toán thuê theo hợp đồng dịch vụ thường xuyên; nhân sự phục vụ tour thuê theo chuyến.</w:t>
      </w:r>
    </w:p>
    <w:p>
      <w:pPr>
        <w:pStyle w:val="Caption"/>
        <w:jc w:val="both"/>
      </w:pPr>
      <w:r>
        <w:rPr>
          <w:b w:val="0"/>
        </w:rPr>
        <w:t>Bảng 10. Nhân sự và phân công</w:t>
      </w:r>
    </w:p>
    <w:tbl>
      <w:tblPr>
        <w:tblW w:type="auto" w:w="0"/>
        <w:jc w:val="center"/>
        <w:tblLayout w:type="fixed"/>
        <w:tblLook w:firstColumn="1" w:firstRow="1" w:lastColumn="0" w:lastRow="0" w:noHBand="0" w:noVBand="1" w:val="04A0"/>
      </w:tblPr>
      <w:tblGrid>
        <w:gridCol w:w="2324"/>
        <w:gridCol w:w="1928"/>
        <w:gridCol w:w="5102"/>
      </w:tblGrid>
      <w:tr>
        <w:trPr>
          <w:tblHeader/>
          <w:cantSplit/>
        </w:trPr>
        <w:tc>
          <w:tcPr>
            <w:tcW w:type="dxa" w:w="2324"/>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shd w:fill="EAEAEA"/>
          </w:tcPr>
          <w:p>
            <w:pPr>
              <w:keepNext w:val="0"/>
              <w:spacing w:after="20" w:before="20" w:line="247" w:lineRule="auto"/>
            </w:pPr>
            <w:r>
              <w:rPr>
                <w:rFonts w:ascii="Times New Roman" w:hAnsi="Times New Roman"/>
                <w:b/>
                <w:sz w:val="23"/>
              </w:rPr>
              <w:t>Vị trí</w:t>
            </w:r>
          </w:p>
        </w:tc>
        <w:tc>
          <w:tcPr>
            <w:tcW w:type="dxa" w:w="1928"/>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shd w:fill="EAEAEA"/>
          </w:tcPr>
          <w:p>
            <w:pPr>
              <w:keepNext w:val="0"/>
              <w:spacing w:after="20" w:before="20" w:line="247" w:lineRule="auto"/>
            </w:pPr>
            <w:r>
              <w:rPr>
                <w:rFonts w:ascii="Times New Roman" w:hAnsi="Times New Roman"/>
                <w:b/>
                <w:sz w:val="23"/>
              </w:rPr>
              <w:t>Bố trí</w:t>
            </w:r>
          </w:p>
        </w:tc>
        <w:tc>
          <w:tcPr>
            <w:tcW w:type="dxa" w:w="5102"/>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shd w:fill="EAEAEA"/>
          </w:tcPr>
          <w:p>
            <w:pPr>
              <w:keepNext w:val="0"/>
              <w:spacing w:after="20" w:before="20" w:line="247" w:lineRule="auto"/>
            </w:pPr>
            <w:r>
              <w:rPr>
                <w:rFonts w:ascii="Times New Roman" w:hAnsi="Times New Roman"/>
                <w:b/>
                <w:sz w:val="23"/>
              </w:rPr>
              <w:t>Nhiệm vụ và giới hạn trách nhiệm</w:t>
            </w:r>
          </w:p>
        </w:tc>
      </w:tr>
      <w:tr>
        <w:trPr>
          <w:cantSplit/>
        </w:trPr>
        <w:tc>
          <w:tcPr>
            <w:tcW w:type="dxa" w:w="2324"/>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Giám đốc, phụ trách lữ hành</w:t>
            </w:r>
          </w:p>
        </w:tc>
        <w:tc>
          <w:tcPr>
            <w:tcW w:type="dxa" w:w="1928"/>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1 người thường xuyên</w:t>
            </w:r>
          </w:p>
        </w:tc>
        <w:tc>
          <w:tcPr>
            <w:tcW w:type="dxa" w:w="5102"/>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Thiết kế và duyệt tour, chọn đối tác, ký hợp đồng, duyệt giá, kiểm tra pháp lý và trực xử lý sự cố.</w:t>
            </w:r>
          </w:p>
        </w:tc>
      </w:tr>
      <w:tr>
        <w:trPr>
          <w:cantSplit/>
        </w:trPr>
        <w:tc>
          <w:tcPr>
            <w:tcW w:type="dxa" w:w="2324"/>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Kinh doanh, chăm sóc khách</w:t>
            </w:r>
          </w:p>
        </w:tc>
        <w:tc>
          <w:tcPr>
            <w:tcW w:type="dxa" w:w="1928"/>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1 người thường xuyên</w:t>
            </w:r>
          </w:p>
        </w:tc>
        <w:tc>
          <w:tcPr>
            <w:tcW w:type="dxa" w:w="5102"/>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Tìm đầu mối doanh nghiệp, làm rõ ngân sách, tư vấn, theo dõi hợp đồng và thu tiền, nhận phản hồi.</w:t>
            </w:r>
          </w:p>
        </w:tc>
      </w:tr>
      <w:tr>
        <w:trPr>
          <w:cantSplit/>
        </w:trPr>
        <w:tc>
          <w:tcPr>
            <w:tcW w:type="dxa" w:w="2324"/>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Kế toán</w:t>
            </w:r>
          </w:p>
        </w:tc>
        <w:tc>
          <w:tcPr>
            <w:tcW w:type="dxa" w:w="1928"/>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Thuê ngoài theo tháng</w:t>
            </w:r>
          </w:p>
        </w:tc>
        <w:tc>
          <w:tcPr>
            <w:tcW w:type="dxa" w:w="5102"/>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Hóa đơn, thuế, sổ sách, công nợ; kiểm tra số tiền phải dành cho các nghĩa vụ đến hạn.</w:t>
            </w:r>
          </w:p>
        </w:tc>
      </w:tr>
      <w:tr>
        <w:trPr>
          <w:cantSplit/>
        </w:trPr>
        <w:tc>
          <w:tcPr>
            <w:tcW w:type="dxa" w:w="2324"/>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Hướng dẫn viên</w:t>
            </w:r>
          </w:p>
        </w:tc>
        <w:tc>
          <w:tcPr>
            <w:tcW w:type="dxa" w:w="1928"/>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1 người / chuyến 2N1Đ</w:t>
            </w:r>
          </w:p>
        </w:tc>
        <w:tc>
          <w:tcPr>
            <w:tcW w:type="dxa" w:w="5102"/>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Đón và kiểm đếm, phổ biến chương trình, hỗ trợ ăn nghỉ, chăm sóc đoàn; có thẻ và đủ điều kiện hành nghề.</w:t>
            </w:r>
          </w:p>
        </w:tc>
      </w:tr>
      <w:tr>
        <w:trPr>
          <w:cantSplit/>
        </w:trPr>
        <w:tc>
          <w:tcPr>
            <w:tcW w:type="dxa" w:w="2324"/>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Người hướng dẫn trải nghiệm</w:t>
            </w:r>
          </w:p>
        </w:tc>
        <w:tc>
          <w:tcPr>
            <w:tcW w:type="dxa" w:w="1928"/>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Thuê theo buổi tại An Lạc</w:t>
            </w:r>
          </w:p>
        </w:tc>
        <w:tc>
          <w:tcPr>
            <w:tcW w:type="dxa" w:w="5102"/>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Giới thiệu, chuẩn bị và hướng dẫn cơm lam; xử lý phần lửa, dụng cụ. Không thay hướng dẫn viên theo đoàn.</w:t>
            </w:r>
          </w:p>
        </w:tc>
      </w:tr>
      <w:tr>
        <w:trPr>
          <w:cantSplit/>
        </w:trPr>
        <w:tc>
          <w:tcPr>
            <w:tcW w:type="dxa" w:w="2324"/>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Lái xe, nhân sự bể khoáng và khách sạn</w:t>
            </w:r>
          </w:p>
        </w:tc>
        <w:tc>
          <w:tcPr>
            <w:tcW w:type="dxa" w:w="1928"/>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Do đơn vị cung ứng bố trí</w:t>
            </w:r>
          </w:p>
        </w:tc>
        <w:tc>
          <w:tcPr>
            <w:tcW w:type="dxa" w:w="5102"/>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Thực hiện chuyên môn tại cơ sở. Hướng dẫn viên không được coi là nhân viên cứu hộ hoặc người vận hành bể.</w:t>
            </w:r>
          </w:p>
        </w:tc>
      </w:tr>
    </w:tbl>
    <w:p>
      <w:pPr>
        <w:spacing w:after="0" w:line="240" w:lineRule="auto" w:before="0"/>
        <w:jc w:val="both"/>
      </w:pPr>
      <w:r>
        <w:rPr>
          <w:b w:val="0"/>
          <w:sz w:val="4"/>
        </w:rPr>
      </w:r>
    </w:p>
    <w:p>
      <w:pPr>
        <w:ind w:firstLine="397"/>
        <w:jc w:val="both"/>
      </w:pPr>
      <w:r>
        <w:rPr>
          <w:b w:val="0"/>
        </w:rPr>
        <w:t>Bỏ team building đồng nghĩa không thuê riêng người dẫn trò. Một hướng dẫn viên vẫn cần cho việc phục vụ đoàn hai ngày; Giám đốc trực điều hành, không đồng thời bỏ vị trí để phục vụ đoàn khác. Trong năm đầu chưa nhận hai đoàn có lịch trùng nhau. Khách tự chọn trong cùng khu nghỉ, không tổ chức nhiều nhánh tham quan ở các địa điểm tách biệt.</w:t>
      </w:r>
    </w:p>
    <w:p>
      <w:pPr>
        <w:ind w:firstLine="397"/>
        <w:jc w:val="both"/>
      </w:pPr>
      <w:r>
        <w:rPr>
          <w:b w:val="0"/>
        </w:rPr>
        <w:t>Ngân sách nhân sự thường xuyên 20 triệu đồng/tháng đã bao gồm khoản trả cho hai thành viên và các nghĩa vụ liên quan phía doanh nghiệp, không phải lương thực nhận. Khi triển khai, kế toán phải xác định đúng đối tượng và căn cứ đóng; nếu mức chi thực tế cao hơn ngân sách, phương án tài chính phải cập nhật, không để phát sinh một khoản ngoài dự toán.</w:t>
      </w:r>
    </w:p>
    <w:p>
      <w:pPr>
        <w:ind w:firstLine="397"/>
        <w:jc w:val="both"/>
      </w:pPr>
      <w:r>
        <w:rPr>
          <w:b w:val="0"/>
        </w:rPr>
        <w:t>Trước mỗi chuyến, Giám đốc bàn giao cho hướng dẫn viên danh sách khách, phòng, yêu cầu ăn uống, lịch tắm khoáng, số liên hệ hai cơ sở và cách xử lý khi chậm giờ. Nhân sự được quyền dừng hoạt động có nguy cơ mất an toàn; không phải chờ hoàn thành đủ lịch trình mới báo cáo.</w:t>
      </w:r>
    </w:p>
    <w:p>
      <w:bookmarkStart w:id="105" w:name="sec_5"/>
      <w:pPr>
        <w:pStyle w:val="Heading1"/>
      </w:pPr>
      <w:r>
        <w:t>V. NHÀ CUNG CẤP VÀ TỔ CHỨC TOUR</w:t>
      </w:r>
      <w:bookmarkEnd w:id="105"/>
    </w:p>
    <w:p>
      <w:pPr>
        <w:pStyle w:val="Heading2"/>
      </w:pPr>
      <w:r>
        <w:t>1. Lựa chọn và điều kiện đặt dịch vụ</w:t>
      </w:r>
    </w:p>
    <w:p>
      <w:pPr>
        <w:ind w:firstLine="397"/>
        <w:jc w:val="both"/>
      </w:pPr>
      <w:r>
        <w:rPr>
          <w:b w:val="0"/>
        </w:rPr>
        <w:t>Nhà cung cấp là những đơn vị được lựa chọn trong phương án, chưa phải đối tác đã ký. Giám đốc khảo sát chất lượng phòng và khu tắm, xin giá đúng cuối tuần và kiểm tra khả năng thực hiện từng hạng mục. Tổng số phòng mà một cơ sở công bố không đồng nghĩa có đủ phòng hai giường phù hợp cho ngày đoàn đi.</w:t>
      </w:r>
    </w:p>
    <w:p>
      <w:pPr>
        <w:pStyle w:val="Caption"/>
        <w:jc w:val="both"/>
      </w:pPr>
      <w:r>
        <w:rPr>
          <w:b w:val="0"/>
        </w:rPr>
        <w:t>Bảng 11. Điều kiện mua dịch vụ</w:t>
      </w:r>
    </w:p>
    <w:tbl>
      <w:tblPr>
        <w:tblW w:type="auto" w:w="0"/>
        <w:jc w:val="center"/>
        <w:tblLayout w:type="fixed"/>
        <w:tblLook w:firstColumn="1" w:firstRow="1" w:lastColumn="0" w:lastRow="0" w:noHBand="0" w:noVBand="1" w:val="04A0"/>
      </w:tblPr>
      <w:tblGrid>
        <w:gridCol w:w="2324"/>
        <w:gridCol w:w="7030"/>
      </w:tblGrid>
      <w:tr>
        <w:trPr>
          <w:tblHeader/>
          <w:cantSplit/>
        </w:trPr>
        <w:tc>
          <w:tcPr>
            <w:tcW w:type="dxa" w:w="2324"/>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shd w:fill="EAEAEA"/>
          </w:tcPr>
          <w:p>
            <w:pPr>
              <w:keepNext w:val="0"/>
              <w:spacing w:after="20" w:before="20" w:line="247" w:lineRule="auto"/>
            </w:pPr>
            <w:r>
              <w:rPr>
                <w:rFonts w:ascii="Times New Roman" w:hAnsi="Times New Roman"/>
                <w:b/>
                <w:sz w:val="23"/>
              </w:rPr>
              <w:t>Đầu mối</w:t>
            </w:r>
          </w:p>
        </w:tc>
        <w:tc>
          <w:tcPr>
            <w:tcW w:type="dxa" w:w="7030"/>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shd w:fill="EAEAEA"/>
          </w:tcPr>
          <w:p>
            <w:pPr>
              <w:keepNext w:val="0"/>
              <w:spacing w:after="20" w:before="20" w:line="247" w:lineRule="auto"/>
            </w:pPr>
            <w:r>
              <w:rPr>
                <w:rFonts w:ascii="Times New Roman" w:hAnsi="Times New Roman"/>
                <w:b/>
                <w:sz w:val="23"/>
              </w:rPr>
              <w:t>Nội dung phải được xác nhận trước khi chào bán chính thức</w:t>
            </w:r>
          </w:p>
        </w:tc>
      </w:tr>
      <w:tr>
        <w:trPr>
          <w:cantSplit/>
        </w:trPr>
        <w:tc>
          <w:tcPr>
            <w:tcW w:type="dxa" w:w="2324"/>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An Lạc</w:t>
            </w:r>
          </w:p>
        </w:tc>
        <w:tc>
          <w:tcPr>
            <w:tcW w:type="dxa" w:w="7030"/>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Vé ngày có những quyền lợi nào; khu nghỉ tạm, bữa trưa, người hướng dẫn, vật liệu cơm lam và thời lượng. Không mua mặc định gói gala; không coi khách đi ngày có toàn bộ quyền lợi của khách ngủ đêm.</w:t>
            </w:r>
          </w:p>
        </w:tc>
      </w:tr>
      <w:tr>
        <w:trPr>
          <w:cantSplit/>
        </w:trPr>
        <w:tc>
          <w:tcPr>
            <w:tcW w:type="dxa" w:w="2324"/>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Khách sạn Công đoàn Kim Bôi</w:t>
            </w:r>
          </w:p>
        </w:tc>
        <w:tc>
          <w:tcPr>
            <w:tcW w:type="dxa" w:w="7030"/>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12–15 phòng hai giường cho đoàn số chẵn, thêm phòng nếu cách ghép yêu cầu; phòng nhân sự tính riêng. Xác nhận vệ sinh, tiện nghi, khu phòng, bữa sáng và hai bữa chính, một lượt khoáng, mức độ ồn và giờ phục vụ.</w:t>
            </w:r>
          </w:p>
        </w:tc>
      </w:tr>
      <w:tr>
        <w:trPr>
          <w:cantSplit/>
        </w:trPr>
        <w:tc>
          <w:tcPr>
            <w:tcW w:type="dxa" w:w="2324"/>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Nhà xe</w:t>
            </w:r>
          </w:p>
        </w:tc>
        <w:tc>
          <w:tcPr>
            <w:tcW w:type="dxa" w:w="7030"/>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Xe đủ ghế hợp lệ cho tối đa 30 khách, hướng dẫn viên và lái xe; xe 35 chỗ dự kiến. Hợp đồng ghi khứ hồi, chuyển điểm, nhiên liệu, phí đường và đỗ xe; chế độ lái và nghỉ phù hợp.</w:t>
            </w:r>
          </w:p>
        </w:tc>
      </w:tr>
      <w:tr>
        <w:trPr>
          <w:cantSplit/>
        </w:trPr>
        <w:tc>
          <w:tcPr>
            <w:tcW w:type="dxa" w:w="2324"/>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Hướng dẫn viên, bảo hiểm</w:t>
            </w:r>
          </w:p>
        </w:tc>
        <w:tc>
          <w:tcPr>
            <w:tcW w:type="dxa" w:w="7030"/>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Hồ sơ hành nghề, công việc hai ngày, chi ăn nghỉ; bảo hiểm đúng chương trình, quyền lợi và điều khoản loại trừ được cung cấp cho khách.</w:t>
            </w:r>
          </w:p>
        </w:tc>
      </w:tr>
    </w:tbl>
    <w:p>
      <w:pPr>
        <w:spacing w:after="0" w:line="240" w:lineRule="auto" w:before="0"/>
        <w:jc w:val="both"/>
      </w:pPr>
      <w:r>
        <w:rPr>
          <w:b w:val="0"/>
          <w:sz w:val="4"/>
        </w:rPr>
      </w:r>
    </w:p>
    <w:p>
      <w:pPr>
        <w:ind w:firstLine="397"/>
        <w:jc w:val="both"/>
      </w:pPr>
      <w:r>
        <w:rPr>
          <w:b w:val="0"/>
        </w:rPr>
        <w:t>Nét Việt chọn phòng khách sạn có chất lượng đạt yêu cầu, không tự gắn hạng sao khi chưa có căn cứ. Nếu cơ sở có đoàn sự kiện gây ồn, không hứa một không gian yên tĩnh tuyệt đối; phải chọn khu phòng phù hợp hoặc đổi ngày trước khi ký. Nhà cung cấp thay thế chỉ được coi là sẵn sàng sau khi xác nhận ngày, tiêu chuẩn và giá; chưa có xác nhận thì không nhận cam kết thay thế với khách.</w:t>
      </w:r>
    </w:p>
    <w:p>
      <w:pPr>
        <w:pStyle w:val="Heading2"/>
      </w:pPr>
      <w:r>
        <w:t>2. Công việc trước, trong và sau tour</w:t>
      </w:r>
    </w:p>
    <w:p>
      <w:pPr>
        <w:ind w:firstLine="397"/>
        <w:jc w:val="both"/>
      </w:pPr>
      <w:r>
        <w:rPr>
          <w:b w:val="0"/>
        </w:rPr>
        <w:t>Trước tour, kinh doanh hỏi số người, mục đích phúc lợi, ngân sách tổng sau thuế và người có quyền duyệt. Giám đốc xác nhận dịch vụ, chốt danh sách và cách ghép phòng trước ngày đi bảy ngày, mua bảo hiểm và giao hồ sơ cho hướng dẫn viên. Người mua đồng ý không chèn hoạt động công việc hoặc thi đua vào thời gian nghỉ đã công bố.</w:t>
      </w:r>
    </w:p>
    <w:p>
      <w:pPr>
        <w:ind w:firstLine="397"/>
        <w:jc w:val="both"/>
      </w:pPr>
      <w:r>
        <w:rPr>
          <w:b w:val="0"/>
        </w:rPr>
        <w:t>Trong tour, hướng dẫn viên đón, kiểm đếm, phối hợp bữa ăn, phòng và quyền lợi khoáng. Khách không tham gia cơm lam có thể quan sát hoặc nghỉ ở khu đã thống nhất; khách không tắm vẫn được sử dụng phòng và không gian chung. Không ai bị ép dùng lửa, xuống nước hoặc uống rượu. Khi thời tiết, bể tắm hay đường đi không an toàn, điều hành dừng hoạt động và phối hợp cơ sở xử lý.</w:t>
      </w:r>
    </w:p>
    <w:p>
      <w:pPr>
        <w:ind w:firstLine="397"/>
        <w:jc w:val="both"/>
      </w:pPr>
      <w:r>
        <w:rPr>
          <w:b w:val="0"/>
        </w:rPr>
        <w:t>Sau tour, công ty nhận phản hồi trong 48 giờ, kiểm tra sai lệch dịch vụ và đối soát từng khoản. Hồ sơ lưu gồm hợp đồng, danh sách, xác nhận dịch vụ, hóa đơn, quyết toán và nội dung khiếu nại. Ảnh khách và thông tin cá nhân không được sử dụng quảng cáo khi chưa được đồng ý.</w:t>
      </w:r>
    </w:p>
    <w:p>
      <w:pPr>
        <w:pStyle w:val="Heading2"/>
      </w:pPr>
      <w:r>
        <w:t>3. Thanh toán và thay đổi chương trình</w:t>
      </w:r>
    </w:p>
    <w:p>
      <w:pPr>
        <w:ind w:firstLine="397"/>
        <w:jc w:val="both"/>
      </w:pPr>
      <w:r>
        <w:rPr>
          <w:b w:val="0"/>
        </w:rPr>
        <w:t>Dự kiến thu 70% khi ký sau khi đã xác nhận khả năng phục vụ, 30% còn lại trước ngày đi bảy ngày. Đây là điều kiện Nét Việt đề xuất với khách, không phải điều khoản đã được nhà cung cấp chấp nhận. Lịch trả từng bên được đối chiếu trước; nếu phải ứng tiền sớm, công ty sử dụng vốn lưu động, không dùng ký quỹ.</w:t>
      </w:r>
    </w:p>
    <w:p>
      <w:pPr>
        <w:ind w:firstLine="397"/>
        <w:jc w:val="both"/>
      </w:pPr>
      <w:r>
        <w:rPr>
          <w:b w:val="0"/>
        </w:rPr>
        <w:t>Khi khách đổi, giảm người hoặc hủy, hai bên đối soát dịch vụ đã thực hiện và chi phí thực sự không thu hồi được theo thỏa thuận, rồi hoàn phần còn lại. Không coi toàn bộ tiền đã chuyển cho nhà cung cấp là đương nhiên mất. Công ty không tăng giá hoặc cắt dịch vụ sau khi ký nếu chưa có căn cứ hợp đồng và thỏa thuận phù hợp với khách. [1]</w:t>
      </w:r>
    </w:p>
    <w:p>
      <w:bookmarkStart w:id="106" w:name="sec_6"/>
      <w:pPr>
        <w:pStyle w:val="Heading1"/>
      </w:pPr>
      <w:r>
        <w:t>VI. MARKETING VÀ BÁN HÀNG</w:t>
      </w:r>
      <w:bookmarkEnd w:id="106"/>
    </w:p>
    <w:p>
      <w:pPr>
        <w:pStyle w:val="Heading2"/>
      </w:pPr>
      <w:r>
        <w:t>1. Cách giới thiệu sản phẩm</w:t>
      </w:r>
    </w:p>
    <w:p>
      <w:pPr>
        <w:ind w:firstLine="397"/>
        <w:jc w:val="both"/>
      </w:pPr>
      <w:r>
        <w:rPr>
          <w:b w:val="0"/>
        </w:rPr>
        <w:t>Nét Việt không quảng cáo tour này là phương pháp chữa bệnh, kỳ nghỉ biệt lập hoặc chương trình nâng năng suất. Nội dung chào bán tập trung vào câu hỏi thực tế: nhân viên sẽ ngủ ở đâu, dùng bể khoáng nào, được nghỉ lúc nào, có bị buộc chơi trò tập thể không và doanh nghiệp phải trả tổng bao nhiêu. Hình ảnh dùng đúng cơ sở và hạng phòng dự kiến, không dùng ảnh resort khác để tạo kỳ vọng sai.</w:t>
      </w:r>
    </w:p>
    <w:p>
      <w:pPr>
        <w:ind w:firstLine="397"/>
        <w:jc w:val="both"/>
      </w:pPr>
      <w:r>
        <w:rPr>
          <w:b w:val="0"/>
        </w:rPr>
        <w:t>Bộ giới thiệu gồm lịch trình hai ngày, ảnh và tiêu chuẩn phòng được cơ sở xác nhận, quyền lợi một lượt khoáng, mô tả cơm lam, giá trước và sau thuế, điều kiện ghép phòng và hủy. Công ty dùng một tình huống khách hàng mô phỏng để giải thích sản phẩm, nhưng không trình bày thành khách đã mua hoặc phản hồi thật.</w:t>
      </w:r>
    </w:p>
    <w:p>
      <w:pPr>
        <w:pStyle w:val="Heading2"/>
      </w:pPr>
      <w:r>
        <w:t>2. Kênh bán và việc thực hiện</w:t>
      </w:r>
    </w:p>
    <w:p>
      <w:pPr>
        <w:pStyle w:val="Caption"/>
        <w:jc w:val="both"/>
      </w:pPr>
      <w:r>
        <w:rPr>
          <w:b w:val="0"/>
        </w:rPr>
        <w:t>Bảng 12. Triển khai marketing và bán hàng</w:t>
      </w:r>
    </w:p>
    <w:tbl>
      <w:tblPr>
        <w:tblW w:type="auto" w:w="0"/>
        <w:jc w:val="center"/>
        <w:tblLayout w:type="fixed"/>
        <w:tblLook w:firstColumn="1" w:firstRow="1" w:lastColumn="0" w:lastRow="0" w:noHBand="0" w:noVBand="1" w:val="04A0"/>
      </w:tblPr>
      <w:tblGrid>
        <w:gridCol w:w="2268"/>
        <w:gridCol w:w="7087"/>
      </w:tblGrid>
      <w:tr>
        <w:trPr>
          <w:tblHeader/>
          <w:cantSplit/>
        </w:trPr>
        <w:tc>
          <w:tcPr>
            <w:tcW w:type="dxa" w:w="2268"/>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shd w:fill="EAEAEA"/>
          </w:tcPr>
          <w:p>
            <w:pPr>
              <w:keepNext w:val="0"/>
              <w:spacing w:after="20" w:before="20" w:line="247" w:lineRule="auto"/>
            </w:pPr>
            <w:r>
              <w:rPr>
                <w:rFonts w:ascii="Times New Roman" w:hAnsi="Times New Roman"/>
                <w:b/>
                <w:sz w:val="23"/>
              </w:rPr>
              <w:t>Kênh / công việc</w:t>
            </w:r>
          </w:p>
        </w:tc>
        <w:tc>
          <w:tcPr>
            <w:tcW w:type="dxa" w:w="7087"/>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shd w:fill="EAEAEA"/>
          </w:tcPr>
          <w:p>
            <w:pPr>
              <w:keepNext w:val="0"/>
              <w:spacing w:after="20" w:before="20" w:line="247" w:lineRule="auto"/>
            </w:pPr>
            <w:r>
              <w:rPr>
                <w:rFonts w:ascii="Times New Roman" w:hAnsi="Times New Roman"/>
                <w:b/>
                <w:sz w:val="23"/>
              </w:rPr>
              <w:t>Cách làm và kết quả theo dõi</w:t>
            </w:r>
          </w:p>
        </w:tc>
      </w:tr>
      <w:tr>
        <w:trPr>
          <w:cantSplit/>
        </w:trPr>
        <w:tc>
          <w:tcPr>
            <w:tcW w:type="dxa" w:w="2268"/>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Tiếp cận trực tiếp</w:t>
            </w:r>
          </w:p>
        </w:tc>
        <w:tc>
          <w:tcPr>
            <w:tcW w:type="dxa" w:w="7087"/>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Người kinh doanh liên hệ hành chính, nhân sự hoặc đại diện phòng ban tại Hà Nội qua đầu mối phù hợp. Hỏi ngày, số người, ngân sách và người duyệt trước khi gửi báo giá.</w:t>
            </w:r>
          </w:p>
        </w:tc>
      </w:tr>
      <w:tr>
        <w:trPr>
          <w:cantSplit/>
        </w:trPr>
        <w:tc>
          <w:tcPr>
            <w:tcW w:type="dxa" w:w="2268"/>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Website, Facebook, TikTok</w:t>
            </w:r>
          </w:p>
        </w:tc>
        <w:tc>
          <w:tcPr>
            <w:tcW w:type="dxa" w:w="7087"/>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Dùng trang giới thiệu gọn và nội dung về hành trình, phòng, khoáng, câu hỏi thường gặp. Mục đích là hỗ trợ kiểm tra dịch vụ, không mở chiến dịch đại trà vượt ngân sách.</w:t>
            </w:r>
          </w:p>
        </w:tc>
      </w:tr>
      <w:tr>
        <w:trPr>
          <w:cantSplit/>
        </w:trPr>
        <w:tc>
          <w:tcPr>
            <w:tcW w:type="dxa" w:w="2268"/>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Theo dõi báo giá</w:t>
            </w:r>
          </w:p>
        </w:tc>
        <w:tc>
          <w:tcPr>
            <w:tcW w:type="dxa" w:w="7087"/>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Ghi đầu mối có nhu cầu, ngày dự kiến, số khách, ngân sách, báo giá, hợp đồng và tiền thu. Ghi cả lý do không mua: giá, lịch, tiêu chuẩn phòng hoặc thích sản phẩm khác.</w:t>
            </w:r>
          </w:p>
        </w:tc>
      </w:tr>
      <w:tr>
        <w:trPr>
          <w:cantSplit/>
        </w:trPr>
        <w:tc>
          <w:tcPr>
            <w:tcW w:type="dxa" w:w="2268"/>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Khách đã phục vụ</w:t>
            </w:r>
          </w:p>
        </w:tc>
        <w:tc>
          <w:tcPr>
            <w:tcW w:type="dxa" w:w="7087"/>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Hỏi trải nghiệm, xử lý vấn đề, ghi thời điểm có thể tổ chức lại. Đề nghị giới thiệu khi phù hợp; không tính đơn giới thiệu là nguồn doanh thu chắc chắn.</w:t>
            </w:r>
          </w:p>
        </w:tc>
      </w:tr>
    </w:tbl>
    <w:p>
      <w:pPr>
        <w:spacing w:after="0" w:line="240" w:lineRule="auto" w:before="0"/>
        <w:jc w:val="both"/>
      </w:pPr>
      <w:r>
        <w:rPr>
          <w:b w:val="0"/>
          <w:sz w:val="4"/>
        </w:rPr>
      </w:r>
    </w:p>
    <w:p>
      <w:pPr>
        <w:pStyle w:val="Heading2"/>
      </w:pPr>
      <w:r>
        <w:t>3. Ngân sách và điều kiện mở bán</w:t>
      </w:r>
    </w:p>
    <w:p>
      <w:pPr>
        <w:keepLines/>
        <w:ind w:firstLine="397"/>
        <w:jc w:val="both"/>
      </w:pPr>
      <w:r>
        <w:rPr>
          <w:b w:val="0"/>
        </w:rPr>
        <w:t>Ngân sách ban đầu 10 triệu đồng dành cho website và tài liệu giới thiệu, nằm trong chi phí khởi động. Ngân sách thường xuyên 2 triệu đồng/tháng gồm 1 triệu cho nội dung và tài liệu, 0,5 triệu cho đi lại gặp khách, 0,5 triệu thử phân phối nội dung có mục tiêu. Lương bán hàng đã nằm trong chi nhân sự, không cộng lần hai. Năm đầu chưa dùng cộng tác viên có hoa hồng; nếu mở kênh này phải tính thêm chi phí trước khi trả ưu đãi.</w:t>
      </w:r>
    </w:p>
    <w:p>
      <w:pPr>
        <w:ind w:firstLine="397"/>
        <w:jc w:val="both"/>
      </w:pPr>
      <w:r>
        <w:rPr>
          <w:b w:val="0"/>
        </w:rPr>
        <w:t>Giai đoạn chuẩn bị cần thu thập phản hồi thật từ một số người duyệt hoặc chuẩn bị chuyến đi, hỏi giá cùng cấu hình và tổ chức kiểm tra dịch vụ. Không đặt tỷ lệ chuyển đổi giả. Chỉ tiêu 24 đoàn của năm đầu là mục tiêu phải đạt qua bán hàng, không phải sản lượng suy ra từ số doanh nghiệp ở Hà Nội.</w:t>
      </w:r>
    </w:p>
    <w:p>
      <w:pPr>
        <w:ind w:firstLine="397"/>
        <w:jc w:val="both"/>
      </w:pPr>
      <w:r>
        <w:rPr>
          <w:b w:val="0"/>
        </w:rPr>
        <w:t>Nếu khách chủ yếu từ chối vì chất lượng phòng hoặc giá tổng, công ty phải sửa cấu hình hoặc lựa chọn phân khúc; không chỉ tăng quảng cáo. Nếu mua được phòng nhưng không thực hiện được lượt khoáng hay trải nghiệm đã hứa, chưa mở bán gói tiêu chuẩn. Mức giá dự kiến chỉ được chuyển thành báo giá chính thức sau khi khóa được chi phí và điều kiện phục vụ cho ngày cụ thể.</w:t>
      </w:r>
    </w:p>
    <w:p>
      <w:bookmarkStart w:id="107" w:name="sec_7"/>
      <w:pPr>
        <w:pStyle w:val="Heading1"/>
      </w:pPr>
      <w:r>
        <w:t>VII. PHƯƠNG ÁN TÀI CHÍNH</w:t>
      </w:r>
      <w:bookmarkEnd w:id="107"/>
    </w:p>
    <w:p>
      <w:pPr>
        <w:ind w:firstLine="397"/>
        <w:jc w:val="both"/>
      </w:pPr>
      <w:r>
        <w:rPr>
          <w:b w:val="0"/>
        </w:rPr>
        <w:t>Đơn vị trong phần này là triệu đồng. Doanh thu chưa gồm VAT. Chi phí đã tính phần thuế không được khấu trừ và không bao gồm VAT đầu vào đủ điều kiện khấu trừ. Mỗi hóa đơn có cách xử lý riêng; không áp một thuế suất cho xe, bảo hiểm, vé và lưu trú. Các giá mua dưới đây là ngân sách dự kiến, chưa phải báo giá dành cho Nét Việt.</w:t>
      </w:r>
    </w:p>
    <w:p>
      <w:pPr>
        <w:pStyle w:val="Heading2"/>
      </w:pPr>
      <w:r>
        <w:t>1. Vốn đầu tư, vốn lưu động và chi hoạt động</w:t>
      </w:r>
    </w:p>
    <w:p>
      <w:pPr>
        <w:pStyle w:val="Caption"/>
        <w:jc w:val="both"/>
      </w:pPr>
      <w:r>
        <w:rPr>
          <w:b w:val="0"/>
        </w:rPr>
        <w:t>Bảng 13. Phân bổ vốn ban đầu</w:t>
      </w:r>
    </w:p>
    <w:tbl>
      <w:tblPr>
        <w:tblW w:type="auto" w:w="0"/>
        <w:jc w:val="center"/>
        <w:tblLayout w:type="fixed"/>
        <w:tblLook w:firstColumn="1" w:firstRow="1" w:lastColumn="0" w:lastRow="0" w:noHBand="0" w:noVBand="1" w:val="04A0"/>
      </w:tblPr>
      <w:tblGrid>
        <w:gridCol w:w="2891"/>
        <w:gridCol w:w="1134"/>
        <w:gridCol w:w="5329"/>
      </w:tblGrid>
      <w:tr>
        <w:trPr>
          <w:tblHeader/>
          <w:cantSplit/>
        </w:trPr>
        <w:tc>
          <w:tcPr>
            <w:tcW w:type="dxa" w:w="2891"/>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shd w:fill="EAEAEA"/>
          </w:tcPr>
          <w:p>
            <w:pPr>
              <w:keepNext w:val="0"/>
              <w:spacing w:after="20" w:before="20" w:line="247" w:lineRule="auto"/>
            </w:pPr>
            <w:r>
              <w:rPr>
                <w:rFonts w:ascii="Times New Roman" w:hAnsi="Times New Roman"/>
                <w:b/>
                <w:sz w:val="23"/>
              </w:rPr>
              <w:t>Khoản sử dụng vốn</w:t>
            </w:r>
          </w:p>
        </w:tc>
        <w:tc>
          <w:tcPr>
            <w:tcW w:type="dxa" w:w="1134"/>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shd w:fill="EAEAEA"/>
          </w:tcPr>
          <w:p>
            <w:pPr>
              <w:keepNext w:val="0"/>
              <w:spacing w:after="20" w:before="20" w:line="247" w:lineRule="auto"/>
            </w:pPr>
            <w:r>
              <w:rPr>
                <w:rFonts w:ascii="Times New Roman" w:hAnsi="Times New Roman"/>
                <w:b/>
                <w:sz w:val="23"/>
              </w:rPr>
              <w:t>Số tiền</w:t>
            </w:r>
          </w:p>
        </w:tc>
        <w:tc>
          <w:tcPr>
            <w:tcW w:type="dxa" w:w="5329"/>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shd w:fill="EAEAEA"/>
          </w:tcPr>
          <w:p>
            <w:pPr>
              <w:keepNext w:val="0"/>
              <w:spacing w:after="20" w:before="20" w:line="247" w:lineRule="auto"/>
            </w:pPr>
            <w:r>
              <w:rPr>
                <w:rFonts w:ascii="Times New Roman" w:hAnsi="Times New Roman"/>
                <w:b/>
                <w:sz w:val="23"/>
              </w:rPr>
              <w:t>Cách xử lý</w:t>
            </w:r>
          </w:p>
        </w:tc>
      </w:tr>
      <w:tr>
        <w:trPr>
          <w:cantSplit/>
        </w:trPr>
        <w:tc>
          <w:tcPr>
            <w:tcW w:type="dxa" w:w="2891"/>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Ký quỹ lữ hành</w:t>
            </w:r>
          </w:p>
        </w:tc>
        <w:tc>
          <w:tcPr>
            <w:tcW w:type="dxa" w:w="1134"/>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100</w:t>
            </w:r>
          </w:p>
        </w:tc>
        <w:tc>
          <w:tcPr>
            <w:tcW w:type="dxa" w:w="5329"/>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Tài sản duy trì điều kiện; không dùng trả dịch vụ.</w:t>
            </w:r>
          </w:p>
        </w:tc>
      </w:tr>
      <w:tr>
        <w:trPr>
          <w:cantSplit/>
        </w:trPr>
        <w:tc>
          <w:tcPr>
            <w:tcW w:type="dxa" w:w="2891"/>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Thiết bị dùng lại</w:t>
            </w:r>
          </w:p>
        </w:tc>
        <w:tc>
          <w:tcPr>
            <w:tcW w:type="dxa" w:w="1134"/>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20</w:t>
            </w:r>
          </w:p>
        </w:tc>
        <w:tc>
          <w:tcPr>
            <w:tcW w:type="dxa" w:w="5329"/>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Máy tính, thiết bị văn phòng; phân bổ quản trị 24 tháng, 10 triệu trong năm đầu.</w:t>
            </w:r>
          </w:p>
        </w:tc>
      </w:tr>
      <w:tr>
        <w:trPr>
          <w:cantSplit/>
        </w:trPr>
        <w:tc>
          <w:tcPr>
            <w:tcW w:type="dxa" w:w="2891"/>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Khởi động</w:t>
            </w:r>
          </w:p>
        </w:tc>
        <w:tc>
          <w:tcPr>
            <w:tcW w:type="dxa" w:w="1134"/>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30</w:t>
            </w:r>
          </w:p>
        </w:tc>
        <w:tc>
          <w:tcPr>
            <w:tcW w:type="dxa" w:w="5329"/>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10 marketing ban đầu + 20 thành lập, khảo sát và chạy thử; tính chi phí năm đầu, không trùng chi tháng.</w:t>
            </w:r>
          </w:p>
        </w:tc>
      </w:tr>
      <w:tr>
        <w:trPr>
          <w:cantSplit/>
        </w:trPr>
        <w:tc>
          <w:tcPr>
            <w:tcW w:type="dxa" w:w="2891"/>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Vốn lưu động</w:t>
            </w:r>
          </w:p>
        </w:tc>
        <w:tc>
          <w:tcPr>
            <w:tcW w:type="dxa" w:w="1134"/>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150</w:t>
            </w:r>
          </w:p>
        </w:tc>
        <w:tc>
          <w:tcPr>
            <w:tcW w:type="dxa" w:w="5329"/>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Chi duy trì khi chưa bán đủ tour và ứng dịch vụ theo hợp đồng.</w:t>
            </w:r>
          </w:p>
        </w:tc>
      </w:tr>
      <w:tr>
        <w:trPr>
          <w:cantSplit/>
        </w:trPr>
        <w:tc>
          <w:tcPr>
            <w:tcW w:type="dxa" w:w="2891"/>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Dự phòng tiền mặt</w:t>
            </w:r>
          </w:p>
        </w:tc>
        <w:tc>
          <w:tcPr>
            <w:tcW w:type="dxa" w:w="1134"/>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100</w:t>
            </w:r>
          </w:p>
        </w:tc>
        <w:tc>
          <w:tcPr>
            <w:tcW w:type="dxa" w:w="5329"/>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Khách chậm trả, đổi/hủy và chi bất thường; là tiền dự trữ, không tự ghi thành chi phí.</w:t>
            </w:r>
          </w:p>
        </w:tc>
      </w:tr>
      <w:tr>
        <w:trPr>
          <w:cantSplit/>
        </w:trPr>
        <w:tc>
          <w:tcPr>
            <w:tcW w:type="dxa" w:w="2891"/>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Tổng vốn góp</w:t>
            </w:r>
          </w:p>
        </w:tc>
        <w:tc>
          <w:tcPr>
            <w:tcW w:type="dxa" w:w="1134"/>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400</w:t>
            </w:r>
          </w:p>
        </w:tc>
        <w:tc>
          <w:tcPr>
            <w:tcW w:type="dxa" w:w="5329"/>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Hai thành viên góp 200 triệu/người, không vay.</w:t>
            </w:r>
          </w:p>
        </w:tc>
      </w:tr>
    </w:tbl>
    <w:p>
      <w:pPr>
        <w:spacing w:after="0" w:line="240" w:lineRule="auto" w:before="0"/>
        <w:jc w:val="both"/>
      </w:pPr>
      <w:r>
        <w:rPr>
          <w:b w:val="0"/>
          <w:sz w:val="4"/>
        </w:rPr>
      </w:r>
    </w:p>
    <w:p>
      <w:pPr>
        <w:ind w:firstLine="397"/>
        <w:jc w:val="both"/>
      </w:pPr>
      <w:r>
        <w:rPr>
          <w:b w:val="0"/>
        </w:rPr>
        <w:t>Chi duy trì bằng tiền là 25 triệu đồng/tháng: nhân sự 20 triệu (Giám đốc 12, kinh doanh 8); văn phòng, liên lạc và kế toán 3 triệu; marketing 2 triệu. Hai tháng chuẩn bị vẫn tính đủ mức này. Phân bổ thiết bị 10 triệu/năm được tính riêng khi xác định lợi nhuận; không phải chi tiền lần hai.</w:t>
      </w:r>
    </w:p>
    <w:p>
      <w:pPr>
        <w:pStyle w:val="Heading2"/>
      </w:pPr>
      <w:r>
        <w:t>2. Dự toán giá thành: tách khách, phòng và chuyến</w:t>
      </w:r>
    </w:p>
    <w:p>
      <w:pPr>
        <w:pStyle w:val="Caption"/>
        <w:jc w:val="both"/>
      </w:pPr>
      <w:r>
        <w:rPr>
          <w:b w:val="0"/>
        </w:rPr>
        <w:t>Bảng 14. Cấu trúc chi phí trực tiếp</w:t>
      </w:r>
    </w:p>
    <w:tbl>
      <w:tblPr>
        <w:tblW w:type="auto" w:w="0"/>
        <w:jc w:val="center"/>
        <w:tblLayout w:type="fixed"/>
        <w:tblLook w:firstColumn="1" w:firstRow="1" w:lastColumn="0" w:lastRow="0" w:noHBand="0" w:noVBand="1" w:val="04A0"/>
      </w:tblPr>
      <w:tblGrid>
        <w:gridCol w:w="2381"/>
        <w:gridCol w:w="2381"/>
        <w:gridCol w:w="4592"/>
      </w:tblGrid>
      <w:tr>
        <w:trPr>
          <w:tblHeader/>
          <w:cantSplit/>
        </w:trPr>
        <w:tc>
          <w:tcPr>
            <w:tcW w:type="dxa" w:w="2381"/>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shd w:fill="EAEAEA"/>
          </w:tcPr>
          <w:p>
            <w:pPr>
              <w:keepNext w:val="0"/>
              <w:spacing w:after="20" w:before="20" w:line="247" w:lineRule="auto"/>
            </w:pPr>
            <w:r>
              <w:rPr>
                <w:rFonts w:ascii="Times New Roman" w:hAnsi="Times New Roman"/>
                <w:b/>
                <w:sz w:val="23"/>
              </w:rPr>
              <w:t>Nhóm chi</w:t>
            </w:r>
          </w:p>
        </w:tc>
        <w:tc>
          <w:tcPr>
            <w:tcW w:type="dxa" w:w="2381"/>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shd w:fill="EAEAEA"/>
          </w:tcPr>
          <w:p>
            <w:pPr>
              <w:keepNext w:val="0"/>
              <w:spacing w:after="20" w:before="20" w:line="247" w:lineRule="auto"/>
            </w:pPr>
            <w:r>
              <w:rPr>
                <w:rFonts w:ascii="Times New Roman" w:hAnsi="Times New Roman"/>
                <w:b/>
                <w:sz w:val="23"/>
              </w:rPr>
              <w:t>Đơn vị mua / mức dự toán</w:t>
            </w:r>
          </w:p>
        </w:tc>
        <w:tc>
          <w:tcPr>
            <w:tcW w:type="dxa" w:w="4592"/>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shd w:fill="EAEAEA"/>
          </w:tcPr>
          <w:p>
            <w:pPr>
              <w:keepNext w:val="0"/>
              <w:spacing w:after="20" w:before="20" w:line="247" w:lineRule="auto"/>
            </w:pPr>
            <w:r>
              <w:rPr>
                <w:rFonts w:ascii="Times New Roman" w:hAnsi="Times New Roman"/>
                <w:b/>
                <w:sz w:val="23"/>
              </w:rPr>
              <w:t>Nội dung</w:t>
            </w:r>
          </w:p>
        </w:tc>
      </w:tr>
      <w:tr>
        <w:trPr>
          <w:cantSplit/>
        </w:trPr>
        <w:tc>
          <w:tcPr>
            <w:tcW w:type="dxa" w:w="2381"/>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Ăn ba bữa chính</w:t>
            </w:r>
          </w:p>
        </w:tc>
        <w:tc>
          <w:tcPr>
            <w:tcW w:type="dxa" w:w="2381"/>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0,60 / khách</w:t>
            </w:r>
          </w:p>
        </w:tc>
        <w:tc>
          <w:tcPr>
            <w:tcW w:type="dxa" w:w="4592"/>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0,20 mỗi bữa; không tính lại bữa sáng trong phòng.</w:t>
            </w:r>
          </w:p>
        </w:tc>
      </w:tr>
      <w:tr>
        <w:trPr>
          <w:cantSplit/>
        </w:trPr>
        <w:tc>
          <w:tcPr>
            <w:tcW w:type="dxa" w:w="2381"/>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Vé ngày An Lạc</w:t>
            </w:r>
          </w:p>
        </w:tc>
        <w:tc>
          <w:tcPr>
            <w:tcW w:type="dxa" w:w="2381"/>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0,15 / khách</w:t>
            </w:r>
          </w:p>
        </w:tc>
        <w:tc>
          <w:tcPr>
            <w:tcW w:type="dxa" w:w="4592"/>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Dự toán quyền vào khu, không mặc định có mọi tiện ích.</w:t>
            </w:r>
          </w:p>
        </w:tc>
      </w:tr>
      <w:tr>
        <w:trPr>
          <w:cantSplit/>
        </w:trPr>
        <w:tc>
          <w:tcPr>
            <w:tcW w:type="dxa" w:w="2381"/>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Vật liệu cơm lam</w:t>
            </w:r>
          </w:p>
        </w:tc>
        <w:tc>
          <w:tcPr>
            <w:tcW w:type="dxa" w:w="2381"/>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0,07 / khách</w:t>
            </w:r>
          </w:p>
        </w:tc>
        <w:tc>
          <w:tcPr>
            <w:tcW w:type="dxa" w:w="4592"/>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Tách khỏi tiền người hướng dẫn theo buổi.</w:t>
            </w:r>
          </w:p>
        </w:tc>
      </w:tr>
      <w:tr>
        <w:trPr>
          <w:cantSplit/>
        </w:trPr>
        <w:tc>
          <w:tcPr>
            <w:tcW w:type="dxa" w:w="2381"/>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Một lượt khoáng Công đoàn</w:t>
            </w:r>
          </w:p>
        </w:tc>
        <w:tc>
          <w:tcPr>
            <w:tcW w:type="dxa" w:w="2381"/>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0,12 / khách</w:t>
            </w:r>
          </w:p>
        </w:tc>
        <w:tc>
          <w:tcPr>
            <w:tcW w:type="dxa" w:w="4592"/>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Bể chung có mái che; không phải onsen riêng.</w:t>
            </w:r>
          </w:p>
        </w:tc>
      </w:tr>
      <w:tr>
        <w:trPr>
          <w:cantSplit/>
        </w:trPr>
        <w:tc>
          <w:tcPr>
            <w:tcW w:type="dxa" w:w="2381"/>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Bảo hiểm, nước</w:t>
            </w:r>
          </w:p>
        </w:tc>
        <w:tc>
          <w:tcPr>
            <w:tcW w:type="dxa" w:w="2381"/>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0,06 / khách</w:t>
            </w:r>
          </w:p>
        </w:tc>
        <w:tc>
          <w:tcPr>
            <w:tcW w:type="dxa" w:w="4592"/>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Mua theo danh sách và chương trình.</w:t>
            </w:r>
          </w:p>
        </w:tc>
      </w:tr>
      <w:tr>
        <w:trPr>
          <w:cantSplit/>
        </w:trPr>
        <w:tc>
          <w:tcPr>
            <w:tcW w:type="dxa" w:w="2381"/>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Tổng ngoài phòng theo khách</w:t>
            </w:r>
          </w:p>
        </w:tc>
        <w:tc>
          <w:tcPr>
            <w:tcW w:type="dxa" w:w="2381"/>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1,00 / khách</w:t>
            </w:r>
          </w:p>
        </w:tc>
        <w:tc>
          <w:tcPr>
            <w:tcW w:type="dxa" w:w="4592"/>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Năm nhóm trên.</w:t>
            </w:r>
          </w:p>
        </w:tc>
      </w:tr>
      <w:tr>
        <w:trPr>
          <w:cantSplit/>
        </w:trPr>
        <w:tc>
          <w:tcPr>
            <w:tcW w:type="dxa" w:w="2381"/>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Phòng + sáng cho 2 khách</w:t>
            </w:r>
          </w:p>
        </w:tc>
        <w:tc>
          <w:tcPr>
            <w:tcW w:type="dxa" w:w="2381"/>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1,00 / phòng / đêm</w:t>
            </w:r>
          </w:p>
        </w:tc>
        <w:tc>
          <w:tcPr>
            <w:tcW w:type="dxa" w:w="4592"/>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Phòng hai giường, hai khách; số phòng thực tế tính riêng.</w:t>
            </w:r>
          </w:p>
        </w:tc>
      </w:tr>
      <w:tr>
        <w:trPr>
          <w:cantSplit/>
        </w:trPr>
        <w:tc>
          <w:tcPr>
            <w:tcW w:type="dxa" w:w="2381"/>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Xe / hướng dẫn viên</w:t>
            </w:r>
          </w:p>
        </w:tc>
        <w:tc>
          <w:tcPr>
            <w:tcW w:type="dxa" w:w="2381"/>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6,00 + 2,00 / chuyến</w:t>
            </w:r>
          </w:p>
        </w:tc>
        <w:tc>
          <w:tcPr>
            <w:tcW w:type="dxa" w:w="4592"/>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Xe hai ngày gồm chuyển điểm, phí đường và đỗ xe; một hướng dẫn viên hai ngày.</w:t>
            </w:r>
          </w:p>
        </w:tc>
      </w:tr>
      <w:tr>
        <w:trPr>
          <w:cantSplit/>
        </w:trPr>
        <w:tc>
          <w:tcPr>
            <w:tcW w:type="dxa" w:w="2381"/>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Ăn nghỉ lái xe, hướng dẫn viên</w:t>
            </w:r>
          </w:p>
        </w:tc>
        <w:tc>
          <w:tcPr>
            <w:tcW w:type="dxa" w:w="2381"/>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2,00 / chuyến</w:t>
            </w:r>
          </w:p>
        </w:tc>
        <w:tc>
          <w:tcPr>
            <w:tcW w:type="dxa" w:w="4592"/>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Không lấy suất ăn, phòng của khách để bù.</w:t>
            </w:r>
          </w:p>
        </w:tc>
      </w:tr>
      <w:tr>
        <w:trPr>
          <w:cantSplit/>
        </w:trPr>
        <w:tc>
          <w:tcPr>
            <w:tcW w:type="dxa" w:w="2381"/>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Người hướng dẫn cơm lam / phát sinh</w:t>
            </w:r>
          </w:p>
        </w:tc>
        <w:tc>
          <w:tcPr>
            <w:tcW w:type="dxa" w:w="2381"/>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1,00 + 1,00 / chuyến</w:t>
            </w:r>
          </w:p>
        </w:tc>
        <w:tc>
          <w:tcPr>
            <w:tcW w:type="dxa" w:w="4592"/>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Một buổi chuyên môn; phát sinh trực tiếp có dự toán.</w:t>
            </w:r>
          </w:p>
        </w:tc>
      </w:tr>
      <w:tr>
        <w:trPr>
          <w:cantSplit/>
        </w:trPr>
        <w:tc>
          <w:tcPr>
            <w:tcW w:type="dxa" w:w="2381"/>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Tổng cố định theo chuyến</w:t>
            </w:r>
          </w:p>
        </w:tc>
        <w:tc>
          <w:tcPr>
            <w:tcW w:type="dxa" w:w="2381"/>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12,00 / chuyến</w:t>
            </w:r>
          </w:p>
        </w:tc>
        <w:tc>
          <w:tcPr>
            <w:tcW w:type="dxa" w:w="4592"/>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Các khoản xe, nhân sự, ăn nghỉ nhân sự và phát sinh.</w:t>
            </w:r>
          </w:p>
        </w:tc>
      </w:tr>
    </w:tbl>
    <w:p>
      <w:pPr>
        <w:spacing w:after="0" w:line="240" w:lineRule="auto" w:before="0"/>
        <w:jc w:val="both"/>
      </w:pPr>
      <w:r>
        <w:rPr>
          <w:b w:val="0"/>
          <w:sz w:val="4"/>
        </w:rPr>
      </w:r>
    </w:p>
    <w:p>
      <w:pPr>
        <w:pStyle w:val="Heading2"/>
      </w:pPr>
      <w:r>
        <w:t>3. Giá theo quy mô đoàn và kiểm soát giá mua</w:t>
      </w:r>
    </w:p>
    <w:p>
      <w:pPr>
        <w:ind w:firstLine="397"/>
        <w:jc w:val="both"/>
      </w:pPr>
      <w:r>
        <w:rPr>
          <w:b w:val="0"/>
        </w:rPr>
        <w:t>Gọi n là số khách và r là số phòng khách thực sự phải đặt. Chi trực tiếp dự toán là C = 1,00 × n + 1,00 × r + 12,00. Giá bán trước VAT là 2,50 × n, cộng khoản tăng phòng đã được báo rõ nếu có. Bảng dưới dùng đoàn số chẵn, hai người/phòng và chưa có yêu cầu tăng phòng.</w:t>
      </w:r>
    </w:p>
    <w:p>
      <w:pPr>
        <w:pStyle w:val="Caption"/>
        <w:jc w:val="both"/>
      </w:pPr>
      <w:r>
        <w:rPr>
          <w:b w:val="0"/>
        </w:rPr>
        <w:t>Bảng 15. Thu – chi một đoàn tiêu chuẩn</w:t>
      </w:r>
    </w:p>
    <w:tbl>
      <w:tblPr>
        <w:tblW w:type="auto" w:w="0"/>
        <w:jc w:val="center"/>
        <w:tblLayout w:type="fixed"/>
        <w:tblLook w:firstColumn="1" w:firstRow="1" w:lastColumn="0" w:lastRow="0" w:noHBand="0" w:noVBand="1" w:val="04A0"/>
      </w:tblPr>
      <w:tblGrid>
        <w:gridCol w:w="2211"/>
        <w:gridCol w:w="1134"/>
        <w:gridCol w:w="1984"/>
        <w:gridCol w:w="1984"/>
        <w:gridCol w:w="2041"/>
      </w:tblGrid>
      <w:tr>
        <w:trPr>
          <w:tblHeader/>
          <w:cantSplit/>
        </w:trPr>
        <w:tc>
          <w:tcPr>
            <w:tcW w:type="dxa" w:w="2211"/>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shd w:fill="EAEAEA"/>
          </w:tcPr>
          <w:p>
            <w:pPr>
              <w:keepNext w:val="0"/>
              <w:spacing w:after="20" w:before="20" w:line="247" w:lineRule="auto"/>
            </w:pPr>
            <w:r>
              <w:rPr>
                <w:rFonts w:ascii="Times New Roman" w:hAnsi="Times New Roman"/>
                <w:b/>
                <w:sz w:val="23"/>
              </w:rPr>
              <w:t>Số khách</w:t>
            </w:r>
          </w:p>
        </w:tc>
        <w:tc>
          <w:tcPr>
            <w:tcW w:type="dxa" w:w="1134"/>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shd w:fill="EAEAEA"/>
          </w:tcPr>
          <w:p>
            <w:pPr>
              <w:keepNext w:val="0"/>
              <w:spacing w:after="20" w:before="20" w:line="247" w:lineRule="auto"/>
            </w:pPr>
            <w:r>
              <w:rPr>
                <w:rFonts w:ascii="Times New Roman" w:hAnsi="Times New Roman"/>
                <w:b/>
                <w:sz w:val="23"/>
              </w:rPr>
              <w:t>Phòng</w:t>
            </w:r>
          </w:p>
        </w:tc>
        <w:tc>
          <w:tcPr>
            <w:tcW w:type="dxa" w:w="1984"/>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shd w:fill="EAEAEA"/>
          </w:tcPr>
          <w:p>
            <w:pPr>
              <w:keepNext w:val="0"/>
              <w:spacing w:after="20" w:before="20" w:line="247" w:lineRule="auto"/>
            </w:pPr>
            <w:r>
              <w:rPr>
                <w:rFonts w:ascii="Times New Roman" w:hAnsi="Times New Roman"/>
                <w:b/>
                <w:sz w:val="23"/>
              </w:rPr>
              <w:t>Doanh thu</w:t>
            </w:r>
          </w:p>
        </w:tc>
        <w:tc>
          <w:tcPr>
            <w:tcW w:type="dxa" w:w="1984"/>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shd w:fill="EAEAEA"/>
          </w:tcPr>
          <w:p>
            <w:pPr>
              <w:keepNext w:val="0"/>
              <w:spacing w:after="20" w:before="20" w:line="247" w:lineRule="auto"/>
            </w:pPr>
            <w:r>
              <w:rPr>
                <w:rFonts w:ascii="Times New Roman" w:hAnsi="Times New Roman"/>
                <w:b/>
                <w:sz w:val="23"/>
              </w:rPr>
              <w:t>Chi trực tiếp</w:t>
            </w:r>
          </w:p>
        </w:tc>
        <w:tc>
          <w:tcPr>
            <w:tcW w:type="dxa" w:w="2041"/>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shd w:fill="EAEAEA"/>
          </w:tcPr>
          <w:p>
            <w:pPr>
              <w:keepNext w:val="0"/>
              <w:spacing w:after="20" w:before="20" w:line="247" w:lineRule="auto"/>
            </w:pPr>
            <w:r>
              <w:rPr>
                <w:rFonts w:ascii="Times New Roman" w:hAnsi="Times New Roman"/>
                <w:b/>
                <w:sz w:val="23"/>
              </w:rPr>
              <w:t>Đóng góp</w:t>
            </w:r>
          </w:p>
        </w:tc>
      </w:tr>
      <w:tr>
        <w:trPr>
          <w:cantSplit/>
        </w:trPr>
        <w:tc>
          <w:tcPr>
            <w:tcW w:type="dxa" w:w="2211"/>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24</w:t>
            </w:r>
          </w:p>
        </w:tc>
        <w:tc>
          <w:tcPr>
            <w:tcW w:type="dxa" w:w="1134"/>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12</w:t>
            </w:r>
          </w:p>
        </w:tc>
        <w:tc>
          <w:tcPr>
            <w:tcW w:type="dxa" w:w="1984"/>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60,0</w:t>
            </w:r>
          </w:p>
        </w:tc>
        <w:tc>
          <w:tcPr>
            <w:tcW w:type="dxa" w:w="1984"/>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48,0</w:t>
            </w:r>
          </w:p>
        </w:tc>
        <w:tc>
          <w:tcPr>
            <w:tcW w:type="dxa" w:w="2041"/>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12,0</w:t>
            </w:r>
          </w:p>
        </w:tc>
      </w:tr>
      <w:tr>
        <w:trPr>
          <w:cantSplit/>
        </w:trPr>
        <w:tc>
          <w:tcPr>
            <w:tcW w:type="dxa" w:w="2211"/>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28 – đoàn mẫu</w:t>
            </w:r>
          </w:p>
        </w:tc>
        <w:tc>
          <w:tcPr>
            <w:tcW w:type="dxa" w:w="1134"/>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14</w:t>
            </w:r>
          </w:p>
        </w:tc>
        <w:tc>
          <w:tcPr>
            <w:tcW w:type="dxa" w:w="1984"/>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70,0</w:t>
            </w:r>
          </w:p>
        </w:tc>
        <w:tc>
          <w:tcPr>
            <w:tcW w:type="dxa" w:w="1984"/>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54,0</w:t>
            </w:r>
          </w:p>
        </w:tc>
        <w:tc>
          <w:tcPr>
            <w:tcW w:type="dxa" w:w="2041"/>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16,0</w:t>
            </w:r>
          </w:p>
        </w:tc>
      </w:tr>
      <w:tr>
        <w:trPr>
          <w:cantSplit/>
        </w:trPr>
        <w:tc>
          <w:tcPr>
            <w:tcW w:type="dxa" w:w="2211"/>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30</w:t>
            </w:r>
          </w:p>
        </w:tc>
        <w:tc>
          <w:tcPr>
            <w:tcW w:type="dxa" w:w="1134"/>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15</w:t>
            </w:r>
          </w:p>
        </w:tc>
        <w:tc>
          <w:tcPr>
            <w:tcW w:type="dxa" w:w="1984"/>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75,0</w:t>
            </w:r>
          </w:p>
        </w:tc>
        <w:tc>
          <w:tcPr>
            <w:tcW w:type="dxa" w:w="1984"/>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57,0</w:t>
            </w:r>
          </w:p>
        </w:tc>
        <w:tc>
          <w:tcPr>
            <w:tcW w:type="dxa" w:w="2041"/>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18,0</w:t>
            </w:r>
          </w:p>
        </w:tc>
      </w:tr>
    </w:tbl>
    <w:p>
      <w:pPr>
        <w:spacing w:after="0" w:line="240" w:lineRule="auto" w:before="0"/>
        <w:jc w:val="both"/>
      </w:pPr>
      <w:r>
        <w:rPr>
          <w:b w:val="0"/>
          <w:sz w:val="4"/>
        </w:rPr>
      </w:r>
    </w:p>
    <w:p>
      <w:pPr>
        <w:keepLines/>
        <w:ind w:firstLine="397"/>
        <w:jc w:val="both"/>
      </w:pPr>
      <w:r>
        <w:rPr>
          <w:b w:val="0"/>
        </w:rPr>
        <w:t>Với đoàn số lẻ, r tối thiểu được làm tròn lên từ n/2; nếu ghép phòng cần nhiều hơn thì dùng r thực tế. Không để phần phòng thiếu làm mất lợi nhuận hoặc ép khách ở khác tiêu chuẩn. Khoản tăng phòng được báo trước theo chi phí phát sinh và thuế phù hợp, không dùng một mức phụ thu tự động khi chưa kiểm tra.</w:t>
      </w:r>
    </w:p>
    <w:p>
      <w:pPr>
        <w:ind w:firstLine="397"/>
        <w:jc w:val="both"/>
      </w:pPr>
      <w:r>
        <w:rPr>
          <w:b w:val="0"/>
        </w:rPr>
        <w:t>Mức 1 triệu đồng/phòng là ngân sách mua dự kiến, không phải giá đã xác nhận. Trang bán phòng của VietSense có mô tả phòng hai giường và mức 650.000 đồng đêm thứ Sáu, thứ Bảy, nhưng không xác định được thời hạn giá; chỉ dùng làm đầu mối kiểm tra loại phòng, không coi là báo giá năm 2026. Tương tự, vé ngày và lượt khoáng trong dự toán phải được hỏi lại theo quyền lợi thực tế. [10]</w:t>
      </w:r>
    </w:p>
    <w:p>
      <w:pPr>
        <w:ind w:firstLine="397"/>
        <w:jc w:val="both"/>
      </w:pPr>
      <w:r>
        <w:rPr>
          <w:b w:val="0"/>
        </w:rPr>
        <w:t>Dự toán dành 1 triệu phát sinh trực tiếp cho mỗi chuyến. Phần chưa dùng phải đối soát; kế hoạch vẫn tính hết để thận trọng. Khoản này khác 100 triệu tiền dự phòng của doanh nghiệp: một bên là chi dự toán, một bên là nguồn tiền để thanh toán.</w:t>
      </w:r>
    </w:p>
    <w:p>
      <w:pPr>
        <w:pStyle w:val="Heading2"/>
      </w:pPr>
      <w:r>
        <w:t>4. Kế hoạch năm đầu</w:t>
      </w:r>
    </w:p>
    <w:p>
      <w:pPr>
        <w:ind w:firstLine="397"/>
        <w:jc w:val="both"/>
      </w:pPr>
      <w:r>
        <w:rPr>
          <w:b w:val="0"/>
        </w:rPr>
        <w:t>Kỳ đầu gồm hai tháng chuẩn bị và mười tháng bán. Mục tiêu 24 đoàn, bình quân 28 khách/đoàn, tương đương 672 lượt khách; đây là hai giả định độc lập cần theo dõi. Dự kiến tháng 12 và tháng 1 có 2 đoàn/tháng, tháng 2 có 1 đoàn, tháng 3 có 3 đoàn; sáu tháng sau lần lượt 3, 3, 2, 2, 3, 3 đoàn. Phân bổ này là kế hoạch điều hành có khoảng trống quanh Tết và mùa thời tiết bất lợi, không phải dự báo từ số liệu đặt chỗ.</w:t>
      </w:r>
    </w:p>
    <w:p>
      <w:pPr>
        <w:pStyle w:val="Caption"/>
        <w:jc w:val="both"/>
      </w:pPr>
      <w:r>
        <w:rPr>
          <w:b w:val="0"/>
        </w:rPr>
        <w:t>Bảng 16. Kế hoạch năm đầu, tính theo đoàn mẫu 28 khách</w:t>
      </w:r>
    </w:p>
    <w:tbl>
      <w:tblPr>
        <w:tblW w:type="auto" w:w="0"/>
        <w:jc w:val="center"/>
        <w:tblLayout w:type="fixed"/>
        <w:tblLook w:firstColumn="1" w:firstRow="1" w:lastColumn="0" w:lastRow="0" w:noHBand="0" w:noVBand="1" w:val="04A0"/>
      </w:tblPr>
      <w:tblGrid>
        <w:gridCol w:w="2948"/>
        <w:gridCol w:w="794"/>
        <w:gridCol w:w="1361"/>
        <w:gridCol w:w="1361"/>
        <w:gridCol w:w="1361"/>
        <w:gridCol w:w="1531"/>
      </w:tblGrid>
      <w:tr>
        <w:trPr>
          <w:tblHeader/>
          <w:cantSplit/>
        </w:trPr>
        <w:tc>
          <w:tcPr>
            <w:tcW w:type="dxa" w:w="2948"/>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shd w:fill="EAEAEA"/>
          </w:tcPr>
          <w:p>
            <w:pPr>
              <w:keepNext w:val="0"/>
              <w:spacing w:after="20" w:before="20" w:line="247" w:lineRule="auto"/>
            </w:pPr>
            <w:r>
              <w:rPr>
                <w:rFonts w:ascii="Times New Roman" w:hAnsi="Times New Roman"/>
                <w:b/>
                <w:sz w:val="23"/>
              </w:rPr>
              <w:t>Giai đoạn</w:t>
            </w:r>
          </w:p>
        </w:tc>
        <w:tc>
          <w:tcPr>
            <w:tcW w:type="dxa" w:w="794"/>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shd w:fill="EAEAEA"/>
          </w:tcPr>
          <w:p>
            <w:pPr>
              <w:keepNext w:val="0"/>
              <w:spacing w:after="20" w:before="20" w:line="247" w:lineRule="auto"/>
            </w:pPr>
            <w:r>
              <w:rPr>
                <w:rFonts w:ascii="Times New Roman" w:hAnsi="Times New Roman"/>
                <w:b/>
                <w:sz w:val="23"/>
              </w:rPr>
              <w:t>Đoàn</w:t>
            </w:r>
          </w:p>
        </w:tc>
        <w:tc>
          <w:tcPr>
            <w:tcW w:type="dxa" w:w="1361"/>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shd w:fill="EAEAEA"/>
          </w:tcPr>
          <w:p>
            <w:pPr>
              <w:keepNext w:val="0"/>
              <w:spacing w:after="20" w:before="20" w:line="247" w:lineRule="auto"/>
            </w:pPr>
            <w:r>
              <w:rPr>
                <w:rFonts w:ascii="Times New Roman" w:hAnsi="Times New Roman"/>
                <w:b/>
                <w:sz w:val="23"/>
              </w:rPr>
              <w:t>Doanh thu</w:t>
            </w:r>
          </w:p>
        </w:tc>
        <w:tc>
          <w:tcPr>
            <w:tcW w:type="dxa" w:w="1361"/>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shd w:fill="EAEAEA"/>
          </w:tcPr>
          <w:p>
            <w:pPr>
              <w:keepNext w:val="0"/>
              <w:spacing w:after="20" w:before="20" w:line="247" w:lineRule="auto"/>
            </w:pPr>
            <w:r>
              <w:rPr>
                <w:rFonts w:ascii="Times New Roman" w:hAnsi="Times New Roman"/>
                <w:b/>
                <w:sz w:val="23"/>
              </w:rPr>
              <w:t>Chi tour</w:t>
            </w:r>
          </w:p>
        </w:tc>
        <w:tc>
          <w:tcPr>
            <w:tcW w:type="dxa" w:w="1361"/>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shd w:fill="EAEAEA"/>
          </w:tcPr>
          <w:p>
            <w:pPr>
              <w:keepNext w:val="0"/>
              <w:spacing w:after="20" w:before="20" w:line="247" w:lineRule="auto"/>
            </w:pPr>
            <w:r>
              <w:rPr>
                <w:rFonts w:ascii="Times New Roman" w:hAnsi="Times New Roman"/>
                <w:b/>
                <w:sz w:val="23"/>
              </w:rPr>
              <w:t>Chi duy trì</w:t>
            </w:r>
          </w:p>
        </w:tc>
        <w:tc>
          <w:tcPr>
            <w:tcW w:type="dxa" w:w="1531"/>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shd w:fill="EAEAEA"/>
          </w:tcPr>
          <w:p>
            <w:pPr>
              <w:keepNext w:val="0"/>
              <w:spacing w:after="20" w:before="20" w:line="247" w:lineRule="auto"/>
            </w:pPr>
            <w:r>
              <w:rPr>
                <w:rFonts w:ascii="Times New Roman" w:hAnsi="Times New Roman"/>
                <w:b/>
                <w:sz w:val="23"/>
              </w:rPr>
              <w:t>Chênh lệch*</w:t>
            </w:r>
          </w:p>
        </w:tc>
      </w:tr>
      <w:tr>
        <w:trPr>
          <w:cantSplit/>
        </w:trPr>
        <w:tc>
          <w:tcPr>
            <w:tcW w:type="dxa" w:w="2948"/>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10–11/2026: chuẩn bị</w:t>
            </w:r>
          </w:p>
        </w:tc>
        <w:tc>
          <w:tcPr>
            <w:tcW w:type="dxa" w:w="794"/>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0</w:t>
            </w:r>
          </w:p>
        </w:tc>
        <w:tc>
          <w:tcPr>
            <w:tcW w:type="dxa" w:w="1361"/>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0</w:t>
            </w:r>
          </w:p>
        </w:tc>
        <w:tc>
          <w:tcPr>
            <w:tcW w:type="dxa" w:w="1361"/>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0</w:t>
            </w:r>
          </w:p>
        </w:tc>
        <w:tc>
          <w:tcPr>
            <w:tcW w:type="dxa" w:w="1361"/>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50</w:t>
            </w:r>
          </w:p>
        </w:tc>
        <w:tc>
          <w:tcPr>
            <w:tcW w:type="dxa" w:w="1531"/>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−50</w:t>
            </w:r>
          </w:p>
        </w:tc>
      </w:tr>
      <w:tr>
        <w:trPr>
          <w:cantSplit/>
        </w:trPr>
        <w:tc>
          <w:tcPr>
            <w:tcW w:type="dxa" w:w="2948"/>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12/2026–3/2027: mở bán</w:t>
            </w:r>
          </w:p>
        </w:tc>
        <w:tc>
          <w:tcPr>
            <w:tcW w:type="dxa" w:w="794"/>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8</w:t>
            </w:r>
          </w:p>
        </w:tc>
        <w:tc>
          <w:tcPr>
            <w:tcW w:type="dxa" w:w="1361"/>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560</w:t>
            </w:r>
          </w:p>
        </w:tc>
        <w:tc>
          <w:tcPr>
            <w:tcW w:type="dxa" w:w="1361"/>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432</w:t>
            </w:r>
          </w:p>
        </w:tc>
        <w:tc>
          <w:tcPr>
            <w:tcW w:type="dxa" w:w="1361"/>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100</w:t>
            </w:r>
          </w:p>
        </w:tc>
        <w:tc>
          <w:tcPr>
            <w:tcW w:type="dxa" w:w="1531"/>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28</w:t>
            </w:r>
          </w:p>
        </w:tc>
      </w:tr>
      <w:tr>
        <w:trPr>
          <w:cantSplit/>
        </w:trPr>
        <w:tc>
          <w:tcPr>
            <w:tcW w:type="dxa" w:w="2948"/>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4–9/2027: duy trì</w:t>
            </w:r>
          </w:p>
        </w:tc>
        <w:tc>
          <w:tcPr>
            <w:tcW w:type="dxa" w:w="794"/>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16</w:t>
            </w:r>
          </w:p>
        </w:tc>
        <w:tc>
          <w:tcPr>
            <w:tcW w:type="dxa" w:w="1361"/>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1.120</w:t>
            </w:r>
          </w:p>
        </w:tc>
        <w:tc>
          <w:tcPr>
            <w:tcW w:type="dxa" w:w="1361"/>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864</w:t>
            </w:r>
          </w:p>
        </w:tc>
        <w:tc>
          <w:tcPr>
            <w:tcW w:type="dxa" w:w="1361"/>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150</w:t>
            </w:r>
          </w:p>
        </w:tc>
        <w:tc>
          <w:tcPr>
            <w:tcW w:type="dxa" w:w="1531"/>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106</w:t>
            </w:r>
          </w:p>
        </w:tc>
      </w:tr>
      <w:tr>
        <w:trPr>
          <w:cantSplit/>
        </w:trPr>
        <w:tc>
          <w:tcPr>
            <w:tcW w:type="dxa" w:w="2948"/>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Cả năm</w:t>
            </w:r>
          </w:p>
        </w:tc>
        <w:tc>
          <w:tcPr>
            <w:tcW w:type="dxa" w:w="794"/>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24</w:t>
            </w:r>
          </w:p>
        </w:tc>
        <w:tc>
          <w:tcPr>
            <w:tcW w:type="dxa" w:w="1361"/>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1.680</w:t>
            </w:r>
          </w:p>
        </w:tc>
        <w:tc>
          <w:tcPr>
            <w:tcW w:type="dxa" w:w="1361"/>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1.296</w:t>
            </w:r>
          </w:p>
        </w:tc>
        <w:tc>
          <w:tcPr>
            <w:tcW w:type="dxa" w:w="1361"/>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300</w:t>
            </w:r>
          </w:p>
        </w:tc>
        <w:tc>
          <w:tcPr>
            <w:tcW w:type="dxa" w:w="1531"/>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84</w:t>
            </w:r>
          </w:p>
        </w:tc>
      </w:tr>
    </w:tbl>
    <w:p>
      <w:pPr>
        <w:spacing w:after="0" w:line="240" w:lineRule="auto" w:before="0"/>
        <w:jc w:val="both"/>
      </w:pPr>
      <w:r>
        <w:rPr>
          <w:b w:val="0"/>
          <w:sz w:val="4"/>
        </w:rPr>
      </w:r>
    </w:p>
    <w:p>
      <w:pPr>
        <w:jc w:val="both"/>
      </w:pPr>
      <w:r>
        <w:rPr>
          <w:b w:val="0"/>
        </w:rPr>
        <w:t>* Chênh lệch trước chi khởi động và phân bổ thiết bị. Lợi nhuận dự kiến trước thuế thu nhập doanh nghiệp = 1.680 − 1.296 − 300 − 30 − 10 = 44 triệu đồng. Không gọi 84 triệu trong bảng là lợi nhuận cuối cùng. Thuế thu nhập doanh nghiệp được xác định theo quy định và hồ sơ thực tế, chưa trừ trong kết quả này.</w:t>
      </w:r>
    </w:p>
    <w:p>
      <w:pPr>
        <w:pStyle w:val="Heading2"/>
      </w:pPr>
      <w:r>
        <w:t>5. Hòa vốn và kịch bản bất lợi</w:t>
      </w:r>
    </w:p>
    <w:p>
      <w:pPr>
        <w:ind w:firstLine="397"/>
        <w:jc w:val="both"/>
      </w:pPr>
      <w:r>
        <w:rPr>
          <w:b w:val="0"/>
        </w:rPr>
        <w:t>Với đoàn mẫu 28 khách, phần đóng góp là 16 triệu đồng. Hòa vốn vận hành tháng, kể cả phân bổ thiết bị, là (25 + 10/12) ÷ 16 = 1,615, làm tròn lên 2 đoàn. Hòa vốn năm đầu là (300 + 30 + 10) ÷ 16 = 21,25, làm tròn lên 22 đoàn. Nếu chỉ có 24 khách/đoàn, mức hòa vốn năm tăng lên 29 đoàn; vì vậy không dùng con số 22 cho mọi quy mô.</w:t>
      </w:r>
    </w:p>
    <w:p>
      <w:pPr>
        <w:pStyle w:val="Caption"/>
        <w:jc w:val="both"/>
      </w:pPr>
      <w:r>
        <w:rPr>
          <w:b w:val="0"/>
        </w:rPr>
        <w:t>Bảng 17. Kiểm tra độ nhạy, không phải dự báo tăng giá thực tế</w:t>
      </w:r>
    </w:p>
    <w:tbl>
      <w:tblPr>
        <w:tblW w:type="auto" w:w="0"/>
        <w:jc w:val="center"/>
        <w:tblLayout w:type="fixed"/>
        <w:tblLook w:firstColumn="1" w:firstRow="1" w:lastColumn="0" w:lastRow="0" w:noHBand="0" w:noVBand="1" w:val="04A0"/>
      </w:tblPr>
      <w:tblGrid>
        <w:gridCol w:w="3685"/>
        <w:gridCol w:w="3969"/>
        <w:gridCol w:w="1701"/>
      </w:tblGrid>
      <w:tr>
        <w:trPr>
          <w:tblHeader/>
          <w:cantSplit/>
        </w:trPr>
        <w:tc>
          <w:tcPr>
            <w:tcW w:type="dxa" w:w="3685"/>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shd w:fill="EAEAEA"/>
          </w:tcPr>
          <w:p>
            <w:pPr>
              <w:keepNext w:val="0"/>
              <w:spacing w:after="20" w:before="20" w:line="247" w:lineRule="auto"/>
            </w:pPr>
            <w:r>
              <w:rPr>
                <w:rFonts w:ascii="Times New Roman" w:hAnsi="Times New Roman"/>
                <w:b/>
                <w:sz w:val="23"/>
              </w:rPr>
              <w:t>Kịch bản</w:t>
            </w:r>
          </w:p>
        </w:tc>
        <w:tc>
          <w:tcPr>
            <w:tcW w:type="dxa" w:w="3969"/>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shd w:fill="EAEAEA"/>
          </w:tcPr>
          <w:p>
            <w:pPr>
              <w:keepNext w:val="0"/>
              <w:spacing w:after="20" w:before="20" w:line="247" w:lineRule="auto"/>
            </w:pPr>
            <w:r>
              <w:rPr>
                <w:rFonts w:ascii="Times New Roman" w:hAnsi="Times New Roman"/>
                <w:b/>
                <w:sz w:val="23"/>
              </w:rPr>
              <w:t>Cách tính lợi nhuận trước thuế</w:t>
            </w:r>
          </w:p>
        </w:tc>
        <w:tc>
          <w:tcPr>
            <w:tcW w:type="dxa" w:w="1701"/>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shd w:fill="EAEAEA"/>
          </w:tcPr>
          <w:p>
            <w:pPr>
              <w:keepNext w:val="0"/>
              <w:spacing w:after="20" w:before="20" w:line="247" w:lineRule="auto"/>
            </w:pPr>
            <w:r>
              <w:rPr>
                <w:rFonts w:ascii="Times New Roman" w:hAnsi="Times New Roman"/>
                <w:b/>
                <w:sz w:val="23"/>
              </w:rPr>
              <w:t>Kết quả</w:t>
            </w:r>
          </w:p>
        </w:tc>
      </w:tr>
      <w:tr>
        <w:trPr>
          <w:cantSplit/>
        </w:trPr>
        <w:tc>
          <w:tcPr>
            <w:tcW w:type="dxa" w:w="3685"/>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Cơ sở: 24 đoàn, 28 khách/đoàn</w:t>
            </w:r>
          </w:p>
        </w:tc>
        <w:tc>
          <w:tcPr>
            <w:tcW w:type="dxa" w:w="3969"/>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24 × 16 − 340</w:t>
            </w:r>
          </w:p>
        </w:tc>
        <w:tc>
          <w:tcPr>
            <w:tcW w:type="dxa" w:w="1701"/>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44,0</w:t>
            </w:r>
          </w:p>
        </w:tc>
      </w:tr>
      <w:tr>
        <w:trPr>
          <w:cantSplit/>
        </w:trPr>
        <w:tc>
          <w:tcPr>
            <w:tcW w:type="dxa" w:w="3685"/>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Chỉ bán 18 đoàn, vẫn 28 khách</w:t>
            </w:r>
          </w:p>
        </w:tc>
        <w:tc>
          <w:tcPr>
            <w:tcW w:type="dxa" w:w="3969"/>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18 × 16 − 340</w:t>
            </w:r>
          </w:p>
        </w:tc>
        <w:tc>
          <w:tcPr>
            <w:tcW w:type="dxa" w:w="1701"/>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−52,0</w:t>
            </w:r>
          </w:p>
        </w:tc>
      </w:tr>
      <w:tr>
        <w:trPr>
          <w:cantSplit/>
        </w:trPr>
        <w:tc>
          <w:tcPr>
            <w:tcW w:type="dxa" w:w="3685"/>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24 đoàn nhưng chỉ 24 khách/đoàn</w:t>
            </w:r>
          </w:p>
        </w:tc>
        <w:tc>
          <w:tcPr>
            <w:tcW w:type="dxa" w:w="3969"/>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24 × 12 − 340</w:t>
            </w:r>
          </w:p>
        </w:tc>
        <w:tc>
          <w:tcPr>
            <w:tcW w:type="dxa" w:w="1701"/>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−52,0</w:t>
            </w:r>
          </w:p>
        </w:tc>
      </w:tr>
      <w:tr>
        <w:trPr>
          <w:cantSplit/>
        </w:trPr>
        <w:tc>
          <w:tcPr>
            <w:tcW w:type="dxa" w:w="3685"/>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24 đoàn, 28 khách; chi tour tăng 5%</w:t>
            </w:r>
          </w:p>
        </w:tc>
        <w:tc>
          <w:tcPr>
            <w:tcW w:type="dxa" w:w="3969"/>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24 × (70 − 54 × 1,05) − 340</w:t>
            </w:r>
          </w:p>
        </w:tc>
        <w:tc>
          <w:tcPr>
            <w:tcW w:type="dxa" w:w="1701"/>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−20,8</w:t>
            </w:r>
          </w:p>
        </w:tc>
      </w:tr>
    </w:tbl>
    <w:p>
      <w:pPr>
        <w:spacing w:after="0" w:line="240" w:lineRule="auto" w:before="0"/>
        <w:jc w:val="both"/>
      </w:pPr>
      <w:r>
        <w:rPr>
          <w:b w:val="0"/>
          <w:sz w:val="4"/>
        </w:rPr>
      </w:r>
    </w:p>
    <w:p>
      <w:pPr>
        <w:ind w:firstLine="397"/>
        <w:jc w:val="both"/>
      </w:pPr>
      <w:r>
        <w:rPr>
          <w:b w:val="0"/>
        </w:rPr>
        <w:t>Biên lợi nhuận trước thuế của kịch bản cơ sở khoảng 2,6% doanh thu. Đây là phương án có lãi thấp, không phải mô hình chắc chắn sinh lời. Vốn dự phòng giúp thanh toán khi khó khăn nhưng không bù được sự thiếu khách kéo dài. Công ty không giảm giá để lấy hợp đồng khi chưa tính lại đóng góp và tổng chi năm.</w:t>
      </w:r>
    </w:p>
    <w:p>
      <w:pPr>
        <w:pStyle w:val="Heading2"/>
      </w:pPr>
      <w:r>
        <w:t>6. Tiền vận hành và thời điểm thu – trả</w:t>
      </w:r>
    </w:p>
    <w:p>
      <w:pPr>
        <w:ind w:firstLine="397"/>
        <w:jc w:val="both"/>
      </w:pPr>
      <w:r>
        <w:rPr>
          <w:b w:val="0"/>
        </w:rPr>
        <w:t>Sau ký quỹ 100 triệu, mua thiết bị 20 triệu và chi khởi động 30 triệu, tiền vận hành còn 250 triệu, đã bao gồm 100 triệu dự phòng. Hai tháng chuẩn bị dùng 50 triệu, còn 200 triệu trước khi có tour. Ký quỹ được theo dõi riêng.</w:t>
      </w:r>
    </w:p>
    <w:p>
      <w:pPr>
        <w:pStyle w:val="Caption"/>
        <w:jc w:val="both"/>
      </w:pPr>
      <w:r>
        <w:rPr>
          <w:b w:val="0"/>
        </w:rPr>
        <w:t>Bảng 18. Dòng tiền giai đoạn trong kịch bản cơ sở</w:t>
      </w:r>
    </w:p>
    <w:tbl>
      <w:tblPr>
        <w:tblW w:type="auto" w:w="0"/>
        <w:jc w:val="center"/>
        <w:tblLayout w:type="fixed"/>
        <w:tblLook w:firstColumn="1" w:firstRow="1" w:lastColumn="0" w:lastRow="0" w:noHBand="0" w:noVBand="1" w:val="04A0"/>
      </w:tblPr>
      <w:tblGrid>
        <w:gridCol w:w="2948"/>
        <w:gridCol w:w="1531"/>
        <w:gridCol w:w="1644"/>
        <w:gridCol w:w="1587"/>
        <w:gridCol w:w="1644"/>
      </w:tblGrid>
      <w:tr>
        <w:trPr>
          <w:tblHeader/>
          <w:cantSplit/>
        </w:trPr>
        <w:tc>
          <w:tcPr>
            <w:tcW w:type="dxa" w:w="2948"/>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shd w:fill="EAEAEA"/>
          </w:tcPr>
          <w:p>
            <w:pPr>
              <w:keepNext w:val="0"/>
              <w:spacing w:after="20" w:before="20" w:line="247" w:lineRule="auto"/>
            </w:pPr>
            <w:r>
              <w:rPr>
                <w:rFonts w:ascii="Times New Roman" w:hAnsi="Times New Roman"/>
                <w:b/>
                <w:sz w:val="23"/>
              </w:rPr>
              <w:t>Giai đoạn</w:t>
            </w:r>
          </w:p>
        </w:tc>
        <w:tc>
          <w:tcPr>
            <w:tcW w:type="dxa" w:w="1531"/>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shd w:fill="EAEAEA"/>
          </w:tcPr>
          <w:p>
            <w:pPr>
              <w:keepNext w:val="0"/>
              <w:spacing w:after="20" w:before="20" w:line="247" w:lineRule="auto"/>
            </w:pPr>
            <w:r>
              <w:rPr>
                <w:rFonts w:ascii="Times New Roman" w:hAnsi="Times New Roman"/>
                <w:b/>
                <w:sz w:val="23"/>
              </w:rPr>
              <w:t>Tiền đầu kỳ</w:t>
            </w:r>
          </w:p>
        </w:tc>
        <w:tc>
          <w:tcPr>
            <w:tcW w:type="dxa" w:w="1644"/>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shd w:fill="EAEAEA"/>
          </w:tcPr>
          <w:p>
            <w:pPr>
              <w:keepNext w:val="0"/>
              <w:spacing w:after="20" w:before="20" w:line="247" w:lineRule="auto"/>
            </w:pPr>
            <w:r>
              <w:rPr>
                <w:rFonts w:ascii="Times New Roman" w:hAnsi="Times New Roman"/>
                <w:b/>
                <w:sz w:val="23"/>
              </w:rPr>
              <w:t>Đóng góp tour</w:t>
            </w:r>
          </w:p>
        </w:tc>
        <w:tc>
          <w:tcPr>
            <w:tcW w:type="dxa" w:w="1587"/>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shd w:fill="EAEAEA"/>
          </w:tcPr>
          <w:p>
            <w:pPr>
              <w:keepNext w:val="0"/>
              <w:spacing w:after="20" w:before="20" w:line="247" w:lineRule="auto"/>
            </w:pPr>
            <w:r>
              <w:rPr>
                <w:rFonts w:ascii="Times New Roman" w:hAnsi="Times New Roman"/>
                <w:b/>
                <w:sz w:val="23"/>
              </w:rPr>
              <w:t>Chi bằng tiền</w:t>
            </w:r>
          </w:p>
        </w:tc>
        <w:tc>
          <w:tcPr>
            <w:tcW w:type="dxa" w:w="1644"/>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shd w:fill="EAEAEA"/>
          </w:tcPr>
          <w:p>
            <w:pPr>
              <w:keepNext w:val="0"/>
              <w:spacing w:after="20" w:before="20" w:line="247" w:lineRule="auto"/>
            </w:pPr>
            <w:r>
              <w:rPr>
                <w:rFonts w:ascii="Times New Roman" w:hAnsi="Times New Roman"/>
                <w:b/>
                <w:sz w:val="23"/>
              </w:rPr>
              <w:t>Tiền cuối kỳ</w:t>
            </w:r>
          </w:p>
        </w:tc>
      </w:tr>
      <w:tr>
        <w:trPr>
          <w:cantSplit/>
        </w:trPr>
        <w:tc>
          <w:tcPr>
            <w:tcW w:type="dxa" w:w="2948"/>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10–11/2026</w:t>
            </w:r>
          </w:p>
        </w:tc>
        <w:tc>
          <w:tcPr>
            <w:tcW w:type="dxa" w:w="1531"/>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250</w:t>
            </w:r>
          </w:p>
        </w:tc>
        <w:tc>
          <w:tcPr>
            <w:tcW w:type="dxa" w:w="1644"/>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0</w:t>
            </w:r>
          </w:p>
        </w:tc>
        <w:tc>
          <w:tcPr>
            <w:tcW w:type="dxa" w:w="1587"/>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50</w:t>
            </w:r>
          </w:p>
        </w:tc>
        <w:tc>
          <w:tcPr>
            <w:tcW w:type="dxa" w:w="1644"/>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200</w:t>
            </w:r>
          </w:p>
        </w:tc>
      </w:tr>
      <w:tr>
        <w:trPr>
          <w:cantSplit/>
        </w:trPr>
        <w:tc>
          <w:tcPr>
            <w:tcW w:type="dxa" w:w="2948"/>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12/2026–3/2027</w:t>
            </w:r>
          </w:p>
        </w:tc>
        <w:tc>
          <w:tcPr>
            <w:tcW w:type="dxa" w:w="1531"/>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200</w:t>
            </w:r>
          </w:p>
        </w:tc>
        <w:tc>
          <w:tcPr>
            <w:tcW w:type="dxa" w:w="1644"/>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128</w:t>
            </w:r>
          </w:p>
        </w:tc>
        <w:tc>
          <w:tcPr>
            <w:tcW w:type="dxa" w:w="1587"/>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100</w:t>
            </w:r>
          </w:p>
        </w:tc>
        <w:tc>
          <w:tcPr>
            <w:tcW w:type="dxa" w:w="1644"/>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228</w:t>
            </w:r>
          </w:p>
        </w:tc>
      </w:tr>
      <w:tr>
        <w:trPr>
          <w:cantSplit/>
        </w:trPr>
        <w:tc>
          <w:tcPr>
            <w:tcW w:type="dxa" w:w="2948"/>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4–9/2027</w:t>
            </w:r>
          </w:p>
        </w:tc>
        <w:tc>
          <w:tcPr>
            <w:tcW w:type="dxa" w:w="1531"/>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228</w:t>
            </w:r>
          </w:p>
        </w:tc>
        <w:tc>
          <w:tcPr>
            <w:tcW w:type="dxa" w:w="1644"/>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256</w:t>
            </w:r>
          </w:p>
        </w:tc>
        <w:tc>
          <w:tcPr>
            <w:tcW w:type="dxa" w:w="1587"/>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150</w:t>
            </w:r>
          </w:p>
        </w:tc>
        <w:tc>
          <w:tcPr>
            <w:tcW w:type="dxa" w:w="1644"/>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334</w:t>
            </w:r>
          </w:p>
        </w:tc>
      </w:tr>
    </w:tbl>
    <w:p>
      <w:pPr>
        <w:spacing w:after="0" w:line="240" w:lineRule="auto" w:before="0"/>
        <w:jc w:val="both"/>
      </w:pPr>
      <w:r>
        <w:rPr>
          <w:b w:val="0"/>
          <w:sz w:val="4"/>
        </w:rPr>
      </w:r>
    </w:p>
    <w:p>
      <w:pPr>
        <w:ind w:firstLine="397"/>
        <w:jc w:val="both"/>
      </w:pPr>
      <w:r>
        <w:rPr>
          <w:b w:val="0"/>
        </w:rPr>
        <w:t>Bảng giả định thu khách và trả dịch vụ xong trong từng giai đoạn, đã dành tiền cho VAT phải nộp, trước thuế thu nhập doanh nghiệp và chưa chia lợi nhuận. Phân bổ thiết bị không trừ tiền lần hai. Số dư 334 triệu không phải tiền được tự do chia cho thành viên khi còn công nợ hoặc nghĩa vụ thuế.</w:t>
      </w:r>
    </w:p>
    <w:p>
      <w:pPr>
        <w:ind w:firstLine="397"/>
        <w:jc w:val="both"/>
      </w:pPr>
      <w:r>
        <w:rPr>
          <w:b w:val="0"/>
        </w:rPr>
        <w:t>Ví dụ áp lực ứng tiền: đoàn 28 khách có doanh thu trước VAT 70 triệu, đợt thu 70% tương ứng 49 triệu sau khi tách VAT. Nếu toàn bộ nhà cung cấp đòi trả đủ 54 triệu chi phí trước khi khách trả đợt hai, thiếu 5 triệu. Công ty dự trữ thêm tối đa 6 triệu trong ví dụ để xử lý thời điểm trả thuế trên hóa đơn đầu vào, nên giới hạn ứng minh họa là 11 triệu. Khoản 6 triệu là đệm tiền mặt, không phải một mức VAT áp đồng loạt hoặc chi phí cộng thêm.</w:t>
      </w:r>
    </w:p>
    <w:p>
      <w:pPr>
        <w:ind w:firstLine="397"/>
        <w:jc w:val="both"/>
      </w:pPr>
      <w:r>
        <w:rPr>
          <w:b w:val="0"/>
        </w:rPr>
        <w:t>Giám đốc lập lịch thanh toán thực tế cho mỗi đoàn. Nếu số tiền cần ứng vượt phần vốn có thể sử dụng hoặc khách chưa trả đúng hạn, chưa đặt thêm dịch vụ không hoàn lại. Đây là điều kiện kiểm soát dòng tiền, không phải kết luận cứ thu trước 70% là không bao giờ thiếu tiền.</w:t>
      </w:r>
    </w:p>
    <w:p>
      <w:bookmarkStart w:id="108" w:name="sec_8"/>
      <w:pPr>
        <w:pStyle w:val="Heading1"/>
      </w:pPr>
      <w:r>
        <w:t>VIII. RỦI RO VÀ LỘ TRÌNH THỰC HIỆN</w:t>
      </w:r>
      <w:bookmarkEnd w:id="108"/>
    </w:p>
    <w:p>
      <w:pPr>
        <w:pStyle w:val="Heading2"/>
      </w:pPr>
      <w:r>
        <w:t>1. Rủi ro và cách xử lý</w:t>
      </w:r>
    </w:p>
    <w:p>
      <w:pPr>
        <w:pStyle w:val="Caption"/>
        <w:jc w:val="both"/>
      </w:pPr>
      <w:r>
        <w:rPr>
          <w:b w:val="0"/>
        </w:rPr>
        <w:t>Bảng 19. Rủi ro trọng yếu</w:t>
      </w:r>
    </w:p>
    <w:tbl>
      <w:tblPr>
        <w:tblW w:type="auto" w:w="0"/>
        <w:jc w:val="center"/>
        <w:tblLayout w:type="fixed"/>
        <w:tblLook w:firstColumn="1" w:firstRow="1" w:lastColumn="0" w:lastRow="0" w:noHBand="0" w:noVBand="1" w:val="04A0"/>
      </w:tblPr>
      <w:tblGrid>
        <w:gridCol w:w="2835"/>
        <w:gridCol w:w="6520"/>
      </w:tblGrid>
      <w:tr>
        <w:trPr>
          <w:tblHeader/>
          <w:cantSplit/>
        </w:trPr>
        <w:tc>
          <w:tcPr>
            <w:tcW w:type="dxa" w:w="2835"/>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shd w:fill="EAEAEA"/>
          </w:tcPr>
          <w:p>
            <w:pPr>
              <w:keepNext w:val="0"/>
              <w:spacing w:after="20" w:before="20" w:line="247" w:lineRule="auto"/>
            </w:pPr>
            <w:r>
              <w:rPr>
                <w:rFonts w:ascii="Times New Roman" w:hAnsi="Times New Roman"/>
                <w:b/>
                <w:sz w:val="23"/>
              </w:rPr>
              <w:t>Rủi ro</w:t>
            </w:r>
          </w:p>
        </w:tc>
        <w:tc>
          <w:tcPr>
            <w:tcW w:type="dxa" w:w="6520"/>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shd w:fill="EAEAEA"/>
          </w:tcPr>
          <w:p>
            <w:pPr>
              <w:keepNext w:val="0"/>
              <w:spacing w:after="20" w:before="20" w:line="247" w:lineRule="auto"/>
            </w:pPr>
            <w:r>
              <w:rPr>
                <w:rFonts w:ascii="Times New Roman" w:hAnsi="Times New Roman"/>
                <w:b/>
                <w:sz w:val="23"/>
              </w:rPr>
              <w:t>Biện pháp trong phương án</w:t>
            </w:r>
          </w:p>
        </w:tc>
      </w:tr>
      <w:tr>
        <w:trPr>
          <w:cantSplit/>
        </w:trPr>
        <w:tc>
          <w:tcPr>
            <w:tcW w:type="dxa" w:w="2835"/>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Khách không chấp nhận giá hoặc chất lượng phòng</w:t>
            </w:r>
          </w:p>
        </w:tc>
        <w:tc>
          <w:tcPr>
            <w:tcW w:type="dxa" w:w="6520"/>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Theo dõi lý do mất đơn, kiểm tra ngân sách thực của bên mua. Không che giấu tiêu chuẩn khách sạn hoặc dùng ảnh cao cấp để bán cấu hình tiết kiệm.</w:t>
            </w:r>
          </w:p>
        </w:tc>
      </w:tr>
      <w:tr>
        <w:trPr>
          <w:cantSplit/>
        </w:trPr>
        <w:tc>
          <w:tcPr>
            <w:tcW w:type="dxa" w:w="2835"/>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Bán thiếu đoàn hoặc số khách bình quân thấp</w:t>
            </w:r>
          </w:p>
        </w:tc>
        <w:tc>
          <w:tcPr>
            <w:tcW w:type="dxa" w:w="6520"/>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Đối chiếu từng tháng với kế hoạch và đóng góp thực tế. Sau ba tháng bán liên tiếp không bù chi duy trì, xem lại sản phẩm, giá mua và chi có thể giảm trước khi mở rộng.</w:t>
            </w:r>
          </w:p>
        </w:tc>
      </w:tr>
      <w:tr>
        <w:trPr>
          <w:cantSplit/>
        </w:trPr>
        <w:tc>
          <w:tcPr>
            <w:tcW w:type="dxa" w:w="2835"/>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Tăng giá, thiếu phòng, cơ sở có đoàn sự kiện</w:t>
            </w:r>
          </w:p>
        </w:tc>
        <w:tc>
          <w:tcPr>
            <w:tcW w:type="dxa" w:w="6520"/>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Khóa ngày, phòng, vé và báo giá bằng văn bản. Nếu không giữ được quyền lợi nghỉ, thỏa thuận đổi trước khi bán hoặc chưa nhận đoàn; không coi một cuộc gọi là phương án dự phòng sẵn sàng.</w:t>
            </w:r>
          </w:p>
        </w:tc>
      </w:tr>
      <w:tr>
        <w:trPr>
          <w:cantSplit/>
        </w:trPr>
        <w:tc>
          <w:tcPr>
            <w:tcW w:type="dxa" w:w="2835"/>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Mưa lớn, đường không an toàn, sự cố bể khoáng</w:t>
            </w:r>
          </w:p>
        </w:tc>
        <w:tc>
          <w:tcPr>
            <w:tcW w:type="dxa" w:w="6520"/>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Theo dõi cảnh báo và thông tin cơ sở trước chuyến; dừng, đổi lịch hoặc hủy khi cần. Khu có mái che không đồng nghĩa an toàn trong mọi thời tiết.</w:t>
            </w:r>
          </w:p>
        </w:tc>
      </w:tr>
      <w:tr>
        <w:trPr>
          <w:cantSplit/>
        </w:trPr>
        <w:tc>
          <w:tcPr>
            <w:tcW w:type="dxa" w:w="2835"/>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Bỏng, trượt ngã, sức khỏe và ăn uống</w:t>
            </w:r>
          </w:p>
        </w:tc>
        <w:tc>
          <w:tcPr>
            <w:tcW w:type="dxa" w:w="6520"/>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Phổ biến quy định, giao phần lửa và dụng cụ cho nhân sự cơ sở, kiểm tra yêu cầu ăn. Khách dùng khoáng theo hướng dẫn cơ sở; không quảng cáo trị bệnh, giải độc hoặc phục hồi chắc chắn.</w:t>
            </w:r>
          </w:p>
        </w:tc>
      </w:tr>
      <w:tr>
        <w:trPr>
          <w:cantSplit/>
        </w:trPr>
        <w:tc>
          <w:tcPr>
            <w:tcW w:type="dxa" w:w="2835"/>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Chậm thu, đổi/hủy và nghĩa vụ pháp lý</w:t>
            </w:r>
          </w:p>
        </w:tc>
        <w:tc>
          <w:tcPr>
            <w:tcW w:type="dxa" w:w="6520"/>
            <w:vAlign w:val="center"/>
            <w:tcBorders>
              <w:top w:val="single" w:sz="4" w:color="A0A0A0"/>
              <w:left w:val="single" w:sz="4" w:color="A0A0A0"/>
              <w:bottom w:val="single" w:sz="4" w:color="A0A0A0"/>
              <w:right w:val="single" w:sz="4" w:color="A0A0A0"/>
            </w:tcBorders>
            <w:tcMar>
              <w:top w:w="60" w:type="dxa"/>
              <w:bottom w:w="60" w:type="dxa"/>
              <w:left w:w="75" w:type="dxa"/>
              <w:right w:w="75" w:type="dxa"/>
            </w:tcMar>
          </w:tcPr>
          <w:p>
            <w:pPr>
              <w:keepNext w:val="0"/>
              <w:spacing w:after="20" w:before="20" w:line="247" w:lineRule="auto"/>
            </w:pPr>
            <w:r>
              <w:rPr>
                <w:rFonts w:ascii="Times New Roman" w:hAnsi="Times New Roman"/>
                <w:b w:val="0"/>
                <w:sz w:val="23"/>
              </w:rPr>
              <w:t>Đối soát lịch thu – trả, khoản không thu hồi được; giữ vốn lưu động, bảo hiểm và hồ sơ hợp lệ. Không dùng ký quỹ để ứng dịch vụ; chưa đủ giấy phép thì chưa kinh doanh.</w:t>
            </w:r>
          </w:p>
        </w:tc>
      </w:tr>
    </w:tbl>
    <w:p>
      <w:pPr>
        <w:spacing w:after="0" w:line="240" w:lineRule="auto" w:before="0"/>
        <w:jc w:val="both"/>
      </w:pPr>
      <w:r>
        <w:rPr>
          <w:b w:val="0"/>
          <w:sz w:val="4"/>
        </w:rPr>
      </w:r>
    </w:p>
    <w:p>
      <w:pPr>
        <w:pStyle w:val="Heading2"/>
      </w:pPr>
      <w:r>
        <w:t>2. Lộ trình và điều kiện mở rộng</w:t>
      </w:r>
    </w:p>
    <w:p>
      <w:pPr>
        <w:ind w:firstLine="397"/>
        <w:jc w:val="both"/>
      </w:pPr>
      <w:r>
        <w:rPr>
          <w:b w:val="0"/>
        </w:rPr>
        <w:t>Tháng 10–11/2026: hoàn thiện pháp lý, chọn nhà cung cấp, kiểm tra phòng và trải nghiệm, thử hành trình, lấy phản hồi về ngân sách và nhu cầu. Điều kiện mở bán là có giấy phép phù hợp, người phụ trách, dịch vụ và giá mua được xác nhận; không lấy mốc thời gian thay cho các điều kiện này.</w:t>
      </w:r>
    </w:p>
    <w:p>
      <w:pPr>
        <w:ind w:firstLine="397"/>
        <w:jc w:val="both"/>
      </w:pPr>
      <w:r>
        <w:rPr>
          <w:b w:val="0"/>
        </w:rPr>
        <w:t>Tháng 12/2026–3/2027: tổ chức các đoàn đầu, đánh giá số khách thực, giờ xe, chất lượng phòng, việc sử dụng khoáng và mức hài lòng với thời gian riêng. Từ tháng 4 đến tháng 9/2027: duy trì một chương trình, kiểm soát lãi từng đoàn và thu tiền, không mở nhiều tuyến để bù sự yếu kém của sản phẩm đầu.</w:t>
      </w:r>
    </w:p>
    <w:p>
      <w:pPr>
        <w:ind w:firstLine="397"/>
        <w:jc w:val="both"/>
      </w:pPr>
      <w:r>
        <w:rPr>
          <w:b w:val="0"/>
        </w:rPr>
        <w:t>Sau năm đầu, chỉ nghiên cứu tuyến mới khi công ty giữ được dịch vụ, cân đối tiền và có nhu cầu mua cụ thể. Dòng sản phẩm dài hạn vẫn là nghỉ cuối tuần kết hợp một nét văn hóa Việt; không tăng số ngày hay điểm đến chỉ để giá cao hơn.</w:t>
      </w:r>
    </w:p>
    <w:p>
      <w:bookmarkStart w:id="109" w:name="sec_9"/>
      <w:pPr>
        <w:pStyle w:val="Heading1"/>
        <w:keepNext/>
      </w:pPr>
      <w:r>
        <w:t>KẾT LUẬN</w:t>
      </w:r>
      <w:bookmarkEnd w:id="109"/>
    </w:p>
    <w:p>
      <w:pPr>
        <w:ind w:firstLine="397"/>
        <w:jc w:val="both"/>
      </w:pPr>
      <w:r>
        <w:rPr>
          <w:b w:val="0"/>
        </w:rPr>
        <w:t>Nét Việt lựa chọn thành lập một doanh nghiệp lữ hành nội địa nhỏ, dùng dịch vụ thuê ngoài để phục vụ đoàn nhân viên văn phòng muốn có kỳ nghỉ cuối tuần. Sản phẩm Kim Bôi kết hợp An Lạc và khu khoáng Mớ Đá tạo một cấu hình có địa điểm rõ, không cần cơ sở lưu trú cao cấp và không lấy team building làm mặc định.</w:t>
      </w:r>
    </w:p>
    <w:p>
      <w:pPr>
        <w:ind w:firstLine="397"/>
        <w:jc w:val="both"/>
      </w:pPr>
      <w:r>
        <w:rPr>
          <w:b w:val="0"/>
        </w:rPr>
        <w:t>Kế hoạch 400 triệu đồng vốn góp, giá tiêu chuẩn 2,5 triệu đồng/người trước VAT và 24 đoàn bình quân 28 khách tạo lợi nhuận dự kiến 44 triệu đồng trước thuế. Kết quả chỉ đạt khi các giả định về bán hàng và chi phí được thực hiện. Giá công bố trên thị trường chưa chứng minh khách sẽ mua, cũng chưa thay cho báo giá đoàn. Công ty triển khai từng bước và chỉ nhận cam kết phù hợp với năng lực, giấy phép và dịch vụ đã xác nhận.</w:t>
      </w:r>
    </w:p>
    <w:p>
      <w:bookmarkStart w:id="110" w:name="sec_10"/>
      <w:pPr>
        <w:pStyle w:val="Heading1"/>
        <w:keepNext/>
      </w:pPr>
      <w:r>
        <w:t>TÀI LIỆU THAM KHẢO</w:t>
      </w:r>
      <w:bookmarkEnd w:id="110"/>
    </w:p>
    <w:p>
      <w:pPr>
        <w:jc w:val="both"/>
      </w:pPr>
      <w:r>
        <w:rPr>
          <w:b w:val="0"/>
        </w:rPr>
        <w:t>Mốc truy cập, đối chiếu: 15/10/2026. Nguồn giá công bố chỉ dùng đúng điều kiện và thời hạn thể hiện; mức chưa có ngày cập nhật không được coi là giá đang có hiệu lực. Các khoản dự toán của Nét Việt không phải báo giá của các đơn vị dưới đây.</w:t>
      </w:r>
    </w:p>
    <w:p>
      <w:pPr>
        <w:keepNext/>
        <w:jc w:val="both"/>
      </w:pPr>
      <w:r>
        <w:rPr>
          <w:b/>
        </w:rPr>
        <w:t>[1] Quốc hội (2017). Luật Du lịch số 09/2017/QH14.</w:t>
      </w:r>
    </w:p>
    <w:p>
      <w:pPr>
        <w:keepNext/>
        <w:jc w:val="both"/>
      </w:pPr>
      <w:r>
        <w:rPr>
          <w:b w:val="0"/>
        </w:rPr>
        <w:t>Dùng cho phạm vi kinh doanh, trách nhiệm, hợp đồng và hướng dẫn viên; Điều 37, 39, 58. Bản PDF 37 trang; trang PDF 18, 19, 26–27 trùng trang in. Phần thủ tục cấp mới đối chiếu bản cập nhật tại [3].</w:t>
      </w:r>
    </w:p>
    <w:p>
      <w:pPr>
        <w:keepNext w:val="0"/>
        <w:spacing w:after="160" w:line="240" w:lineRule="auto"/>
      </w:pPr>
      <w:hyperlink r:id="rId11">
        <w:r>
          <w:rPr>
            <w:sz w:val="20"/>
            <w:rFonts w:ascii="Times New Roman" w:hAnsi="Times New Roman"/>
          </w:rPr>
          <w:t>https:/​/​datafiles.chinhphu.vn/​cpp/​files/​vbpq/​2017/​07/​09.signed.pdf</w:t>
        </w:r>
      </w:hyperlink>
    </w:p>
    <w:p>
      <w:pPr>
        <w:keepNext/>
        <w:jc w:val="both"/>
      </w:pPr>
      <w:r>
        <w:rPr>
          <w:b/>
        </w:rPr>
        <w:t>[2] Chính phủ (2025, 2026). Nghị định 168/2025/NĐ-CP và Nghị định 296/2026/NĐ-CP.</w:t>
      </w:r>
    </w:p>
    <w:p>
      <w:pPr>
        <w:keepNext/>
        <w:jc w:val="both"/>
      </w:pPr>
      <w:r>
        <w:rPr>
          <w:b w:val="0"/>
        </w:rPr>
        <w:t>Hồ sơ, cơ quan và phương thức đăng ký doanh nghiệp; bản sửa đổi ban hành và có hiệu lực ngày 23/7/2026. Không sử dụng mẫu, cơ quan đăng ký cũ như quy định hiện hành.</w:t>
      </w:r>
    </w:p>
    <w:p>
      <w:pPr>
        <w:keepNext/>
        <w:spacing w:after="160" w:line="240" w:lineRule="auto"/>
      </w:pPr>
      <w:hyperlink r:id="rId12">
        <w:r>
          <w:rPr>
            <w:sz w:val="20"/>
            <w:rFonts w:ascii="Times New Roman" w:hAnsi="Times New Roman"/>
          </w:rPr>
          <w:t>https:/​/​xaydungchinhsach.chinhphu.vn/​toan-​van-​nghi-​dinh-​168-​2025-​nd-​cp-​ve-​dang-​ky-​doanh-​nghiep-​119250702175708554.htm</w:t>
        </w:r>
      </w:hyperlink>
    </w:p>
    <w:p>
      <w:pPr>
        <w:keepNext w:val="0"/>
        <w:spacing w:after="160" w:line="240" w:lineRule="auto"/>
      </w:pPr>
      <w:hyperlink r:id="rId13">
        <w:r>
          <w:rPr>
            <w:sz w:val="20"/>
            <w:rFonts w:ascii="Times New Roman" w:hAnsi="Times New Roman"/>
          </w:rPr>
          <w:t>https:/​/​congbao.chinhphu.vn/​van-​ban/​nghi-​dinh-​so-​296-​2026-​nd-​cp-​470177/​67429.htm</w:t>
        </w:r>
      </w:hyperlink>
    </w:p>
    <w:p>
      <w:pPr>
        <w:keepNext/>
        <w:jc w:val="both"/>
      </w:pPr>
      <w:r>
        <w:rPr>
          <w:b/>
        </w:rPr>
        <w:t>[3] Bộ Văn hóa, Thể thao và Du lịch (2026). Nội dung cụ thể thủ tục hành chính lĩnh vực du lịch theo Nghị quyết 66.18/2026/NQ-CP.</w:t>
      </w:r>
    </w:p>
    <w:p>
      <w:pPr>
        <w:keepNext/>
        <w:jc w:val="both"/>
      </w:pPr>
      <w:r>
        <w:rPr>
          <w:b w:val="0"/>
        </w:rPr>
        <w:t>Phần cấp mới giấy phép lữ hành nội địa: trang PDF 11–13, trùng trang in trong tệp 50 trang. Dùng cho ký quỹ, chuyên môn, hồ sơ, 5 ngày làm việc và phí 1 triệu đến 31/12/2026.</w:t>
      </w:r>
    </w:p>
    <w:p>
      <w:pPr>
        <w:keepNext w:val="0"/>
        <w:spacing w:after="160" w:line="240" w:lineRule="auto"/>
      </w:pPr>
      <w:hyperlink r:id="rId14">
        <w:r>
          <w:rPr>
            <w:sz w:val="20"/>
            <w:rFonts w:ascii="Times New Roman" w:hAnsi="Times New Roman"/>
          </w:rPr>
          <w:t>https:/​/​bvhttdl.gov.vn/​uploads/​pdf/​2026/​05/​29/​noi-​dung-​cu-​the-​tthc-​linh-​vuc-​du-​lich-​nq66-​18.pdf</w:t>
        </w:r>
      </w:hyperlink>
    </w:p>
    <w:p>
      <w:pPr>
        <w:keepNext/>
        <w:jc w:val="both"/>
      </w:pPr>
      <w:r>
        <w:rPr>
          <w:b/>
        </w:rPr>
        <w:t>[4] Cổng Thông tin điện tử Chính phủ (13/8/2026). Quy định về Sở Văn hóa, Thể thao và Du lịch Hà Nội.</w:t>
      </w:r>
    </w:p>
    <w:p>
      <w:pPr>
        <w:keepNext/>
        <w:jc w:val="both"/>
      </w:pPr>
      <w:r>
        <w:rPr>
          <w:b w:val="0"/>
        </w:rPr>
        <w:t>Công bố cơ cấu theo Quyết định 4226/QĐ-UBND ngày 12/8/2026; dùng để xác định tên cơ quan trong bối cảnh tháng 10/2026.</w:t>
      </w:r>
    </w:p>
    <w:p>
      <w:pPr>
        <w:keepNext w:val="0"/>
        <w:spacing w:after="160" w:line="240" w:lineRule="auto"/>
      </w:pPr>
      <w:hyperlink r:id="rId15">
        <w:r>
          <w:rPr>
            <w:sz w:val="20"/>
            <w:rFonts w:ascii="Times New Roman" w:hAnsi="Times New Roman"/>
          </w:rPr>
          <w:t>https:/​/​xaydungchinhsach.chinhphu.vn/​sap-​xep-​bo-​may-​quy-​dinh-​moi-​ve-​chuc-​nang-​nhiem-​vu-​quyen-​han-​co-​cau-​to-​chuc-​cua-​so-​vhttdl-​ha-​noi-​119260813101011717.htm</w:t>
        </w:r>
      </w:hyperlink>
    </w:p>
    <w:p>
      <w:pPr>
        <w:keepNext/>
        <w:jc w:val="both"/>
      </w:pPr>
      <w:r>
        <w:rPr>
          <w:b/>
        </w:rPr>
        <w:t>[5] Chính phủ (2025). Nghị định 174/2025/NĐ-CP.</w:t>
      </w:r>
    </w:p>
    <w:p>
      <w:pPr>
        <w:keepNext/>
        <w:jc w:val="both"/>
      </w:pPr>
      <w:r>
        <w:rPr>
          <w:b w:val="0"/>
        </w:rPr>
        <w:t>Điều 1–2, trang PDF 1–3: phạm vi giảm VAT và thời hạn 01/7/2025–31/12/2026. Không áp đồng loạt cho mọi đầu vào; mức 10% sau đó chỉ được dùng như tình huống dự trù khi chưa có căn cứ gia hạn.</w:t>
      </w:r>
    </w:p>
    <w:p>
      <w:pPr>
        <w:keepNext w:val="0"/>
        <w:spacing w:after="160" w:line="240" w:lineRule="auto"/>
      </w:pPr>
      <w:hyperlink r:id="rId16">
        <w:r>
          <w:rPr>
            <w:sz w:val="20"/>
            <w:rFonts w:ascii="Times New Roman" w:hAnsi="Times New Roman"/>
          </w:rPr>
          <w:t>https:/​/​datafiles.chinhphu.vn/​cpp/​files/​vbpq/​2025/​7/​174nd.signed.pdf</w:t>
        </w:r>
      </w:hyperlink>
    </w:p>
    <w:p>
      <w:pPr>
        <w:keepNext/>
        <w:jc w:val="both"/>
      </w:pPr>
      <w:r>
        <w:rPr>
          <w:b/>
        </w:rPr>
        <w:t>[6] An Lạc Eco Farm &amp; Hot Springs. Trang phòng đôi tiêu chuẩn, dịch vụ, ẩm thực và khách đoàn.</w:t>
      </w:r>
    </w:p>
    <w:p>
      <w:pPr>
        <w:keepNext/>
        <w:jc w:val="both"/>
      </w:pPr>
      <w:r>
        <w:rPr>
          <w:b w:val="0"/>
        </w:rPr>
        <w:t>Nguồn của cơ sở: phòng tiêu chuẩn một giường đôi; có làm cơm lam và dịch vụ ngày. Gói từ 1,5 triệu áp dụng từ 30 khách, chưa VAT, chưa đủ điều kiện để làm giá tour thứ Bảy. Các trang không thể hiện rõ thời hạn giá.</w:t>
      </w:r>
    </w:p>
    <w:p>
      <w:pPr>
        <w:keepNext/>
        <w:spacing w:after="160" w:line="240" w:lineRule="auto"/>
      </w:pPr>
      <w:hyperlink r:id="rId17">
        <w:r>
          <w:rPr>
            <w:sz w:val="20"/>
            <w:rFonts w:ascii="Times New Roman" w:hAnsi="Times New Roman"/>
          </w:rPr>
          <w:t>https:/​/​anlac.net/​phong/​27/​phong-​doi-​tieu-​chuan</w:t>
        </w:r>
      </w:hyperlink>
    </w:p>
    <w:p>
      <w:pPr>
        <w:keepNext/>
        <w:spacing w:after="160" w:line="240" w:lineRule="auto"/>
      </w:pPr>
      <w:hyperlink r:id="rId18">
        <w:r>
          <w:rPr>
            <w:sz w:val="20"/>
            <w:rFonts w:ascii="Times New Roman" w:hAnsi="Times New Roman"/>
          </w:rPr>
          <w:t>https:/​/​anlac.net/​dich-​vu1</w:t>
        </w:r>
      </w:hyperlink>
    </w:p>
    <w:p>
      <w:pPr>
        <w:keepNext/>
        <w:spacing w:after="160" w:line="240" w:lineRule="auto"/>
      </w:pPr>
      <w:hyperlink r:id="rId19">
        <w:r>
          <w:rPr>
            <w:sz w:val="20"/>
            <w:rFonts w:ascii="Times New Roman" w:hAnsi="Times New Roman"/>
          </w:rPr>
          <w:t>https:/​/​anlac.net/​khach-​di-​theo-​doan</w:t>
        </w:r>
      </w:hyperlink>
    </w:p>
    <w:p>
      <w:pPr>
        <w:keepNext w:val="0"/>
        <w:spacing w:after="160" w:line="240" w:lineRule="auto"/>
      </w:pPr>
      <w:hyperlink r:id="rId20">
        <w:r>
          <w:rPr>
            <w:sz w:val="20"/>
            <w:rFonts w:ascii="Times New Roman" w:hAnsi="Times New Roman"/>
          </w:rPr>
          <w:t>https:/​/​anlac.net/​mon-​an-​dat-​theo-​mon</w:t>
        </w:r>
      </w:hyperlink>
    </w:p>
    <w:p>
      <w:pPr>
        <w:keepNext/>
        <w:jc w:val="both"/>
      </w:pPr>
      <w:r>
        <w:rPr>
          <w:b/>
        </w:rPr>
        <w:t>[7] Trung tâm Thông tin Xúc tiến Du lịch Phú Thọ. Khách sạn Công đoàn Việt Nam tại Kim Bôi.</w:t>
      </w:r>
    </w:p>
    <w:p>
      <w:pPr>
        <w:keepNext/>
        <w:jc w:val="both"/>
      </w:pPr>
      <w:r>
        <w:rPr>
          <w:b w:val="0"/>
        </w:rPr>
        <w:t>Nguồn chính thức về địa điểm Mớ Đá, lưu trú, nhà hàng, khoáng có mái che và đặc điểm nước khoáng; không có báo giá đoàn. Không sử dụng các tuyên bố công dụng chữa bệnh trên trang làm cam kết của sản phẩm.</w:t>
      </w:r>
    </w:p>
    <w:p>
      <w:pPr>
        <w:keepNext w:val="0"/>
        <w:spacing w:after="160" w:line="240" w:lineRule="auto"/>
      </w:pPr>
      <w:hyperlink r:id="rId21">
        <w:r>
          <w:rPr>
            <w:sz w:val="20"/>
            <w:rFonts w:ascii="Times New Roman" w:hAnsi="Times New Roman"/>
          </w:rPr>
          <w:t>https:/​/​dulichphutho.gov.vn/​luutru/​khach-​san-​cong-​doan-​viet-​nam-​tai-​kim-​boi</w:t>
        </w:r>
      </w:hyperlink>
    </w:p>
    <w:p>
      <w:pPr>
        <w:keepNext/>
        <w:jc w:val="both"/>
      </w:pPr>
      <w:r>
        <w:rPr>
          <w:b/>
        </w:rPr>
        <w:t>[8] Let’s Tour. Tour du lịch An Lạc Eco Resort 2 ngày 1 đêm.</w:t>
      </w:r>
    </w:p>
    <w:p>
      <w:pPr>
        <w:keepNext/>
        <w:jc w:val="both"/>
      </w:pPr>
      <w:r>
        <w:rPr>
          <w:b w:val="0"/>
        </w:rPr>
        <w:t>Bản trang đã đọc đề ngày 20/02/2025. Bảng có giá theo quy mô và phòng; chưa VAT, ngủ đêm thứ Sáu/thứ Bảy phải xin báo giá. Có dòng nhãn thời gian không nhất quán, nên chỉ đối chiếu chương trình hai ngày và điều kiện thể hiện, không dùng như xác nhận dịch vụ hiện tại.</w:t>
      </w:r>
    </w:p>
    <w:p>
      <w:pPr>
        <w:keepNext w:val="0"/>
        <w:spacing w:after="160" w:line="240" w:lineRule="auto"/>
      </w:pPr>
      <w:hyperlink r:id="rId22">
        <w:r>
          <w:rPr>
            <w:sz w:val="20"/>
            <w:rFonts w:ascii="Times New Roman" w:hAnsi="Times New Roman"/>
          </w:rPr>
          <w:t>https:/​/​letstours.com/​tour-​du-​lich-​an-​lac-​eco-​resort-​2-​ngay-​1-​dem/​</w:t>
        </w:r>
      </w:hyperlink>
    </w:p>
    <w:p>
      <w:pPr>
        <w:keepNext/>
        <w:jc w:val="both"/>
      </w:pPr>
      <w:r>
        <w:rPr>
          <w:b/>
        </w:rPr>
        <w:t>[9] Tour.Pro. Giới thiệu tour An Lạc Resort.</w:t>
      </w:r>
    </w:p>
    <w:p>
      <w:pPr>
        <w:keepNext/>
        <w:jc w:val="both"/>
      </w:pPr>
      <w:r>
        <w:rPr>
          <w:b w:val="0"/>
        </w:rPr>
        <w:t>Đối chiếu mức giá giới thiệu khoảng 1,45 triệu với tiêu chuẩn tập thể, không so trực tiếp với phòng hai người của Nét Việt. Phải hỏi lại giá theo ngày, số khách và dịch vụ khoáng.</w:t>
      </w:r>
    </w:p>
    <w:p>
      <w:pPr>
        <w:keepNext w:val="0"/>
        <w:spacing w:after="160" w:line="240" w:lineRule="auto"/>
      </w:pPr>
      <w:hyperlink r:id="rId23">
        <w:r>
          <w:rPr>
            <w:sz w:val="20"/>
            <w:rFonts w:ascii="Times New Roman" w:hAnsi="Times New Roman"/>
          </w:rPr>
          <w:t>https:/​/​tour.pro.vn/​an-​lac-​resort</w:t>
        </w:r>
      </w:hyperlink>
    </w:p>
    <w:p>
      <w:pPr>
        <w:keepNext/>
        <w:jc w:val="both"/>
      </w:pPr>
      <w:r>
        <w:rPr>
          <w:b/>
        </w:rPr>
        <w:t>[10] VietSense Travel. Khách sạn Công đoàn Kim Bôi.</w:t>
      </w:r>
    </w:p>
    <w:p>
      <w:pPr>
        <w:keepNext/>
        <w:jc w:val="both"/>
      </w:pPr>
      <w:r>
        <w:rPr>
          <w:b w:val="0"/>
        </w:rPr>
        <w:t>Trang bán dịch vụ có mô tả phòng hai giường đơn và mức giá cuối tuần 650.000 đồng, nhưng không xác định được kỳ áp dụng. Chỉ dùng làm đầu mối kiểm tra; dự toán 1 triệu/phòng của đề án không phải trích giá hiện hành từ trang này.</w:t>
      </w:r>
    </w:p>
    <w:p>
      <w:pPr>
        <w:keepNext w:val="0"/>
        <w:spacing w:after="160" w:line="240" w:lineRule="auto"/>
      </w:pPr>
      <w:hyperlink r:id="rId24">
        <w:r>
          <w:rPr>
            <w:sz w:val="20"/>
            <w:rFonts w:ascii="Times New Roman" w:hAnsi="Times New Roman"/>
          </w:rPr>
          <w:t>https:/​/​taybacsensetravel.com/​khach-​san-​cong-​doan-​kim-​boi_1372053973-​ph.html</w:t>
        </w:r>
      </w:hyperlink>
    </w:p>
    <w:sectPr w:rsidR="00FC693F" w:rsidRPr="0006063C" w:rsidSect="00034616">
      <w:headerReference w:type="default" r:id="rId9"/>
      <w:footerReference w:type="default" r:id="rId10"/>
      <w:pgSz w:w="11906" w:h="16838"/>
      <w:pgMar w:top="1134" w:right="1134" w:bottom="1134" w:left="1417" w:header="454" w:footer="48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666666"/>
        <w:sz w:val="18"/>
      </w:rPr>
      <w:t>NÉT VIỆT TRAVEL | ĐỀ ÁN THÀNH LẬP DOANH NGHIỆP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00"/>
    </w:pPr>
    <w:rPr>
      <w:rFonts w:ascii="Times New Roman" w:hAnsi="Times New Roman" w:eastAsia="Times New Roman" w:cs="Times New Roman"/>
      <w:color w:val="171717"/>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rPr>
  </w:style>
  <w:style w:type="paragraph" w:styleId="Heading1">
    <w:name w:val="heading 1"/>
    <w:basedOn w:val="Normal"/>
    <w:next w:val="Normal"/>
    <w:link w:val="Heading1Char"/>
    <w:uiPriority w:val="9"/>
    <w:qFormat/>
    <w:rsid w:val="00FC693F"/>
    <w:pPr>
      <w:keepNext/>
      <w:keepLines/>
      <w:spacing w:before="160" w:after="100"/>
      <w:outlineLvl w:val="0"/>
    </w:pPr>
    <w:rPr>
      <w:rFonts w:cstheme="majorBidi" w:ascii="Times New Roman" w:hAnsi="Times New Roman" w:eastAsia="Times New Roman" w:cs="Times New Roman"/>
      <w:b/>
      <w:bCs/>
      <w:color w:val="171717"/>
      <w:sz w:val="2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cstheme="majorBidi" w:ascii="Times New Roman" w:hAnsi="Times New Roman" w:eastAsia="Times New Roman" w:cs="Times New Roman"/>
      <w:b/>
      <w:bCs/>
      <w:color w:val="171717"/>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cstheme="majorBidi" w:ascii="Times New Roman" w:hAnsi="Times New Roman" w:eastAsia="Times New Roman" w:cs="Times New Roman"/>
      <w:b/>
      <w:bCs/>
      <w:color w:val="171717"/>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rPr>
      <w:rFonts w:ascii="Times New Roman" w:hAnsi="Times New Roman" w:eastAsia="Times New Roman" w:cs="Times New Roman"/>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rPr>
  </w:style>
  <w:style w:type="character" w:customStyle="1" w:styleId="Heading1Char">
    <w:name w:val="Heading 1 Char"/>
    <w:basedOn w:val="DefaultParagraphFont"/>
    <w:link w:val="Heading1"/>
    <w:uiPriority w:val="9"/>
    <w:rsid w:val="00FC693F"/>
    <w:rPr>
      <w:rFonts w:cstheme="majorBidi"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eastAsia="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stheme="majorBidi" w:ascii="Times New Roman" w:hAnsi="Times New Roman" w:eastAsia="Times New Roman" w:cs="Times New Roman"/>
      <w:color w:val="171717"/>
      <w:spacing w:val="5"/>
      <w:kern w:val="28"/>
      <w:sz w:val="52"/>
      <w:szCs w:val="52"/>
    </w:rPr>
  </w:style>
  <w:style w:type="character" w:customStyle="1" w:styleId="TitleChar">
    <w:name w:val="Title Char"/>
    <w:basedOn w:val="DefaultParagraphFont"/>
    <w:link w:val="Title"/>
    <w:uiPriority w:val="10"/>
    <w:rsid w:val="00FC693F"/>
    <w:rPr>
      <w:rFonts w:cstheme="majorBidi"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eastAsia="Times New Roman" w:cs="Times New Roman"/>
      <w:i/>
      <w:iCs/>
      <w:color w:val="171717"/>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color w:val="171717"/>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sz w:val="16"/>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themeColor="text1"/>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themeColor="text1"/>
    </w:rPr>
  </w:style>
  <w:style w:type="character" w:customStyle="1" w:styleId="Heading4Char">
    <w:name w:val="Heading 4 Char"/>
    <w:basedOn w:val="DefaultParagraphFont"/>
    <w:link w:val="Heading4"/>
    <w:uiPriority w:val="9"/>
    <w:semiHidden/>
    <w:rsid w:val="00FC693F"/>
    <w:rPr>
      <w:rFonts w:cstheme="majorBidi"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Times New Roman" w:hAnsi="Times New Roman" w:eastAsia="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after="100"/>
    </w:pPr>
    <w:rPr>
      <w:rFonts w:ascii="Times New Roman" w:hAnsi="Times New Roman" w:eastAsia="Times New Roman" w:cs="Times New Roman"/>
      <w:b/>
      <w:bCs/>
      <w:i/>
      <w:color w:val="171717"/>
      <w:sz w:val="23"/>
      <w:szCs w:val="18"/>
    </w:rPr>
  </w:style>
  <w:style w:type="character" w:styleId="Strong">
    <w:name w:val="Strong"/>
    <w:basedOn w:val="DefaultParagraphFont"/>
    <w:uiPriority w:val="22"/>
    <w:qFormat/>
    <w:rsid w:val="00FC693F"/>
    <w:rPr>
      <w:rFonts w:ascii="Times New Roman" w:hAnsi="Times New Roman" w:eastAsia="Times New Roman" w:cs="Times New Roman"/>
      <w:b/>
      <w:bCs/>
    </w:rPr>
  </w:style>
  <w:style w:type="character" w:styleId="Emphasis">
    <w:name w:val="Emphasis"/>
    <w:basedOn w:val="DefaultParagraphFont"/>
    <w:uiPriority w:val="20"/>
    <w:qFormat/>
    <w:rsid w:val="00FC693F"/>
    <w:rPr>
      <w:rFonts w:ascii="Times New Roman" w:hAnsi="Times New Roman" w:eastAsia="Times New Roman" w:cs="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eastAsia="Times New Roman" w:cs="Times New Roman"/>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4F81BD" w:themeColor="accent1"/>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808080" w:themeColor="text1" w:themeTint="7F"/>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4F81BD" w:themeColor="accent1"/>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atafiles.chinhphu.vn/cpp/files/vbpq/2017/07/09.signed.pdf" TargetMode="External"/><Relationship Id="rId12" Type="http://schemas.openxmlformats.org/officeDocument/2006/relationships/hyperlink" Target="https://xaydungchinhsach.chinhphu.vn/toan-van-nghi-dinh-168-2025-nd-cp-ve-dang-ky-doanh-nghiep-119250702175708554.htm" TargetMode="External"/><Relationship Id="rId13" Type="http://schemas.openxmlformats.org/officeDocument/2006/relationships/hyperlink" Target="https://congbao.chinhphu.vn/van-ban/nghi-dinh-so-296-2026-nd-cp-470177/67429.htm" TargetMode="External"/><Relationship Id="rId14" Type="http://schemas.openxmlformats.org/officeDocument/2006/relationships/hyperlink" Target="https://bvhttdl.gov.vn/uploads/pdf/2026/05/29/noi-dung-cu-the-tthc-linh-vuc-du-lich-nq66-18.pdf" TargetMode="External"/><Relationship Id="rId15" Type="http://schemas.openxmlformats.org/officeDocument/2006/relationships/hyperlink" Target="https://xaydungchinhsach.chinhphu.vn/sap-xep-bo-may-quy-dinh-moi-ve-chuc-nang-nhiem-vu-quyen-han-co-cau-to-chuc-cua-so-vhttdl-ha-noi-119260813101011717.htm" TargetMode="External"/><Relationship Id="rId16" Type="http://schemas.openxmlformats.org/officeDocument/2006/relationships/hyperlink" Target="https://datafiles.chinhphu.vn/cpp/files/vbpq/2025/7/174nd.signed.pdf" TargetMode="External"/><Relationship Id="rId17" Type="http://schemas.openxmlformats.org/officeDocument/2006/relationships/hyperlink" Target="https://anlac.net/phong/27/phong-doi-tieu-chuan" TargetMode="External"/><Relationship Id="rId18" Type="http://schemas.openxmlformats.org/officeDocument/2006/relationships/hyperlink" Target="https://anlac.net/dich-vu1" TargetMode="External"/><Relationship Id="rId19" Type="http://schemas.openxmlformats.org/officeDocument/2006/relationships/hyperlink" Target="https://anlac.net/khach-di-theo-doan" TargetMode="External"/><Relationship Id="rId20" Type="http://schemas.openxmlformats.org/officeDocument/2006/relationships/hyperlink" Target="https://anlac.net/mon-an-dat-theo-mon" TargetMode="External"/><Relationship Id="rId21" Type="http://schemas.openxmlformats.org/officeDocument/2006/relationships/hyperlink" Target="https://dulichphutho.gov.vn/luutru/khach-san-cong-doan-viet-nam-tai-kim-boi" TargetMode="External"/><Relationship Id="rId22" Type="http://schemas.openxmlformats.org/officeDocument/2006/relationships/hyperlink" Target="https://letstours.com/tour-du-lich-an-lac-eco-resort-2-ngay-1-dem/" TargetMode="External"/><Relationship Id="rId23" Type="http://schemas.openxmlformats.org/officeDocument/2006/relationships/hyperlink" Target="https://tour.pro.vn/an-lac-resort" TargetMode="External"/><Relationship Id="rId24" Type="http://schemas.openxmlformats.org/officeDocument/2006/relationships/hyperlink" Target="https://taybacsensetravel.com/khach-san-cong-doan-kim-boi_1372053973-ph.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án thành lập Công ty TNHH Du lịch Nét Việt</dc:title>
  <dc:subject>Lữ hành nội địa – sản phẩm Kim Bôi 2 ngày 1 đêm</dc:subject>
  <dc:creator>Nhóm thực hiện</dc:creator>
  <cp:keywords>Nét Việt; Kim Bôi; thành lập doanh nghiệp; lữ hành nội địa</cp:keywords>
  <dc:description>generated by python-docx</dc:description>
  <cp:lastModifiedBy/>
  <cp:revision>1</cp:revision>
  <dcterms:created xsi:type="dcterms:W3CDTF">2013-12-23T23:15:00Z</dcterms:created>
  <dcterms:modified xsi:type="dcterms:W3CDTF">2013-12-23T23:15:00Z</dcterms:modified>
  <cp:category/>
</cp:coreProperties>
</file>