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dGVyczwvdGl0bGU+PHNlY29uZGFyeS10aXRsZT4yMDEyIElFRUUgSW50ZXJuYXRpb25hbCBXb3Jr
c2hvcCBvbiBJbmZvcm1hdGlvbiBGb3JlbnNpY3MgYW5kIFNlY3VyaXR5IChXSUZTKTwvc2Vjb25k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bWFnZSBzdGVnYW5vZ3JhcGh5PC90aXRsZT48c2Vjb25kYXJ5LXRpdGxlPjIwMTQgSUVFRSBJbnRl
cm5hdGlvbmFsIENvbmZlcmVuY2Ugb24gSW1hZ2UgUHJvY2Vzc2luZyAoSUNJUCk8L3NlY29uZGFy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feed statistics of noise residuals, such as Spatial Rich Model (SRM) features, to a classifier such as an ensemble of linear discriminants,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aXRsZT4yMDE4IElFRUUgSW50ZXJuYXRpb25hbCBDb25mZXJlbmNlIG9uIEFjb3VzdGljcywgU3Bl
ZWNoIGFuZCBTaWduYWwgUHJvY2Vzc2luZyAoSUNBU1NQKTwvc2Vjb25kYXJ5LXRpdGxlPjwvdGl0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bmFseXNpczwvdGl0bGU+PHNlY29uZGFyeS10aXRsZT4yMDE4IElFRUUgSW50ZXJuYXRpb25hbCBD
b25mZXJlbmNlIG9uIEFjb3VzdGljcywgU3BlZWNoIGFuZCBTaWduYWwgUHJvY2Vzc2luZyAoSUNB
U1NQKTwvc2Vjb25kYXJ5LXRpdGxlPjwvdGl0bGVzPjxwYWdlcz4yMDkyLTIwOTY8L3BhZ2VzPjxk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MjAxMiBJRUVFIEludGVybmF0aW9uYWwgV29ya3Nob3Agb24gSW5mb3JtYXRpb24gRm9yZW5zaWNz
IGFuZCBTZWN1cml0eSAoV0lGUyk8L3NlY29uZGFyeS10aXRsZT48L3RpdGxlcz48cGFnZXM+MjM0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Y29uZGFyeS10aXRsZT4yMDE0IElFRUUgSW50ZXJuYXRpb25hbCBDb25mZXJlbmNlIG9uIEltYWdl
IFByb2Nlc3NpbmcgKElDSVApPC9zZWNvbmRhcnktdGl0bGU+PC90aXRsZXM+PHBhZ2VzPjQyMDYt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matrix&lt;/title&gt;&lt;secondary-title&gt;Proceedings of the 11th ACM Workshop on Multimedia and Security (MM&amp;amp;Sec '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steganalysis&lt;/title&gt;&lt;secondary-title&gt;Proceedings of the 33rd ACM International Conference on Multimedia (MM '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wild"&lt;/title&gt;&lt;secondary-title&gt;Proceedings of the ACM Workshop on Information Hiding and Multimedia Security (IH&amp;amp;MMSec '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also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summarizes the pipeline. Stages 1</w:t>
      </w:r>
      <w:r w:rsidR="002C710A">
        <w:t>-</w:t>
      </w:r>
      <w:r>
        <w:t>3 build a leakage-controlled dataset, stages 4</w:t>
      </w:r>
      <w:r w:rsidR="002C710A">
        <w:t>-</w:t>
      </w:r>
      <w:r>
        <w:t>5 train the two detectors in parallel under protocols P1</w:t>
      </w:r>
      <w:r w:rsidR="002C710A">
        <w:t>-</w:t>
      </w:r>
      <w:r>
        <w:t>P3, and stages 6</w:t>
      </w:r>
      <w:r w:rsidR="002C710A">
        <w:t>-</w:t>
      </w:r>
      <w:r>
        <w:t>7 evaluate every trained model on one fixed set of test covers.</w:t>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downsampled each to 256 × 256 with bicubic interpolation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steganalysis&lt;/title&gt;&lt;secondary-title&gt;2018 IEEE International Conference on Acoustics, Speech and Signal Processing (ICASSP)&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filters&lt;/title&gt;&lt;secondary-title&gt;2012 IEEE International Workshop on Information Forensics and Security (WIFS)&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w:t>
      </w:r>
      <w:proofErr w:type="spellStart"/>
      <w:r>
        <w:t>bpp</w:t>
      </w:r>
      <w:proofErr w:type="spellEnd"/>
      <w:r>
        <w:t xml:space="preserve">, giving six variants per cover: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is summarized by a normalized 17-bin histogram of its values clipped to [−8, 8] plus its mean absolute value and standard deviation (4 × 19 = 76 features). A StandardScaler fitted on the training features of each run only is applied to all splits, and the L2-regularized classifier uses C = 1.0, the lbfgs solver, no class weights (training pairs are balanced), max_iter = 2,000 and the run seed as random_state;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variant sampling (P2, P3); random parts of model fitting</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 43 and 44 control the variant draws and the random parts of model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We draw B = 1,000 replicates per test condition with a generator seeded at 2026, so all conditions, protocols and seeds share the same resampled cover IDs, and take the 2.5th and 97.5th percentiles as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describe variation over the fixed 120 test covers only and do not represent other image sources. A direction is called supported only when its interval excludes zero; an interval containing zero is inconclusive, not evidence of equivalence. The 18 RQ3 intervals are not adjusted for multiplicity. Every run </w:t>
      </w:r>
      <w:proofErr w:type="gramStart"/>
      <w:r>
        <w:t>stores</w:t>
      </w:r>
      <w:proofErr w:type="gramEnd"/>
      <w:r>
        <w:t xml:space="preserve"> its per-image prediction scores, and the manifest stores the embedding seed and SHA-256 hash of every image, so all tables can be recomputed from the saved files.</w:t>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if its three runs are identical, as its zero seed spread suggests, that is 5/120 per run, </w:t>
      </w:r>
      <w:proofErr w:type="gramStart"/>
      <w:r>
        <w:t>whose</w:t>
      </w:r>
      <w:proofErr w:type="gramEnd"/>
      <w:r>
        <w:t xml:space="preserve"> exact 95% Clopper</w:t>
      </w:r>
      <w:r w:rsidR="002C710A">
        <w:t>-</w:t>
      </w:r>
      <w:r>
        <w:t xml:space="preserve">Pearson interval, [1.4%, 9.5%], excludes 1%. A likely reason is that a 1% target on 120 covers places </w:t>
      </w:r>
      <w:proofErr w:type="spellStart"/>
      <w:r>
        <w:t>τ</w:t>
      </w:r>
      <w:r>
        <w:rPr>
          <w:vertAlign w:val="subscript"/>
        </w:rPr>
        <w:t>low</w:t>
      </w:r>
      <w:proofErr w:type="spellEnd"/>
      <w:r>
        <w:t xml:space="preserve"> among the one or two highest validation scores, an extreme order statistic that varies strongly between samples. The least strict threshold allowed, just above the </w:t>
      </w:r>
      <w:r>
        <w:lastRenderedPageBreak/>
        <w:t>second-highest score, is exceeded by an exchangeable test cover with probability 2/121 ≈ 1.7%.</w:t>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so these are repeated measurements, not independent samples; the false positives in Table 7 are likewise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CNNs&lt;/title&gt;&lt;secondary-title&gt;IS&amp;amp;T International Symposium on Electronic Imaging: Media Watermarking, Security, and Forensics 2019&lt;/secondary-title&gt;&lt;/titles&gt;&lt;pages&gt;MWSF-534&lt;/pages&gt;&lt;dates&gt;&lt;year&gt;2019&lt;/year&gt;&lt;/dates&gt;&lt;publisher&gt;Society for Imaging Science and Technology&lt;/publisher&gt;&lt;electronic-resource-num&gt;10.2352/ISSN.2470-1173.2019.5.MWSF-534&lt;/electronic-resource-num&gt;&lt;urls/&gt;&lt;/record&gt;&lt;/Cite&gt;&lt;/EndNote&gt;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steganography&lt;/title&gt;&lt;secondary-title&gt;2014 IEEE International Conference on Image Processing (ICIP)&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IS&amp;T Electronic Imaging, Media Watermarking, Security, and Forensics 2019, paper MWSF-534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Proc. 33rd ACM International Conference on Multimedia (MM ’25),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Proc. 11th ACM Workshop on Multimedia and Security (MM&amp;Sec ’09),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Proc. ACM Workshop on Information Hiding and Multimedia Security (IH&amp;MMSec ’19),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r w:rsidRPr="00253E27">
        <w:t xml:space="preserve">, last accessed 2026/10/15</w:t>
      </w:r>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