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dGVyczwvdGl0bGU+PHNlY29uZGFyeS10aXRsZT4yMDEyIElFRUUgSW50ZXJuYXRpb25hbCBXb3Jr
c2hvcCBvbiBJbmZvcm1hdGlvbiBGb3JlbnNpY3MgYW5kIFNlY3VyaXR5IChXSUZTKTwvc2Vjb25k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bWFnZSBzdGVnYW5vZ3JhcGh5PC90aXRsZT48c2Vjb25kYXJ5LXRpdGxlPjIwMTQgSUVFRSBJbnRl
cm5hdGlvbmFsIENvbmZlcmVuY2Ugb24gSW1hZ2UgUHJvY2Vzc2luZyAoSUNJUCk8L3NlY29uZGFy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feed noise-residual statistics, such as Spatial Rich Model (SRM) features, to a classifier like the Fisher linear discriminant ensemble,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aXRsZT4yMDE4IElFRUUgSW50ZXJuYXRpb25hbCBDb25mZXJlbmNlIG9uIEFjb3VzdGljcywgU3Bl
ZWNoIGFuZCBTaWduYWwgUHJvY2Vzc2luZyAoSUNBU1NQKTwvc2Vjb25kYXJ5LXRpdGxlPjwvdGl0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steganalysis&lt;/title&gt;&lt;secondary-title&gt;Proceedings of the 33rd ACM International Conference on Multimedia (MM '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bmFseXNpczwvdGl0bGU+PHNlY29uZGFyeS10aXRsZT4yMDE4IElFRUUgSW50ZXJuYXRpb25hbCBD
b25mZXJlbmNlIG9uIEFjb3VzdGljcywgU3BlZWNoIGFuZCBTaWduYWwgUHJvY2Vzc2luZyAoSUNB
U1NQKTwvc2Vjb25kYXJ5LXRpdGxlPjwvdGl0bGVzPjxwYWdlcz4yMDkyLTIwOTY8L3BhZ2VzPjxk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MjAxMiBJRUVFIEludGVybmF0aW9uYWwgV29ya3Nob3Agb24gSW5mb3JtYXRpb24gRm9yZW5zaWNz
IGFuZCBTZWN1cml0eSAoV0lGUyk8L3NlY29uZGFyeS10aXRsZT48L3RpdGxlcz48cGFnZXM+MjM0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Y29uZGFyeS10aXRsZT4yMDE0IElFRUUgSW50ZXJuYXRpb25hbCBDb25mZXJlbmNlIG9uIEltYWdl
IFByb2Nlc3NpbmcgKElDSVApPC9zZWNvbmRhcnktdGl0bGU+PC90aXRsZXM+PHBhZ2VzPjQyMDYt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matrix&lt;/title&gt;&lt;secondary-title&gt;Proceedings of the 11th ACM Workshop on Multimedia and Security (MM&amp;amp;Sec '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steganalysis&lt;/title&gt;&lt;secondary-title&gt;Proceedings of the 33rd ACM International Conference on Multimedia (MM '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summarizes the pipeline: the left column builds a leakage-controlled dataset, the two middle lanes train the detectors in parallel under protocols P1-P3, and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downsampled each to 256 × 256 with bicubic interpolation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filters&lt;/title&gt;&lt;secondary-title&gt;2012 IEEE International Workshop on Information Forensics and Security (WIFS)&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w:t>
      </w:r>
      <w:proofErr w:type="spellStart"/>
      <w:r>
        <w:t>bpp</w:t>
      </w:r>
      <w:proofErr w:type="spellEnd"/>
      <w:r>
        <w:t xml:space="preserve">, giving six variants per cover: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and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The evaluation code resamples the 120 test covers B = 1,000 times with seed 2026, so every condition and run uses the same resampled cover IDs; the 2.5th and 97.5th percentiles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reflect only the fixed 120 test covers and do not extend to other image sources. A direction is called supported only when its interval excludes zero; an interval containing zero is inconclusive, not evidence of equivalence. The 18 RQ3 intervals are not adjusted for multiplicity. Every run stores its per-image test scores and validation thresholds,</w:t>
      </w:r>
      <w:proofErr w:type="gramStart"/>
      <w:r>
        <w:t xml:space="preserve"/>
      </w:r>
      <w:proofErr w:type="gramEnd"/>
      <w:r>
        <w:t xml:space="preserve"> and the manifest stores the embedding seed and SHA-256 hash of every image, so all tables can be recomputed from the saved files.</w:t>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it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so these are repeated measurements, not independent samples, as are the false positives in Table 7 on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r w:rsidRPr="00253E27">
        <w:t xml:space="preserve">, last accessed 2026/10/15</w:t>
      </w:r>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1&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