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[−0.093, −0.046]).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[−0.050, +0.005]).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dGVyczwvdGl0bGU+PHNlY29uZGFyeS10aXRsZT5JRUVFIEludGVybmF0aW9uYWwgV29ya3Nob3Ag
b24gSW5mb3JtYXRpb24gRm9yZW5zaWNzIGFuZCBTZWN1cml0eSAoV0lGUyAyMDEyKTwvc2Vjb25k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bWFnZSBzdGVnYW5vZ3JhcGh5PC90aXRsZT48c2Vjb25kYXJ5LXRpdGxlPklFRUUgSW50ZXJuYXRp
b25hbCBDb25mZXJlbmNlIG9uIEltYWdlIFByb2Nlc3NpbmcgKElDSVAgMjAxNCk8L3NlY29uZGFy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train a classifier such as the Fisher linear discriminant ensemble on noise-residual statistics like Spatial Rich Model (SRM) features,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aXRsZT5JRUVFIEludGVybmF0aW9uYWwgQ29uZmVyZW5jZSBvbiBBY291c3RpY3MsIFNwZWVjaCBh
bmQgU2lnbmFsIFByb2Nlc3NpbmcgKElDQVNTUCAyMDE4KTwvc2Vjb25kYXJ5LXRpdGxlPjwvdGl0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bmFseXNpczwvdGl0bGU+PHNlY29uZGFyeS10aXRsZT5JRUVFIEludGVybmF0aW9uYWwgQ29uZmVy
ZW5jZSBvbiBBY291c3RpY3MsIFNwZWVjaCBhbmQgU2lnbmFsIFByb2Nlc3NpbmcgKElDQVNTUCAy
MDE4KTwvc2Vjb25kYXJ5LXRpdGxlPjwvdGl0bGVzPjxwYWdlcz4yMDkyLTIwOTY8L3BhZ2VzPjxk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SUVFRSBJbnRlcm5hdGlvbmFsIFdvcmtzaG9wIG9uIEluZm9ybWF0aW9uIEZvcmVuc2ljcyBhbmQg
U2VjdXJpdHkgKFdJRlMgMjAxMik8L3NlY29uZGFyeS10aXRsZT48L3RpdGxlcz48cGFnZXM+MjM0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Y29uZGFyeS10aXRsZT5JRUVFIEludGVybmF0aW9uYWwgQ29uZmVyZW5jZSBvbiBJbWFnZSBQcm9j
ZXNzaW5nIChJQ0lQIDIwMTQpPC9zZWNvbmRhcnktdGl0bGU+PC90aXRsZXM+PHBhZ2VzPjQyMDYt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matrix&lt;/title&gt;&lt;secondary-title&gt;11th ACM Workshop on Multimedia and Security (MM&amp;amp;Sec 2009)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for algorithm shift,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shows the pipeline. The left column builds a leakage-controlled dataset, and the two middle lanes train both detectors in parallel under protocols P1-P3. The right side evaluates every trained model on one fixed set of test covers.</w:t>
      </w:r>
      <w:r w:rsidR="002C710A">
        <w:t xml:space="preserve"/>
      </w:r>
      <w:r>
        <w:t xml:space="preserve"/>
      </w:r>
      <w:r w:rsidR="002C710A">
        <w:t xml:space="preserve"/>
      </w:r>
      <w:r>
        <w:t xml:space="preserve"/>
      </w:r>
      <w:r w:rsidR="002C710A">
        <w:t xml:space="preserve"/>
      </w:r>
      <w:r>
        <w:t xml:space="preserve"/>
      </w:r>
      <w:r w:rsidR="002C710A">
        <w:t xml:space="preserve"/>
      </w:r>
      <w:r>
        <w:t xml:space="preserve"/>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bicubically downsampled each to 256 × 256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filters&lt;/title&gt;&lt;secondary-title&gt;IEEE International Workshop on Information Forensics and Security (WIFS 2012)&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bpp using the conseal embedding simulator, giving six variants per cover</w:t>
      </w:r>
      <w:proofErr w:type="spellStart"/>
      <w:r>
        <w:t xml:space="preserve"/>
      </w:r>
      <w:proofErr w:type="spellEnd"/>
      <w:r>
        <w:t xml:space="preserve">: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gives a normalized 17-bin histogram of its values clipped to [−8, 8] plus the mean absolute value and standard deviation of the unclipped residual (4 × 19 = 76 features). A StandardScaler fitted only on each run's training features standardizes all splits. The classifier uses L2 regularization with C = 1.0, the deterministic lbfgs solver, no class weights and max_iter = 2000.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&lt;EndNote&gt;&lt;Cite&gt;&lt;Author&gt;Beneš&lt;/Author&gt;&lt;Year&gt;2024&lt;/Year&gt;&lt;RecNum&gt;28&lt;/RecNum&gt;&lt;DisplayText&gt;[20]&lt;/DisplayText&gt;&lt;record&gt;&lt;rec-number&gt;28&lt;/rec-number&gt;&lt;foreign-keys&gt;&lt;key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package&lt;/secondary-title&gt;&lt;/titles&gt;&lt;dates&gt;&lt;year&gt;2024&lt;/year&gt;&lt;/dates&gt;&lt;publisher&gt;University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w:t>
      </w:r>
      <w:proofErr w:type="spellStart"/>
      <w:r>
        <w:t>d</w:t>
      </w:r>
      <w:r>
        <w:rPr>
          <w:vertAlign w:val="subscript"/>
        </w:rPr>
        <w:t>sub</w:t>
      </w:r>
      <w:proofErr w:type="spellEnd"/>
      <w:r>
        <w:t xml:space="preserve"> = 500.</w:t>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 xml:space="preserve">variant sampling (P2, P3)</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42-44 control the variant draws and the random parts of SRM+Ensemble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We resample the 120 test covers B = 1,000 times with seed 2026, so every condition and run uses the same resampled cover IDs. The 2.5th and 97.5th percentiles give the 95% interval.</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account only for test-cover sampling and do not extend to other image sources. A direction is called supported only when its interval excludes zero; an interval containing zero is inconclusive, not evidence of equivalence. The 18 RQ3 intervals are not adjusted for multiplicity. Each run saves its per-image test scores and validation thresholds, and the manifest records the embedding seed and SHA-256 hash of every image. All tables can be recomputed from these files.</w:t>
      </w:r>
      <w:proofErr w:type="gramStart"/>
      <w:r>
        <w:t xml:space="preserve"/>
      </w:r>
      <w:proofErr w:type="gramEnd"/>
      <w:r>
        <w:t xml:space="preserve"/>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the interval of the paired ΔAUC excludes zero, and BER rises from 0.347 to 0.386. For Residual-LR the difference is +0.024 [−0.007, +0.056],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[−0.093, −0.046]).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[−0.007, +0.056]</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[−0.093, −0.046]</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[−0.020, +0.007]</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[−0.050, +0.005]</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[−0.050, +0.005]); for Residual-LR the difference is −0.005 [−0.020, +0.007].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all 18 intervals lie below zero. The </w:t>
      </w:r>
      <w:proofErr w:type="spellStart"/>
      <w:r>
        <w:t>SRM+Ensemble</w:t>
      </w:r>
      <w:proofErr w:type="spellEnd"/>
      <w:r>
        <w:t xml:space="preserve"> losses are about three times those of Residual-LR, and one Residual-LR interval ends at −0.001 (P3 WOW).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−0.008</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−0.012</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−0.001</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3/3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−0.092</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−0.089</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close to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its three runs are identical (P1 has no variant sampling and the lbfgs fit is deterministic), so that is 5/120 per run, </w:t>
      </w:r>
      <w:proofErr w:type="gramStart"/>
      <w:r>
        <w:t>whose</w:t>
      </w:r>
      <w:proofErr w:type="gramEnd"/>
      <w:r>
        <w:t xml:space="preserve"> exact 95% Clopper</w:t>
      </w:r>
      <w:r w:rsidR="002C710A">
        <w:t>-</w:t>
      </w:r>
      <w:r>
        <w:t xml:space="preserve">Pearson interval, [1.4%, 9.5%], excludes 1%. A likely reason is that </w:t>
      </w:r>
      <w:proofErr w:type="spellStart"/>
      <w:r>
        <w:t>τ</w:t>
      </w:r>
      <w:r>
        <w:rPr>
          <w:vertAlign w:val="subscript"/>
        </w:rPr>
        <w:t>low</w:t>
      </w:r>
      <w:proofErr w:type="spellEnd"/>
      <w:r>
        <w:t xml:space="preserve"> rests on the second-highest of only 120 validation cover scores, an extreme order statistic that varies strongly between samples. An exchangeable test cover exceeds this threshold with probability 2/121 ≈ 1.7%.</w:t>
      </w:r>
      <w:r>
        <w:lastRenderedPageBreak/>
        <w:t xml:space="preserve"/>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over seeds 42</w:t>
      </w:r>
      <w:r w:rsidR="002C710A">
        <w:t>-</w:t>
      </w:r>
      <w:r>
        <w:t>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 xml:space="preserve">0.069</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These scores are repeated measurements, not independent samples. The false positives in Table 7 are also repeated evaluations of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[−0.093, −0.046]),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Electronic Imaging, Media Watermarking, Security, and Forensics 2019, pp. 534-1–534-11. IS&amp;T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33rd ACM International Conference on Multimedia (MM 2025),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11th ACM Workshop on Multimedia and Security (MM&amp;Sec 2009),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ACM Workshop on Information Hiding and Multimedia Security (IH&amp;MMSec 2019),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 https://hal.science/hal-05101274</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University of Innsbruck (2024). </w:t>
      </w:r>
      <w:hyperlink r:id="rId10" w:history="1">
        <w:r w:rsidRPr="00253E27">
          <w:rPr>
            <w:rStyle w:val="Siuktni"/>
          </w:rPr>
          <w:t xml:space="preserve">https://github.com/uibk-uncover/sealwatch</w:t>
        </w:r>
      </w:hyperlink>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0&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9&lt;/FontSize&gt;&lt;ReflistTitle&gt;&lt;/ReflistTitle&gt;&lt;StartingRefnum&gt;1&lt;/StartingRefnum&gt;&lt;FirstLineIndent&gt;0&lt;/FirstLineIndent&gt;&lt;HangingIndent&gt;341&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