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dGVyczwvdGl0bGU+PHNlY29uZGFyeS10aXRsZT5JRUVFIEludGVybmF0aW9uYWwgV29ya3Nob3Ag
b24gSW5mb3JtYXRpb24gRm9yZW5zaWNzIGFuZCBTZWN1cml0eSAoV0lGUyAyMDEyKTwvc2Vjb25k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bWFnZSBzdGVnYW5vZ3JhcGh5PC90aXRsZT48c2Vjb25kYXJ5LXRpdGxlPklFRUUgSW50ZXJuYXRp
b25hbCBDb25mZXJlbmNlIG9uIEltYWdlIFByb2Nlc3NpbmcgKElDSVAgMjAxNCk8L3NlY29uZGFy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train a classifier such as the Fisher linear discriminant ensemble on noise-residual statistics like Spatial Rich Model (SRM) features,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aXRsZT5JRUVFIEludGVybmF0aW9uYWwgQ29uZmVyZW5jZSBvbiBBY291c3RpY3MsIFNwZWVjaCBh
bmQgU2lnbmFsIFByb2Nlc3NpbmcgKElDQVNTUCAyMDE4KTwvc2Vjb25kYXJ5LXRpdGxlPjwvdGl0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bmFseXNpczwvdGl0bGU+PHNlY29uZGFyeS10aXRsZT5JRUVFIEludGVybmF0aW9uYWwgQ29uZmVy
ZW5jZSBvbiBBY291c3RpY3MsIFNwZWVjaCBhbmQgU2lnbmFsIFByb2Nlc3NpbmcgKElDQVNTUCAy
MDE4KTwvc2Vjb25kYXJ5LXRpdGxlPjwvdGl0bGVzPjxwYWdlcz4yMDkyLTIwOTY8L3BhZ2VzPjxk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SUVFRSBJbnRlcm5hdGlvbmFsIFdvcmtzaG9wIG9uIEluZm9ybWF0aW9uIEZvcmVuc2ljcyBhbmQg
U2VjdXJpdHkgKFdJRlMgMjAxMik8L3NlY29uZGFyeS10aXRsZT48L3RpdGxlcz48cGFnZXM+MjM0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Y29uZGFyeS10aXRsZT5JRUVFIEludGVybmF0aW9uYWwgQ29uZmVyZW5jZSBvbiBJbWFnZSBQcm9j
ZXNzaW5nIChJQ0lQIDIwMTQpPC9zZWNvbmRhcnktdGl0bGU+PC90aXRsZXM+PHBhZ2VzPjQyMDYt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matrix&lt;/title&gt;&lt;secondary-title&gt;11th ACM Workshop on Multimedia and Security (MM&amp;amp;Sec 2009)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shows the pipeline. The left column builds a leakage-controlled dataset, and the two middle lanes train both detectors in parallel under protocols P1-P3.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bicubically downsampled each to 256 × 256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filters&lt;/title&gt;&lt;secondary-title&gt;IEEE International Workshop on Information Forensics and Security (WIFS 2012)&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bpp by the simulators in the conseal library (https://github.com/uibk-uncover/conseal), giving six variants per cover</w:t>
      </w:r>
      <w:proofErr w:type="spellStart"/>
      <w:r>
        <w:t xml:space="preserve"/>
      </w:r>
      <w:proofErr w:type="spellEnd"/>
      <w:r>
        <w:t xml:space="preserve">: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The 2.5th and 97.5th percentiles of the replicate differences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account only for test-cover sampling and do not extend to other image sources. A direction is called supported only when its interval excludes zero; an interval containing zero is inconclusive, not evidence of equivalence. The 18 RQ3 intervals are not adjusted for multiplicity. Each run saves its per-image test scores and validation thresholds, and the manifest records the embedding seed and SHA-256 hash of every image. All tables can be recomputed from these files.</w:t>
      </w:r>
      <w:proofErr w:type="gramStart"/>
      <w:r>
        <w:t xml:space="preserve"/>
      </w:r>
      <w:proofErr w:type="gramEnd"/>
      <w:r>
        <w:t xml:space="preserve"/>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this threshold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These scores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0&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9&lt;/FontSize&gt;&lt;ReflistTitle&gt;&lt;/ReflistTitle&gt;&lt;StartingRefnum&gt;1&lt;/StartingRefnum&gt;&lt;FirstLineIndent&gt;0&lt;/FirstLineIndent&gt;&lt;HangingIndent&gt;341&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