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[−0.095, −0.044]).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[−0.049, +0.006]).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such as the Fisher linear discriminant ensemble on noise-residual statistics like Spatial Rich Model (SRM) features,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shows the pipeline. The left column builds a leakage-controlled dataset, and the two middle lanes train both detectors in parallel under protocols P1-P3.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bicubically downsampled each to 256 × 256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bpp by the simulators in the conseal library (https://github.com/uibk-uncover/conseal), giving six variants per cover</w:t>
      </w:r>
      <w:proofErr w:type="spellStart"/>
      <w:r>
        <w:t xml:space="preserve"/>
      </w:r>
      <w:proofErr w:type="spellEnd"/>
      <w:r>
        <w:t xml:space="preserve">: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&lt;EndNote&gt;&lt;Cite&gt;&lt;Author&gt;Beneš&lt;/Author&gt;&lt;Year&gt;2025&lt;/Year&gt;&lt;RecNum&gt;28&lt;/RecNum&gt;&lt;DisplayText&gt;[20]&lt;/DisplayText&gt;&lt;record&gt;&lt;rec-number&gt;28&lt;/rec-number&gt;&lt;foreign-keys&gt;&lt;key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 version 2025.9&lt;/secondary-title&gt;&lt;/titles&gt;&lt;dates&gt;&lt;year&gt;2025&lt;/year&gt;&lt;/dates&gt;&lt;publisher&gt;University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dsub = 500. Its score is the mean of the 50 base-learner votes (±1).</w:t>
      </w:r>
      <w:proofErr w:type="spellStart"/>
      <w:r>
        <w:t xml:space="preserve"/>
      </w:r>
      <w:r>
        <w:rPr>
          <w:vertAlign w:val="subscript"/>
        </w:rPr>
        <w:t xml:space="preserve"/>
      </w:r>
      <w:proofErr w:type="spellEnd"/>
      <w:r>
        <w:t xml:space="preserve"/>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One draw serves all three seeds, and the replicate ΔAUC is the mean of the three per-seed differences. The 2.5th and 97.5th percentiles of B = 10,000 replicates (NumPy default_rng, seed 2026)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account only for test-cover sampling and do not extend to other image sources. A direction is called supported only when its interval excludes zero; an interval containing zero is inconclusive, not evidence of equivalence. The 18 RQ3 intervals are not adjusted for multiplicity. Each run saves its per-image test scores and validation thresholds, and the manifest records the embedding seed and SHA-256 hash of every image. All tables can be recomputed from these files.</w:t>
      </w:r>
      <w:proofErr w:type="gramStart"/>
      <w:r>
        <w:t xml:space="preserve"/>
      </w:r>
      <w:proofErr w:type="gramEnd"/>
      <w:r>
        <w:t xml:space="preserve"/>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xml:space="preserve">); the interval of the paired ΔAUC excludes zero, and BER rises from 0.347 to 0.386. For Residual-LR the difference is +0.024 [−0.008, +0.057],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[−0.095, −0.044]).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 xml:space="preserve">[−0.008, +0.057]</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 xml:space="preserve">[−0.095, −0.044]</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 xml:space="preserve">[−0.019, +0.008]</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 xml:space="preserve">[−0.049, +0.006]</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[−0.049, +0.006]); for Residual-LR the difference is −0.005 [−0.019, +0.008].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17 of the 18 intervals lie below zero; the Residual-LR interval for P3 WOW reaches zero. The SRM+Ensemble losses are about three times those of Residual-LR.</w:t>
      </w:r>
      <w:proofErr w:type="spellStart"/>
      <w:r>
        <w:t xml:space="preserve"/>
      </w:r>
      <w:proofErr w:type="spellEnd"/>
      <w:r>
        <w:t xml:space="preserve">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 xml:space="preserve">−0.007</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 xml:space="preserve">−0.011</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 xml:space="preserve">0.000</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 xml:space="preserve">2/3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 xml:space="preserve">−0.091</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 xml:space="preserve">−0.087</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at or near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this threshold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are counted over seeds 42-44 (3 × 120 test covers; per seed in Suppl. Table S3)</w:t>
      </w:r>
      <w:r w:rsidR="002C710A">
        <w:t xml:space="preserve"/>
      </w:r>
      <w:r>
        <w:t xml:space="preserve">;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These scores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[−0.095, −0.044]),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version 2025.9, University of Innsbruck (2025).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