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">
  <w:body>
    <w:p>
      <w:pPr>
        <w:pStyle w:val="papertitle"/>
        <w:spacing w:after="120"/>
      </w:pPr>
      <w:r>
        <w:t xml:space="preserve">Supplementary Material</w:t>
      </w:r>
    </w:p>
    <w:p>
      <w:pPr>
        <w:pStyle w:val="address"/>
        <w:spacing w:after="240"/>
      </w:pPr>
      <w:r>
        <w:t xml:space="preserve">StegaGuard: A Controlled Robustness Study of Lightweight Image Steganalysis under Algorithm and Payload Shift</w:t>
      </w:r>
    </w:p>
    <w:p>
      <w:pPr>
        <w:pStyle w:val="p1a"/>
      </w:pPr>
      <w:r>
        <w:t xml:space="preserve">This supplement lists the full results that the manuscript summarizes. Unless stated otherwise, values are means over seeds 42, 43 and 44 on the same 120 test source covers; they are repeated measurements on one partition, not independent samples.</w:t>
      </w:r>
    </w:p>
    <w:p>
      <w:pPr>
        <w:pStyle w:val="tablecaption"/>
        <w:jc w:val="both"/>
      </w:pPr>
      <w:r>
        <w:rPr>
          <w:b/>
          <w:bCs/>
        </w:rPr>
        <w:t xml:space="preserve">Table S1.</w:t>
      </w:r>
      <w:r>
        <w:t xml:space="preserve"> Detector × protocol × algorithm × payload results on the 120 test covers. ROC-AUC is mean ± sample SD over three seeds; F1 and BER use the validation-selected τ</w:t>
      </w:r>
      <w:r>
        <w:rPr>
          <w:vertAlign w:val="subscript"/>
        </w:rPr>
        <w:t xml:space="preserve">BER</w:t>
      </w:r>
      <w:r>
        <w:t xml:space="preserve">; recall and FPR use the validation-selected τ</w:t>
      </w:r>
      <w:r>
        <w:rPr>
          <w:vertAlign w:val="subscript"/>
        </w:rPr>
        <w:t xml:space="preserve">low</w:t>
      </w:r>
      <w:r>
        <w:t xml:space="preserve"> (validation FPR ≤ 1%).</w:t>
      </w:r>
    </w:p>
    <w:tbl>
      <w:tblPr>
        <w:tblW w:w="6918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250"/>
        <w:gridCol w:w="330"/>
        <w:gridCol w:w="1000"/>
        <w:gridCol w:w="400"/>
        <w:gridCol w:w="1100"/>
        <w:gridCol w:w="600"/>
        <w:gridCol w:w="600"/>
        <w:gridCol w:w="760"/>
        <w:gridCol w:w="878"/>
      </w:tblGrid>
      <w:tr>
        <w:trPr>
          <w:cantSplit/>
          <w:tblHeader/>
        </w:trPr>
        <w:tc>
          <w:tcPr>
            <w:tcW w:w="125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Detector</w:t>
            </w:r>
          </w:p>
        </w:tc>
        <w:tc>
          <w:tcPr>
            <w:tcW w:w="33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</w:t>
            </w:r>
          </w:p>
        </w:tc>
        <w:tc>
          <w:tcPr>
            <w:tcW w:w="10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Algorithm</w:t>
            </w:r>
          </w:p>
        </w:tc>
        <w:tc>
          <w:tcPr>
            <w:tcW w:w="4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bpp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ROC-AUC</w:t>
            </w:r>
          </w:p>
        </w:tc>
        <w:tc>
          <w:tcPr>
            <w:tcW w:w="6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F1</w:t>
            </w:r>
          </w:p>
        </w:tc>
        <w:tc>
          <w:tcPr>
            <w:tcW w:w="6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BER</w:t>
            </w:r>
          </w:p>
        </w:tc>
        <w:tc>
          <w:tcPr>
            <w:tcW w:w="76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Recall@τ</w:t>
            </w:r>
            <w:r>
              <w:rPr>
                <w:b/>
                <w:bCs/>
                <w:sz w:val="16"/>
                <w:szCs w:val="16"/>
                <w:vertAlign w:val="subscript"/>
              </w:rPr>
              <w:t xml:space="preserve">low</w:t>
            </w:r>
          </w:p>
        </w:tc>
        <w:tc>
          <w:tcPr>
            <w:tcW w:w="878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FPR@τ</w:t>
            </w:r>
            <w:r>
              <w:rPr>
                <w:b/>
                <w:bCs/>
                <w:sz w:val="16"/>
                <w:szCs w:val="16"/>
                <w:vertAlign w:val="subscript"/>
              </w:rPr>
              <w:t xml:space="preserve">low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Residual-LR</w:t>
            </w: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0.058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0.510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0.475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0.565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0.454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0.505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0.496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0.570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0.438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0.514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 ± 0.005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0.566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0.472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0.072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0.500 ± 0.001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0.547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0.487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0.549 ± 0.001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0.577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0.464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0.097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0.504 ± 0.002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0.551 ± 0.004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0.595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0.450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0.089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0.505 ± 0.002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0.523 ± 0.002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0.584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0.482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0.061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0.501 ± 0.002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0.555 ± 0.016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0.603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0.467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0.092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0.502 ± 0.004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0.572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0.064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 ± 0.012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0.596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0.078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0.511 ± 0.007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SRM+Ensemble</w:t>
            </w: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0.714 ± 0.026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0.684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0.347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0.189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0.539 ± 0.002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0.689 ± 0.008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0.669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0.360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0.114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0.532 ± 0.015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0.061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0.645 ± 0.009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0.636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0.386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0.108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0.525 ± 0.009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0.713 ± 0.009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0.650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0.351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0.156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0.550 ± 0.012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0.469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0.039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0.717 ± 0.006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0.648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0.353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0.097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 ± 0.009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0.471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0.025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0.653 ± 0.018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0.585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0.394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0.072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 ± 0.007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0.459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0.475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0.028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0.686 ± 0.028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0.647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0.358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0.147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 ± 0.016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0.469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0.033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0.677 ± 0.022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0.610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0.383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0.131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0.528 ± 0.005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0.450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0.485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0.632 ± 0.010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0.586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0.400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0.083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0.517 ± 0.010</w:t>
            </w:r>
          </w:p>
        </w:tc>
        <w:tc>
          <w:tcPr>
            <w:tcW w:w="6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0.445</w:t>
            </w:r>
          </w:p>
        </w:tc>
        <w:tc>
          <w:tcPr>
            <w:tcW w:w="6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0.489</w:t>
            </w:r>
          </w:p>
        </w:tc>
        <w:tc>
          <w:tcPr>
            <w:tcW w:w="76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0.036</w:t>
            </w:r>
          </w:p>
        </w:tc>
        <w:tc>
          <w:tcPr>
            <w:tcW w:w="878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</w:tbl>
    <w:p>
      <w:pPr>
        <w:spacing w:before="0" w:after="0" w:line="120" w:lineRule="exact"/>
      </w:pPr>
    </w:p>
    <w:p>
      <w:pPr>
        <w:pStyle w:val="p1a"/>
      </w:pPr>
      <w:r>
        <w:t xml:space="preserve">Residual-LR shows a seed SD of 0.000 under P1, consistent with P1 involving no variant sampling and a deterministic fit. The FPR column is constant within each detector and protocol because the 120 test covers are scored identically in all six stego conditions. Table S3 gives the per-run false-positive counts behind these rates.</w:t>
      </w:r>
    </w:p>
    <w:p>
      <w:pPr>
        <w:pStyle w:val="tablecaption"/>
        <w:jc w:val="both"/>
      </w:pPr>
      <w:r>
        <w:rPr>
          <w:b/>
          <w:bCs/>
        </w:rPr>
        <w:t xml:space="preserve">Table S2.</w:t>
      </w:r>
      <w:r>
        <w:t xml:space="preserve"> Payload-shift comparisons (RQ3). ΔAUC = AUC(0.1 bpp) − AUC(0.4 bpp), paired on the 120 test covers, with 95% paired bootstrap intervals (resampling unit: source cover; one draw shared by the three seeds; B = 10,000; see Sect. 3.5 of the manuscript). ΔAUC is computed from unrounded AUCs and may differ by 0.001 from the rounded columns.</w:t>
      </w:r>
    </w:p>
    <w:tbl>
      <w:tblPr>
        <w:tblW w:w="6918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400"/>
        <w:gridCol w:w="400"/>
        <w:gridCol w:w="1200"/>
        <w:gridCol w:w="900"/>
        <w:gridCol w:w="900"/>
        <w:gridCol w:w="900"/>
        <w:gridCol w:w="1218"/>
      </w:tblGrid>
      <w:tr>
        <w:trPr>
          <w:cantSplit/>
          <w:tblHeader/>
        </w:trPr>
        <w:tc>
          <w:tcPr>
            <w:tcW w:w="14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Detector</w:t>
            </w:r>
          </w:p>
        </w:tc>
        <w:tc>
          <w:tcPr>
            <w:tcW w:w="4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</w:t>
            </w:r>
          </w:p>
        </w:tc>
        <w:tc>
          <w:tcPr>
            <w:tcW w:w="12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Algorithm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AUC 0.4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AUC 0.1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ΔAUC</w:t>
            </w:r>
          </w:p>
        </w:tc>
        <w:tc>
          <w:tcPr>
            <w:tcW w:w="1218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95% CI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Residual-LR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0.510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−0.036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[−0.064, −0.007]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−0.060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[−0.093, −0.029]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0.570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0.514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−0.056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[−0.095, −0.021]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0.500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−0.034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[−0.058, −0.011]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0.549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0.504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−0.045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[−0.070, −0.022]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0.551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−0.046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[−0.074, −0.020]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0.523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0.501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−0.022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[−0.046, 0.000]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0.502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−0.054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[−0.079, −0.031]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0.511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−0.035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[−0.065, −0.006]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SRM+Ensemble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0.714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0.539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−0.175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[−0.207, −0.143]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0.689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0.532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−0.157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[−0.188, −0.127]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0.645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−0.120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[−0.149, −0.091]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0.713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0.550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−0.163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[−0.193, −0.134]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0.717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−0.183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[−0.212, −0.154]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0.653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−0.119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[−0.149, −0.088]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0.686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−0.140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[−0.170, −0.111]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0.677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0.528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−0.149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[−0.178, −0.120]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0.632</w:t>
            </w:r>
          </w:p>
        </w:tc>
        <w:tc>
          <w:tcPr>
            <w:tcW w:w="9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0.517</w:t>
            </w:r>
          </w:p>
        </w:tc>
        <w:tc>
          <w:tcPr>
            <w:tcW w:w="9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−0.115</w:t>
            </w:r>
          </w:p>
        </w:tc>
        <w:tc>
          <w:tcPr>
            <w:tcW w:w="1218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[−0.144, −0.087]</w:t>
            </w:r>
          </w:p>
        </w:tc>
      </w:tr>
    </w:tbl>
    <w:p>
      <w:pPr>
        <w:spacing w:before="0" w:after="0" w:line="120" w:lineRule="exact"/>
      </w:pPr>
    </w:p>
    <w:p>
      <w:pPr>
        <w:pStyle w:val="tablecaption"/>
        <w:jc w:val="both"/>
      </w:pPr>
      <w:r>
        <w:rPr>
          <w:b/>
          <w:bCs/>
        </w:rPr>
        <w:t xml:space="preserve">Table S3.</w:t>
      </w:r>
      <w:r>
        <w:t xml:space="preserve"> Test false positives at τ</w:t>
      </w:r>
      <w:r>
        <w:rPr>
          <w:vertAlign w:val="subscript"/>
        </w:rPr>
        <w:t xml:space="preserve">low</w:t>
      </w:r>
      <w:r>
        <w:t xml:space="preserve"> in each run (of 120 test covers), counted from the per-image test scores. The test FPR is the total divided by the 3 × 120 = 360 cover evaluations.</w:t>
      </w:r>
    </w:p>
    <w:tbl>
      <w:tblPr>
        <w:tblW w:w="6918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400"/>
        <w:gridCol w:w="400"/>
        <w:gridCol w:w="900"/>
        <w:gridCol w:w="900"/>
        <w:gridCol w:w="900"/>
        <w:gridCol w:w="1200"/>
        <w:gridCol w:w="1218"/>
      </w:tblGrid>
      <w:tr>
        <w:trPr>
          <w:cantSplit/>
          <w:tblHeader/>
        </w:trPr>
        <w:tc>
          <w:tcPr>
            <w:tcW w:w="14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Detector</w:t>
            </w:r>
          </w:p>
        </w:tc>
        <w:tc>
          <w:tcPr>
            <w:tcW w:w="4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Seed 42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Seed 43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Seed 44</w:t>
            </w:r>
          </w:p>
        </w:tc>
        <w:tc>
          <w:tcPr>
            <w:tcW w:w="12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Total</w:t>
            </w:r>
          </w:p>
        </w:tc>
        <w:tc>
          <w:tcPr>
            <w:tcW w:w="1218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Test FPR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Residual-LR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15/360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15/360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7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19/360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SRM+Ensemble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7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18/360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7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11/360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9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w="9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9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w="12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8/360</w:t>
            </w:r>
          </w:p>
        </w:tc>
        <w:tc>
          <w:tcPr>
            <w:tcW w:w="1218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</w:tbl>
    <w:p>
      <w:pPr>
        <w:spacing w:before="0" w:after="0" w:line="120" w:lineRule="exact"/>
      </w:pPr>
    </w:p>
    <w:p>
      <w:pPr>
        <w:pStyle w:val="p1a"/>
      </w:pPr>
      <w:r>
        <w:rPr>
          <w:b/>
          <w:bCs/>
        </w:rPr>
        <w:t xml:space="preserve">Software.</w:t>
      </w:r>
      <w:r>
        <w:t xml:space="preserve"> All experimental results in the manuscript and in Tables S1-S3 were computed from the 600 source images with Python 3.13, NumPy 2.5.3 (OpenBLAS, Haswell kernel), SciPy 1.18.1, scikit-learn 1.9.1, Pillow 12.3.0, conseal 2025.11 and sealwatch 2025.9.</w:t>
      </w:r>
    </w:p>
    <w:sectPr>
      <w:pgSz w:w="11906" w:h="16838" w:code="9"/>
      <w:pgMar w:top="2948" w:right="2494" w:bottom="2948" w:left="2494" w:header="2381" w:footer="2324" w:gutter="0"/>
      <w:cols w:space="227"/>
      <w:titlePg/>
      <w:docGrid w:linePitch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4C73F" w14:textId="77777777" w:rsidR="008A7142" w:rsidRDefault="008A7142">
      <w:r>
        <w:separator/>
      </w:r>
    </w:p>
  </w:endnote>
  <w:endnote w:type="continuationSeparator" w:id="0">
    <w:p w14:paraId="1C159D41" w14:textId="77777777" w:rsidR="008A7142" w:rsidRDefault="008A71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">
    <w:panose1 w:val="02070409020205020404"/>
    <w:charset w:val="00"/>
    <w:family w:val="modern"/>
    <w:pitch w:val="default"/>
    <w:sig w:usb0="00000000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8E4EC" w14:textId="77777777" w:rsidR="008A7142" w:rsidRDefault="008A7142" w:rsidP="009F7FCE">
      <w:pPr>
        <w:ind w:firstLine="0"/>
      </w:pPr>
      <w:r>
        <w:separator/>
      </w:r>
    </w:p>
  </w:footnote>
  <w:footnote w:type="continuationSeparator" w:id="0">
    <w:p w14:paraId="6BE2E374" w14:textId="77777777" w:rsidR="008A7142" w:rsidRDefault="008A7142" w:rsidP="009F7FCE">
      <w:pPr>
        <w:ind w:firstLin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43F0"/>
    <w:multiLevelType w:val="multilevel"/>
    <w:tmpl w:val="23FAB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D615DA"/>
    <w:multiLevelType w:val="hybridMultilevel"/>
    <w:tmpl w:val="EF62294E"/>
    <w:lvl w:ilvl="0" w:tplc="EDD251C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83E9F"/>
    <w:multiLevelType w:val="hybridMultilevel"/>
    <w:tmpl w:val="4EB041D0"/>
    <w:lvl w:ilvl="0" w:tplc="EDD251C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233AB9"/>
    <w:multiLevelType w:val="multilevel"/>
    <w:tmpl w:val="036A4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F05CD7"/>
    <w:multiLevelType w:val="hybridMultilevel"/>
    <w:tmpl w:val="2D8017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231A45"/>
    <w:multiLevelType w:val="hybridMultilevel"/>
    <w:tmpl w:val="12F6BF38"/>
    <w:lvl w:ilvl="0" w:tplc="EDD251C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397F84"/>
    <w:multiLevelType w:val="multilevel"/>
    <w:tmpl w:val="77162394"/>
    <w:styleLink w:val="itemization1"/>
    <w:lvl w:ilvl="0">
      <w:start w:val="1"/>
      <w:numFmt w:val="bullet"/>
      <w:pStyle w:val="bulletitem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num" w:pos="680"/>
        </w:tabs>
        <w:ind w:left="680" w:hanging="226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907"/>
        </w:tabs>
        <w:ind w:left="907" w:hanging="227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1134"/>
        </w:tabs>
        <w:ind w:left="1134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1361"/>
        </w:tabs>
        <w:ind w:left="1361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1814"/>
        </w:tabs>
        <w:ind w:left="1814" w:hanging="22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2041"/>
        </w:tabs>
        <w:ind w:left="2041" w:hanging="227"/>
      </w:pPr>
      <w:rPr>
        <w:rFonts w:ascii="Wingdings" w:hAnsi="Wingdings" w:hint="default"/>
      </w:rPr>
    </w:lvl>
  </w:abstractNum>
  <w:abstractNum w:abstractNumId="7" w15:restartNumberingAfterBreak="0">
    <w:nsid w:val="1FD866CB"/>
    <w:multiLevelType w:val="hybridMultilevel"/>
    <w:tmpl w:val="693CA286"/>
    <w:lvl w:ilvl="0" w:tplc="EDD251C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46029F"/>
    <w:multiLevelType w:val="hybridMultilevel"/>
    <w:tmpl w:val="335CCA42"/>
    <w:lvl w:ilvl="0" w:tplc="A6B4D48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51276"/>
    <w:multiLevelType w:val="hybridMultilevel"/>
    <w:tmpl w:val="F04AE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4F4505"/>
    <w:multiLevelType w:val="hybridMultilevel"/>
    <w:tmpl w:val="9AFA12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E17658"/>
    <w:multiLevelType w:val="hybridMultilevel"/>
    <w:tmpl w:val="04DA5A1E"/>
    <w:lvl w:ilvl="0" w:tplc="EDD251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04C9F"/>
    <w:multiLevelType w:val="multilevel"/>
    <w:tmpl w:val="BEDA5F46"/>
    <w:styleLink w:val="itemization2"/>
    <w:lvl w:ilvl="0">
      <w:start w:val="1"/>
      <w:numFmt w:val="bullet"/>
      <w:pStyle w:val="dashitem"/>
      <w:lvlText w:val="─"/>
      <w:lvlJc w:val="left"/>
      <w:pPr>
        <w:tabs>
          <w:tab w:val="num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hint="default"/>
      </w:rPr>
    </w:lvl>
    <w:lvl w:ilvl="2">
      <w:start w:val="1"/>
      <w:numFmt w:val="bullet"/>
      <w:lvlText w:val="○"/>
      <w:lvlJc w:val="left"/>
      <w:pPr>
        <w:tabs>
          <w:tab w:val="num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num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num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num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tabs>
          <w:tab w:val="num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num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70372AD0"/>
    <w:multiLevelType w:val="hybridMultilevel"/>
    <w:tmpl w:val="13807AC8"/>
    <w:lvl w:ilvl="0" w:tplc="5880B310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327DEE"/>
    <w:multiLevelType w:val="hybridMultilevel"/>
    <w:tmpl w:val="BAF61F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38779A"/>
    <w:multiLevelType w:val="multilevel"/>
    <w:tmpl w:val="77EC1FB2"/>
    <w:styleLink w:val="headings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964"/>
        </w:tabs>
        <w:ind w:left="964" w:hanging="964"/>
      </w:pPr>
      <w:rPr>
        <w:rFonts w:ascii="Times New Roman" w:hAnsi="Times New Roman" w:hint="default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6" w15:restartNumberingAfterBreak="0">
    <w:nsid w:val="78703FE5"/>
    <w:multiLevelType w:val="hybridMultilevel"/>
    <w:tmpl w:val="C478B436"/>
    <w:lvl w:ilvl="0" w:tplc="EDD251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274BC8"/>
    <w:multiLevelType w:val="multilevel"/>
    <w:tmpl w:val="72E65396"/>
    <w:styleLink w:val="arabnumitem"/>
    <w:lvl w:ilvl="0">
      <w:start w:val="1"/>
      <w:numFmt w:val="decimal"/>
      <w:lvlRestart w:val="0"/>
      <w:pStyle w:val="numitem"/>
      <w:lvlText w:val="%1."/>
      <w:lvlJc w:val="right"/>
      <w:pPr>
        <w:tabs>
          <w:tab w:val="num" w:pos="0"/>
        </w:tabs>
        <w:ind w:left="227" w:hanging="57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27"/>
        </w:tabs>
        <w:ind w:left="454" w:hanging="227"/>
      </w:pPr>
      <w:rPr>
        <w:rFonts w:hint="default"/>
      </w:rPr>
    </w:lvl>
    <w:lvl w:ilvl="2">
      <w:start w:val="1"/>
      <w:numFmt w:val="decimal"/>
      <w:lvlText w:val="(%3)"/>
      <w:lvlJc w:val="left"/>
      <w:pPr>
        <w:tabs>
          <w:tab w:val="num" w:pos="454"/>
        </w:tabs>
        <w:ind w:left="794" w:hanging="340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794"/>
        </w:tabs>
        <w:ind w:left="1077" w:hanging="283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077"/>
        </w:tabs>
        <w:ind w:left="1360" w:hanging="283"/>
      </w:pPr>
      <w:rPr>
        <w:rFonts w:hint="default"/>
      </w:rPr>
    </w:lvl>
    <w:lvl w:ilvl="5">
      <w:start w:val="1"/>
      <w:numFmt w:val="upperLetter"/>
      <w:lvlText w:val="%6."/>
      <w:lvlJc w:val="left"/>
      <w:pPr>
        <w:tabs>
          <w:tab w:val="num" w:pos="1360"/>
        </w:tabs>
        <w:ind w:left="1700" w:hanging="340"/>
      </w:pPr>
      <w:rPr>
        <w:rFonts w:hint="default"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D9521C8"/>
    <w:multiLevelType w:val="multilevel"/>
    <w:tmpl w:val="F35CB8F2"/>
    <w:styleLink w:val="referencelist"/>
    <w:lvl w:ilvl="0">
      <w:start w:val="1"/>
      <w:numFmt w:val="decimal"/>
      <w:pStyle w:val="referenceitem"/>
      <w:lvlText w:val="%1."/>
      <w:lvlJc w:val="right"/>
      <w:pPr>
        <w:tabs>
          <w:tab w:val="num" w:pos="341"/>
        </w:tabs>
        <w:ind w:left="341" w:hanging="11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96"/>
        </w:tabs>
        <w:ind w:left="189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616"/>
        </w:tabs>
        <w:ind w:left="261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336"/>
        </w:tabs>
        <w:ind w:left="333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56"/>
        </w:tabs>
        <w:ind w:left="405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776"/>
        </w:tabs>
        <w:ind w:left="477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96"/>
        </w:tabs>
        <w:ind w:left="549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16"/>
        </w:tabs>
        <w:ind w:left="621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36"/>
        </w:tabs>
        <w:ind w:left="6936" w:hanging="180"/>
      </w:pPr>
      <w:rPr>
        <w:rFonts w:hint="default"/>
      </w:rPr>
    </w:lvl>
  </w:abstractNum>
  <w:num w:numId="1" w16cid:durableId="62414349">
    <w:abstractNumId w:val="6"/>
  </w:num>
  <w:num w:numId="2" w16cid:durableId="1570723862">
    <w:abstractNumId w:val="6"/>
  </w:num>
  <w:num w:numId="3" w16cid:durableId="1172450152">
    <w:abstractNumId w:val="12"/>
  </w:num>
  <w:num w:numId="4" w16cid:durableId="1760131382">
    <w:abstractNumId w:val="12"/>
  </w:num>
  <w:num w:numId="5" w16cid:durableId="53703946">
    <w:abstractNumId w:val="17"/>
  </w:num>
  <w:num w:numId="6" w16cid:durableId="376978715">
    <w:abstractNumId w:val="17"/>
  </w:num>
  <w:num w:numId="7" w16cid:durableId="569970128">
    <w:abstractNumId w:val="15"/>
  </w:num>
  <w:num w:numId="8" w16cid:durableId="1608461128">
    <w:abstractNumId w:val="18"/>
  </w:num>
  <w:num w:numId="9" w16cid:durableId="1364819262">
    <w:abstractNumId w:val="18"/>
  </w:num>
  <w:num w:numId="10" w16cid:durableId="804587711">
    <w:abstractNumId w:val="13"/>
  </w:num>
  <w:num w:numId="11" w16cid:durableId="419836403">
    <w:abstractNumId w:val="7"/>
  </w:num>
  <w:num w:numId="12" w16cid:durableId="1159231633">
    <w:abstractNumId w:val="5"/>
  </w:num>
  <w:num w:numId="13" w16cid:durableId="1819223131">
    <w:abstractNumId w:val="11"/>
  </w:num>
  <w:num w:numId="14" w16cid:durableId="122235222">
    <w:abstractNumId w:val="1"/>
  </w:num>
  <w:num w:numId="15" w16cid:durableId="634601004">
    <w:abstractNumId w:val="16"/>
  </w:num>
  <w:num w:numId="16" w16cid:durableId="394935156">
    <w:abstractNumId w:val="2"/>
  </w:num>
  <w:num w:numId="17" w16cid:durableId="1757550570">
    <w:abstractNumId w:val="15"/>
  </w:num>
  <w:num w:numId="18" w16cid:durableId="561523257">
    <w:abstractNumId w:val="3"/>
  </w:num>
  <w:num w:numId="19" w16cid:durableId="1010179268">
    <w:abstractNumId w:val="0"/>
  </w:num>
  <w:num w:numId="20" w16cid:durableId="323630044">
    <w:abstractNumId w:val="10"/>
  </w:num>
  <w:num w:numId="21" w16cid:durableId="300306470">
    <w:abstractNumId w:val="14"/>
  </w:num>
  <w:num w:numId="22" w16cid:durableId="1976911816">
    <w:abstractNumId w:val="4"/>
  </w:num>
  <w:num w:numId="23" w16cid:durableId="1101954895">
    <w:abstractNumId w:val="8"/>
  </w:num>
  <w:num w:numId="24" w16cid:durableId="1215505798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227"/>
  <w:autoHyphenation/>
  <w:hyphenationZone w:val="400"/>
  <w:doNotHyphenateCaps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FCE"/>
    <w:rsid w:val="00006026"/>
    <w:rsid w:val="00007335"/>
    <w:rsid w:val="00013D38"/>
    <w:rsid w:val="000247CA"/>
    <w:rsid w:val="000474C4"/>
    <w:rsid w:val="00050D08"/>
    <w:rsid w:val="00055D44"/>
    <w:rsid w:val="00072432"/>
    <w:rsid w:val="000766F9"/>
    <w:rsid w:val="0007727E"/>
    <w:rsid w:val="000806A8"/>
    <w:rsid w:val="000E03F5"/>
    <w:rsid w:val="0015407E"/>
    <w:rsid w:val="00154848"/>
    <w:rsid w:val="00185E20"/>
    <w:rsid w:val="001923AD"/>
    <w:rsid w:val="001A02F0"/>
    <w:rsid w:val="001A7282"/>
    <w:rsid w:val="001B0DE3"/>
    <w:rsid w:val="002076D3"/>
    <w:rsid w:val="00221338"/>
    <w:rsid w:val="00232DB9"/>
    <w:rsid w:val="002815EF"/>
    <w:rsid w:val="00282F1E"/>
    <w:rsid w:val="002C3C49"/>
    <w:rsid w:val="002C56B9"/>
    <w:rsid w:val="002D48C5"/>
    <w:rsid w:val="002E3062"/>
    <w:rsid w:val="00305F6B"/>
    <w:rsid w:val="00341C9B"/>
    <w:rsid w:val="00351615"/>
    <w:rsid w:val="00373397"/>
    <w:rsid w:val="003803E6"/>
    <w:rsid w:val="00383CD8"/>
    <w:rsid w:val="003A0AB7"/>
    <w:rsid w:val="003A49F1"/>
    <w:rsid w:val="003B14F5"/>
    <w:rsid w:val="003F6976"/>
    <w:rsid w:val="00401FAC"/>
    <w:rsid w:val="0040222F"/>
    <w:rsid w:val="00417F83"/>
    <w:rsid w:val="004237E4"/>
    <w:rsid w:val="00455A34"/>
    <w:rsid w:val="00477BBF"/>
    <w:rsid w:val="00494A2E"/>
    <w:rsid w:val="00495D4B"/>
    <w:rsid w:val="00497C37"/>
    <w:rsid w:val="004C0333"/>
    <w:rsid w:val="004D25A9"/>
    <w:rsid w:val="004E0608"/>
    <w:rsid w:val="004F00EA"/>
    <w:rsid w:val="004F4715"/>
    <w:rsid w:val="004F5813"/>
    <w:rsid w:val="0050006C"/>
    <w:rsid w:val="0050369E"/>
    <w:rsid w:val="00517D72"/>
    <w:rsid w:val="005238D2"/>
    <w:rsid w:val="00535139"/>
    <w:rsid w:val="005375BB"/>
    <w:rsid w:val="00563EEA"/>
    <w:rsid w:val="005659A5"/>
    <w:rsid w:val="005712D9"/>
    <w:rsid w:val="00582D2C"/>
    <w:rsid w:val="00582DA5"/>
    <w:rsid w:val="00585A64"/>
    <w:rsid w:val="00591381"/>
    <w:rsid w:val="005A7622"/>
    <w:rsid w:val="00617809"/>
    <w:rsid w:val="006420C1"/>
    <w:rsid w:val="006608DF"/>
    <w:rsid w:val="00662452"/>
    <w:rsid w:val="00670DB2"/>
    <w:rsid w:val="00676774"/>
    <w:rsid w:val="00687302"/>
    <w:rsid w:val="006A75E4"/>
    <w:rsid w:val="006B7B42"/>
    <w:rsid w:val="006D0924"/>
    <w:rsid w:val="006F1FD0"/>
    <w:rsid w:val="00720D3D"/>
    <w:rsid w:val="007517D8"/>
    <w:rsid w:val="00755061"/>
    <w:rsid w:val="00761B24"/>
    <w:rsid w:val="00773A9D"/>
    <w:rsid w:val="0077743C"/>
    <w:rsid w:val="00781D18"/>
    <w:rsid w:val="00792C05"/>
    <w:rsid w:val="007A7B22"/>
    <w:rsid w:val="007C613B"/>
    <w:rsid w:val="007C770B"/>
    <w:rsid w:val="007D4E53"/>
    <w:rsid w:val="007D5E05"/>
    <w:rsid w:val="007D7B97"/>
    <w:rsid w:val="007E4E48"/>
    <w:rsid w:val="00800721"/>
    <w:rsid w:val="00807B8A"/>
    <w:rsid w:val="008273B9"/>
    <w:rsid w:val="00866286"/>
    <w:rsid w:val="00880BA9"/>
    <w:rsid w:val="00882F28"/>
    <w:rsid w:val="00895677"/>
    <w:rsid w:val="008A02E7"/>
    <w:rsid w:val="008A7142"/>
    <w:rsid w:val="008B6264"/>
    <w:rsid w:val="008C073E"/>
    <w:rsid w:val="008D17D5"/>
    <w:rsid w:val="008E53D7"/>
    <w:rsid w:val="008E6891"/>
    <w:rsid w:val="008F13CE"/>
    <w:rsid w:val="008F2D4C"/>
    <w:rsid w:val="00912E11"/>
    <w:rsid w:val="009158C1"/>
    <w:rsid w:val="009237DE"/>
    <w:rsid w:val="00964550"/>
    <w:rsid w:val="00974C13"/>
    <w:rsid w:val="00976F7C"/>
    <w:rsid w:val="00992F82"/>
    <w:rsid w:val="009930E4"/>
    <w:rsid w:val="009A4D13"/>
    <w:rsid w:val="009B2539"/>
    <w:rsid w:val="009B66E3"/>
    <w:rsid w:val="009B730B"/>
    <w:rsid w:val="009C2D34"/>
    <w:rsid w:val="009D3E7F"/>
    <w:rsid w:val="009E6B8F"/>
    <w:rsid w:val="009F0E09"/>
    <w:rsid w:val="009F7FCE"/>
    <w:rsid w:val="00A0399F"/>
    <w:rsid w:val="00A1698B"/>
    <w:rsid w:val="00A22236"/>
    <w:rsid w:val="00A24046"/>
    <w:rsid w:val="00A36EC5"/>
    <w:rsid w:val="00A52675"/>
    <w:rsid w:val="00A52714"/>
    <w:rsid w:val="00A55957"/>
    <w:rsid w:val="00A67EDB"/>
    <w:rsid w:val="00A92F5D"/>
    <w:rsid w:val="00A95A63"/>
    <w:rsid w:val="00AA3ACD"/>
    <w:rsid w:val="00AB5DA9"/>
    <w:rsid w:val="00AE082D"/>
    <w:rsid w:val="00AE23D7"/>
    <w:rsid w:val="00AE792E"/>
    <w:rsid w:val="00B02580"/>
    <w:rsid w:val="00B06468"/>
    <w:rsid w:val="00B10482"/>
    <w:rsid w:val="00B1246D"/>
    <w:rsid w:val="00B23481"/>
    <w:rsid w:val="00B24B7A"/>
    <w:rsid w:val="00B2517C"/>
    <w:rsid w:val="00B35626"/>
    <w:rsid w:val="00B527F9"/>
    <w:rsid w:val="00B64CC1"/>
    <w:rsid w:val="00B67B79"/>
    <w:rsid w:val="00B753F4"/>
    <w:rsid w:val="00B91A93"/>
    <w:rsid w:val="00B93C6F"/>
    <w:rsid w:val="00B94A6C"/>
    <w:rsid w:val="00B96108"/>
    <w:rsid w:val="00BA5C11"/>
    <w:rsid w:val="00BB6CD8"/>
    <w:rsid w:val="00BD552D"/>
    <w:rsid w:val="00BE33FD"/>
    <w:rsid w:val="00BF4EDB"/>
    <w:rsid w:val="00BF6444"/>
    <w:rsid w:val="00C406A5"/>
    <w:rsid w:val="00C45945"/>
    <w:rsid w:val="00C676D6"/>
    <w:rsid w:val="00C857CB"/>
    <w:rsid w:val="00CA5750"/>
    <w:rsid w:val="00CB0532"/>
    <w:rsid w:val="00D12DA2"/>
    <w:rsid w:val="00D3023A"/>
    <w:rsid w:val="00D818D9"/>
    <w:rsid w:val="00D93BAB"/>
    <w:rsid w:val="00DA0E17"/>
    <w:rsid w:val="00DA570F"/>
    <w:rsid w:val="00DB3655"/>
    <w:rsid w:val="00DC2CA9"/>
    <w:rsid w:val="00E067F7"/>
    <w:rsid w:val="00E20CDD"/>
    <w:rsid w:val="00E30855"/>
    <w:rsid w:val="00E344AE"/>
    <w:rsid w:val="00E603C7"/>
    <w:rsid w:val="00E61606"/>
    <w:rsid w:val="00E71427"/>
    <w:rsid w:val="00E87D38"/>
    <w:rsid w:val="00EA0822"/>
    <w:rsid w:val="00EA7018"/>
    <w:rsid w:val="00EB1F7E"/>
    <w:rsid w:val="00EC36F1"/>
    <w:rsid w:val="00ED275D"/>
    <w:rsid w:val="00ED5B0E"/>
    <w:rsid w:val="00ED61EF"/>
    <w:rsid w:val="00EE07B0"/>
    <w:rsid w:val="00EE4B30"/>
    <w:rsid w:val="00EF3DD9"/>
    <w:rsid w:val="00F07044"/>
    <w:rsid w:val="00F16444"/>
    <w:rsid w:val="00F17FBC"/>
    <w:rsid w:val="00F27B09"/>
    <w:rsid w:val="00F321B4"/>
    <w:rsid w:val="00F348C2"/>
    <w:rsid w:val="00F47D6B"/>
    <w:rsid w:val="00F6083F"/>
    <w:rsid w:val="00F645BC"/>
    <w:rsid w:val="00F6598E"/>
    <w:rsid w:val="00F70B8F"/>
    <w:rsid w:val="00F7357C"/>
    <w:rsid w:val="00FC3889"/>
    <w:rsid w:val="00FC3CB5"/>
    <w:rsid w:val="00FD4F2C"/>
    <w:rsid w:val="00FE572F"/>
    <w:rsid w:val="00FF0596"/>
    <w:rsid w:val="00FF6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E153B"/>
  <w15:docId w15:val="{50DA559C-E39A-44DA-9042-838572EA4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line="240" w:lineRule="atLeast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semiHidden="1"/>
    <w:lsdException w:name="heading 2" w:semiHidden="1"/>
    <w:lsdException w:name="heading 3" w:semiHidden="1"/>
    <w:lsdException w:name="heading 4" w:semiHidden="1"/>
    <w:lsdException w:name="heading 5" w:semiHidden="1"/>
    <w:lsdException w:name="heading 6" w:semiHidden="1"/>
    <w:lsdException w:name="heading 7" w:semiHidden="1"/>
    <w:lsdException w:name="heading 8" w:semiHidden="1"/>
    <w:lsdException w:name="heading 9" w:semiHidden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/>
    <w:lsdException w:name="Document Map" w:semiHidden="1"/>
    <w:lsdException w:name="Plain Text" w:semiHidden="1"/>
    <w:lsdException w:name="E-mail Signature" w:semiHidden="1"/>
    <w:lsdException w:name="HTML Top of Form" w:semiHidden="1"/>
    <w:lsdException w:name="HTML Bottom of Form" w:semiHidden="1"/>
    <w:lsdException w:name="Normal (Web)" w:semiHidden="1" w:uiPriority="99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No Spacing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/>
    <w:lsdException w:name="Quote" w:semiHidden="1"/>
    <w:lsdException w:name="Intense Quote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/>
    <w:lsdException w:name="Intense Emphasis" w:semiHidden="1"/>
    <w:lsdException w:name="Subtle Reference" w:semiHidden="1"/>
    <w:lsdException w:name="Intense Reference" w:semiHidden="1"/>
    <w:lsdException w:name="Book Title" w:semiHidden="1"/>
    <w:lsdException w:name="Bibliography" w:semiHidden="1"/>
    <w:lsdException w:name="TOC Heading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E7667"/>
    <w:pPr>
      <w:overflowPunct w:val="0"/>
      <w:autoSpaceDE w:val="0"/>
      <w:autoSpaceDN w:val="0"/>
      <w:adjustRightInd w:val="0"/>
      <w:ind w:firstLine="227"/>
      <w:jc w:val="both"/>
      <w:textAlignment w:val="baseline"/>
    </w:pPr>
  </w:style>
  <w:style w:type="paragraph" w:styleId="Heading10">
    <w:name w:val="heading 1"/>
    <w:basedOn w:val="Normal"/>
    <w:next w:val="p1a"/>
    <w:semiHidden/>
    <w:unhideWhenUsed/>
    <w:qFormat/>
    <w:pPr>
      <w:keepNext/>
      <w:keepLines/>
      <w:suppressAutoHyphens/>
      <w:spacing w:before="360" w:after="240" w:line="300" w:lineRule="atLeast"/>
      <w:ind w:left="567" w:hanging="567"/>
      <w:jc w:val="left"/>
      <w:outlineLvl w:val="0"/>
    </w:pPr>
    <w:rPr>
      <w:b/>
      <w:sz w:val="24"/>
    </w:rPr>
  </w:style>
  <w:style w:type="paragraph" w:styleId="Heading20">
    <w:name w:val="heading 2"/>
    <w:basedOn w:val="Normal"/>
    <w:next w:val="p1a"/>
    <w:semiHidden/>
    <w:unhideWhenUsed/>
    <w:qFormat/>
    <w:pPr>
      <w:keepNext/>
      <w:keepLines/>
      <w:suppressAutoHyphens/>
      <w:spacing w:before="360" w:after="160"/>
      <w:ind w:left="567" w:hanging="567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spacing w:before="360"/>
      <w:ind w:firstLine="0"/>
      <w:outlineLvl w:val="2"/>
    </w:pPr>
  </w:style>
  <w:style w:type="paragraph" w:styleId="Heading4">
    <w:name w:val="heading 4"/>
    <w:basedOn w:val="Normal"/>
    <w:next w:val="Normal"/>
    <w:qFormat/>
    <w:pPr>
      <w:spacing w:before="240"/>
      <w:ind w:firstLine="0"/>
      <w:outlineLvl w:val="3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basedOn w:val="Normal"/>
    <w:link w:val="abstractChar"/>
    <w:pPr>
      <w:spacing w:before="600" w:after="360" w:line="220" w:lineRule="atLeast"/>
      <w:ind w:left="567" w:right="567"/>
      <w:contextualSpacing/>
    </w:pPr>
    <w:rPr>
      <w:sz w:val="18"/>
    </w:rPr>
  </w:style>
  <w:style w:type="paragraph" w:customStyle="1" w:styleId="address">
    <w:name w:val="address"/>
    <w:basedOn w:val="Normal"/>
    <w:pPr>
      <w:spacing w:after="200" w:line="220" w:lineRule="atLeast"/>
      <w:ind w:firstLine="0"/>
      <w:contextualSpacing/>
      <w:jc w:val="center"/>
    </w:pPr>
    <w:rPr>
      <w:sz w:val="18"/>
    </w:rPr>
  </w:style>
  <w:style w:type="numbering" w:customStyle="1" w:styleId="arabnumitem">
    <w:name w:val="arabnumitem"/>
    <w:basedOn w:val="NoList"/>
    <w:pPr>
      <w:numPr>
        <w:numId w:val="5"/>
      </w:numPr>
    </w:pPr>
  </w:style>
  <w:style w:type="paragraph" w:customStyle="1" w:styleId="author">
    <w:name w:val="author"/>
    <w:basedOn w:val="Normal"/>
    <w:next w:val="address"/>
    <w:pPr>
      <w:spacing w:after="200" w:line="220" w:lineRule="atLeast"/>
      <w:ind w:firstLine="0"/>
      <w:jc w:val="center"/>
    </w:pPr>
  </w:style>
  <w:style w:type="paragraph" w:customStyle="1" w:styleId="bulletitem">
    <w:name w:val="bulletitem"/>
    <w:basedOn w:val="Normal"/>
    <w:pPr>
      <w:numPr>
        <w:numId w:val="2"/>
      </w:numPr>
      <w:spacing w:before="160" w:after="160"/>
      <w:contextualSpacing/>
    </w:pPr>
  </w:style>
  <w:style w:type="paragraph" w:customStyle="1" w:styleId="dashitem">
    <w:name w:val="dashitem"/>
    <w:basedOn w:val="Normal"/>
    <w:pPr>
      <w:numPr>
        <w:numId w:val="4"/>
      </w:numPr>
      <w:spacing w:before="160" w:after="160"/>
      <w:contextualSpacing/>
    </w:pPr>
  </w:style>
  <w:style w:type="character" w:customStyle="1" w:styleId="e-mail">
    <w:name w:val="e-mail"/>
    <w:basedOn w:val="DefaultParagraphFont"/>
    <w:rPr>
      <w:rFonts w:ascii="Courier" w:hAnsi="Courier"/>
      <w:noProof/>
    </w:rPr>
  </w:style>
  <w:style w:type="paragraph" w:customStyle="1" w:styleId="equation">
    <w:name w:val="equation"/>
    <w:basedOn w:val="Normal"/>
    <w:next w:val="Normal"/>
    <w:pPr>
      <w:tabs>
        <w:tab w:val="center" w:pos="3289"/>
        <w:tab w:val="right" w:pos="6917"/>
      </w:tabs>
      <w:spacing w:before="160" w:after="160"/>
      <w:ind w:firstLine="0"/>
    </w:pPr>
  </w:style>
  <w:style w:type="paragraph" w:customStyle="1" w:styleId="figurecaption">
    <w:name w:val="figurecaption"/>
    <w:basedOn w:val="Normal"/>
    <w:next w:val="Normal"/>
    <w:pPr>
      <w:keepLines/>
      <w:spacing w:before="120" w:after="240" w:line="220" w:lineRule="atLeast"/>
      <w:ind w:firstLine="0"/>
      <w:jc w:val="center"/>
    </w:pPr>
    <w:rPr>
      <w:sz w:val="18"/>
    </w:rPr>
  </w:style>
  <w:style w:type="character" w:styleId="FootnoteReference">
    <w:name w:val="footnote reference"/>
    <w:basedOn w:val="DefaultParagraphFont"/>
    <w:semiHidden/>
    <w:unhideWhenUsed/>
    <w:rPr>
      <w:position w:val="0"/>
      <w:vertAlign w:val="superscript"/>
    </w:rPr>
  </w:style>
  <w:style w:type="paragraph" w:styleId="Footer">
    <w:name w:val="footer"/>
    <w:basedOn w:val="Normal"/>
    <w:unhideWhenUsed/>
  </w:style>
  <w:style w:type="paragraph" w:customStyle="1" w:styleId="heading1">
    <w:name w:val="heading1"/>
    <w:basedOn w:val="Normal"/>
    <w:next w:val="p1a"/>
    <w:qFormat/>
    <w:pPr>
      <w:keepNext/>
      <w:keepLines/>
      <w:numPr>
        <w:numId w:val="7"/>
      </w:numPr>
      <w:suppressAutoHyphens/>
      <w:spacing w:before="360" w:after="240" w:line="300" w:lineRule="atLeast"/>
      <w:jc w:val="left"/>
      <w:outlineLvl w:val="0"/>
    </w:pPr>
    <w:rPr>
      <w:b/>
      <w:sz w:val="24"/>
    </w:rPr>
  </w:style>
  <w:style w:type="paragraph" w:customStyle="1" w:styleId="heading2">
    <w:name w:val="heading2"/>
    <w:basedOn w:val="Normal"/>
    <w:next w:val="p1a"/>
    <w:qFormat/>
    <w:pPr>
      <w:keepNext/>
      <w:keepLines/>
      <w:numPr>
        <w:ilvl w:val="1"/>
        <w:numId w:val="7"/>
      </w:numPr>
      <w:suppressAutoHyphens/>
      <w:spacing w:before="360" w:after="160"/>
      <w:jc w:val="left"/>
      <w:outlineLvl w:val="1"/>
    </w:pPr>
    <w:rPr>
      <w:b/>
    </w:rPr>
  </w:style>
  <w:style w:type="character" w:customStyle="1" w:styleId="heading30">
    <w:name w:val="heading3"/>
    <w:basedOn w:val="DefaultParagraphFont"/>
    <w:rPr>
      <w:b/>
    </w:rPr>
  </w:style>
  <w:style w:type="character" w:customStyle="1" w:styleId="heading40">
    <w:name w:val="heading4"/>
    <w:basedOn w:val="DefaultParagraphFont"/>
    <w:rPr>
      <w:i/>
    </w:rPr>
  </w:style>
  <w:style w:type="numbering" w:customStyle="1" w:styleId="headings">
    <w:name w:val="headings"/>
    <w:basedOn w:val="arabnumitem"/>
    <w:pPr>
      <w:numPr>
        <w:numId w:val="7"/>
      </w:numPr>
    </w:pPr>
  </w:style>
  <w:style w:type="character" w:styleId="Hyperlink">
    <w:name w:val="Hyperlink"/>
    <w:basedOn w:val="DefaultParagraphFont"/>
    <w:unhideWhenUsed/>
    <w:rPr>
      <w:color w:val="auto"/>
      <w:u w:val="none"/>
    </w:rPr>
  </w:style>
  <w:style w:type="paragraph" w:customStyle="1" w:styleId="image">
    <w:name w:val="image"/>
    <w:basedOn w:val="Normal"/>
    <w:next w:val="Normal"/>
    <w:pPr>
      <w:spacing w:before="240" w:after="120"/>
      <w:ind w:firstLine="0"/>
      <w:jc w:val="center"/>
    </w:pPr>
  </w:style>
  <w:style w:type="numbering" w:customStyle="1" w:styleId="itemization1">
    <w:name w:val="itemization1"/>
    <w:basedOn w:val="NoList"/>
    <w:pPr>
      <w:numPr>
        <w:numId w:val="1"/>
      </w:numPr>
    </w:pPr>
  </w:style>
  <w:style w:type="numbering" w:customStyle="1" w:styleId="itemization2">
    <w:name w:val="itemization2"/>
    <w:basedOn w:val="NoList"/>
    <w:pPr>
      <w:numPr>
        <w:numId w:val="3"/>
      </w:numPr>
    </w:pPr>
  </w:style>
  <w:style w:type="paragraph" w:customStyle="1" w:styleId="keywords">
    <w:name w:val="keywords"/>
    <w:basedOn w:val="abstract"/>
    <w:next w:val="heading1"/>
    <w:pPr>
      <w:spacing w:before="220"/>
      <w:ind w:firstLine="0"/>
      <w:contextualSpacing w:val="0"/>
      <w:jc w:val="left"/>
    </w:pPr>
  </w:style>
  <w:style w:type="paragraph" w:styleId="Header">
    <w:name w:val="header"/>
    <w:basedOn w:val="Normal"/>
    <w:unhideWhenUsed/>
    <w:pPr>
      <w:tabs>
        <w:tab w:val="center" w:pos="4536"/>
        <w:tab w:val="right" w:pos="9072"/>
      </w:tabs>
      <w:ind w:firstLine="0"/>
    </w:pPr>
    <w:rPr>
      <w:sz w:val="18"/>
      <w:szCs w:val="18"/>
    </w:rPr>
  </w:style>
  <w:style w:type="paragraph" w:customStyle="1" w:styleId="numitem">
    <w:name w:val="numitem"/>
    <w:basedOn w:val="Normal"/>
    <w:pPr>
      <w:numPr>
        <w:numId w:val="6"/>
      </w:numPr>
      <w:spacing w:before="160" w:after="160"/>
      <w:contextualSpacing/>
    </w:pPr>
  </w:style>
  <w:style w:type="paragraph" w:customStyle="1" w:styleId="p1a">
    <w:name w:val="p1a"/>
    <w:basedOn w:val="Normal"/>
    <w:next w:val="Normal"/>
    <w:pPr>
      <w:ind w:firstLine="0"/>
    </w:pPr>
  </w:style>
  <w:style w:type="paragraph" w:customStyle="1" w:styleId="programcode">
    <w:name w:val="programcode"/>
    <w:basedOn w:val="Normal"/>
    <w:pPr>
      <w:tabs>
        <w:tab w:val="left" w:pos="227"/>
        <w:tab w:val="left" w:pos="454"/>
        <w:tab w:val="left" w:pos="680"/>
        <w:tab w:val="left" w:pos="907"/>
        <w:tab w:val="left" w:pos="1134"/>
        <w:tab w:val="left" w:pos="1361"/>
        <w:tab w:val="left" w:pos="1588"/>
        <w:tab w:val="left" w:pos="1814"/>
        <w:tab w:val="left" w:pos="2041"/>
        <w:tab w:val="left" w:pos="2268"/>
        <w:tab w:val="left" w:pos="2495"/>
        <w:tab w:val="left" w:pos="2722"/>
        <w:tab w:val="left" w:pos="2948"/>
        <w:tab w:val="left" w:pos="3175"/>
        <w:tab w:val="left" w:pos="3402"/>
        <w:tab w:val="left" w:pos="3629"/>
        <w:tab w:val="left" w:pos="3856"/>
        <w:tab w:val="left" w:pos="4082"/>
        <w:tab w:val="left" w:pos="4309"/>
        <w:tab w:val="left" w:pos="4536"/>
        <w:tab w:val="left" w:pos="4763"/>
        <w:tab w:val="left" w:pos="4990"/>
        <w:tab w:val="left" w:pos="5216"/>
        <w:tab w:val="left" w:pos="5443"/>
        <w:tab w:val="left" w:pos="5670"/>
        <w:tab w:val="left" w:pos="5897"/>
        <w:tab w:val="left" w:pos="6124"/>
        <w:tab w:val="left" w:pos="6350"/>
        <w:tab w:val="left" w:pos="6577"/>
      </w:tabs>
      <w:spacing w:before="160" w:after="160"/>
      <w:ind w:firstLine="0"/>
      <w:contextualSpacing/>
      <w:jc w:val="left"/>
    </w:pPr>
    <w:rPr>
      <w:rFonts w:ascii="Courier" w:hAnsi="Courier"/>
    </w:rPr>
  </w:style>
  <w:style w:type="paragraph" w:customStyle="1" w:styleId="referenceitem">
    <w:name w:val="referenceitem"/>
    <w:basedOn w:val="Normal"/>
    <w:pPr>
      <w:numPr>
        <w:numId w:val="9"/>
      </w:numPr>
      <w:spacing w:line="220" w:lineRule="atLeast"/>
    </w:pPr>
    <w:rPr>
      <w:sz w:val="18"/>
    </w:rPr>
  </w:style>
  <w:style w:type="numbering" w:customStyle="1" w:styleId="referencelist">
    <w:name w:val="referencelist"/>
    <w:basedOn w:val="NoList"/>
    <w:semiHidden/>
    <w:pPr>
      <w:numPr>
        <w:numId w:val="8"/>
      </w:numPr>
    </w:pPr>
  </w:style>
  <w:style w:type="paragraph" w:customStyle="1" w:styleId="runninghead-left">
    <w:name w:val="running head - left"/>
    <w:basedOn w:val="Normal"/>
    <w:pPr>
      <w:ind w:firstLine="0"/>
      <w:jc w:val="left"/>
    </w:pPr>
    <w:rPr>
      <w:sz w:val="18"/>
      <w:szCs w:val="18"/>
    </w:rPr>
  </w:style>
  <w:style w:type="paragraph" w:customStyle="1" w:styleId="runninghead-right">
    <w:name w:val="running head - right"/>
    <w:basedOn w:val="Normal"/>
    <w:pPr>
      <w:ind w:firstLine="0"/>
      <w:jc w:val="right"/>
    </w:pPr>
    <w:rPr>
      <w:bCs/>
      <w:sz w:val="18"/>
      <w:szCs w:val="18"/>
    </w:rPr>
  </w:style>
  <w:style w:type="character" w:styleId="PageNumber">
    <w:name w:val="page number"/>
    <w:basedOn w:val="DefaultParagraphFont"/>
    <w:semiHidden/>
    <w:unhideWhenUsed/>
    <w:rPr>
      <w:sz w:val="18"/>
    </w:rPr>
  </w:style>
  <w:style w:type="paragraph" w:customStyle="1" w:styleId="papertitle">
    <w:name w:val="papertitle"/>
    <w:basedOn w:val="Normal"/>
    <w:next w:val="author"/>
    <w:pPr>
      <w:keepNext/>
      <w:keepLines/>
      <w:suppressAutoHyphens/>
      <w:spacing w:after="480" w:line="360" w:lineRule="atLeast"/>
      <w:ind w:firstLine="0"/>
      <w:jc w:val="center"/>
    </w:pPr>
    <w:rPr>
      <w:b/>
      <w:sz w:val="28"/>
    </w:rPr>
  </w:style>
  <w:style w:type="paragraph" w:customStyle="1" w:styleId="papersubtitle">
    <w:name w:val="papersubtitle"/>
    <w:basedOn w:val="papertitle"/>
    <w:next w:val="author"/>
    <w:pPr>
      <w:spacing w:before="120" w:line="280" w:lineRule="atLeast"/>
    </w:pPr>
    <w:rPr>
      <w:sz w:val="24"/>
    </w:rPr>
  </w:style>
  <w:style w:type="paragraph" w:customStyle="1" w:styleId="tablecaption">
    <w:name w:val="tablecaption"/>
    <w:basedOn w:val="Normal"/>
    <w:next w:val="Normal"/>
    <w:pPr>
      <w:keepNext/>
      <w:keepLines/>
      <w:spacing w:before="240" w:after="120" w:line="220" w:lineRule="atLeast"/>
      <w:ind w:firstLine="0"/>
      <w:jc w:val="center"/>
    </w:pPr>
    <w:rPr>
      <w:sz w:val="18"/>
    </w:rPr>
  </w:style>
  <w:style w:type="character" w:customStyle="1" w:styleId="url">
    <w:name w:val="url"/>
    <w:basedOn w:val="DefaultParagraphFont"/>
    <w:rPr>
      <w:rFonts w:ascii="Courier" w:hAnsi="Courier"/>
      <w:noProof/>
    </w:rPr>
  </w:style>
  <w:style w:type="character" w:customStyle="1" w:styleId="ORCID">
    <w:name w:val="ORCID"/>
    <w:basedOn w:val="DefaultParagraphFont"/>
    <w:rPr>
      <w:position w:val="0"/>
      <w:vertAlign w:val="superscript"/>
    </w:rPr>
  </w:style>
  <w:style w:type="paragraph" w:styleId="FootnoteText">
    <w:name w:val="footnote text"/>
    <w:basedOn w:val="Normal"/>
    <w:semiHidden/>
    <w:pPr>
      <w:spacing w:line="220" w:lineRule="atLeast"/>
      <w:ind w:left="227" w:hanging="227"/>
    </w:pPr>
    <w:rPr>
      <w:sz w:val="18"/>
    </w:rPr>
  </w:style>
  <w:style w:type="paragraph" w:customStyle="1" w:styleId="ReferenceLine">
    <w:name w:val="ReferenceLine"/>
    <w:basedOn w:val="p1a"/>
    <w:semiHidden/>
    <w:unhideWhenUsed/>
    <w:pPr>
      <w:spacing w:line="200" w:lineRule="exact"/>
    </w:pPr>
    <w:rPr>
      <w:sz w:val="16"/>
    </w:rPr>
  </w:style>
  <w:style w:type="paragraph" w:customStyle="1" w:styleId="EndNoteBibliographyTitle">
    <w:name w:val="EndNote Bibliography Title"/>
    <w:basedOn w:val="Normal"/>
    <w:link w:val="EndNoteBibliographyTitleChar"/>
    <w:rsid w:val="00676774"/>
    <w:pPr>
      <w:jc w:val="center"/>
    </w:pPr>
    <w:rPr>
      <w:noProof/>
    </w:rPr>
  </w:style>
  <w:style w:type="character" w:customStyle="1" w:styleId="abstractChar">
    <w:name w:val="abstract Char"/>
    <w:basedOn w:val="DefaultParagraphFont"/>
    <w:link w:val="abstract"/>
    <w:rsid w:val="00676774"/>
    <w:rPr>
      <w:sz w:val="18"/>
    </w:rPr>
  </w:style>
  <w:style w:type="character" w:customStyle="1" w:styleId="EndNoteBibliographyTitleChar">
    <w:name w:val="EndNote Bibliography Title Char"/>
    <w:basedOn w:val="abstractChar"/>
    <w:link w:val="EndNoteBibliographyTitle"/>
    <w:rsid w:val="00676774"/>
    <w:rPr>
      <w:noProof/>
      <w:sz w:val="18"/>
    </w:rPr>
  </w:style>
  <w:style w:type="paragraph" w:customStyle="1" w:styleId="EndNoteBibliography">
    <w:name w:val="EndNote Bibliography"/>
    <w:basedOn w:val="Normal"/>
    <w:link w:val="EndNoteBibliographyChar"/>
    <w:rsid w:val="00676774"/>
    <w:rPr>
      <w:noProof/>
    </w:rPr>
  </w:style>
  <w:style w:type="character" w:customStyle="1" w:styleId="EndNoteBibliographyChar">
    <w:name w:val="EndNote Bibliography Char"/>
    <w:basedOn w:val="abstractChar"/>
    <w:link w:val="EndNoteBibliography"/>
    <w:rsid w:val="00676774"/>
    <w:rPr>
      <w:noProof/>
      <w:sz w:val="18"/>
    </w:rPr>
  </w:style>
  <w:style w:type="paragraph" w:styleId="NormalWeb">
    <w:name w:val="Normal (Web)"/>
    <w:basedOn w:val="Normal"/>
    <w:uiPriority w:val="99"/>
    <w:semiHidden/>
    <w:rsid w:val="008E53D7"/>
    <w:rPr>
      <w:sz w:val="24"/>
      <w:szCs w:val="24"/>
    </w:rPr>
  </w:style>
  <w:style w:type="paragraph" w:styleId="ListParagraph">
    <w:name w:val="List Paragraph"/>
    <w:basedOn w:val="Normal"/>
    <w:semiHidden/>
    <w:rsid w:val="00AE23D7"/>
    <w:pPr>
      <w:ind w:left="720"/>
      <w:contextualSpacing/>
    </w:pPr>
  </w:style>
  <w:style w:type="table" w:styleId="TableGrid">
    <w:name w:val="Table Grid"/>
    <w:basedOn w:val="TableNormal"/>
    <w:rsid w:val="00AE23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E23D7"/>
    <w:rPr>
      <w:b/>
      <w:bCs/>
    </w:rPr>
  </w:style>
  <w:style w:type="table" w:styleId="PlainTable2">
    <w:name w:val="Plain Table 2"/>
    <w:basedOn w:val="TableNormal"/>
    <w:uiPriority w:val="42"/>
    <w:rsid w:val="0050006C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B5D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4B9E7D-40B7-48A9-9998-A3CA2D96EF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11</Pages>
  <Words>7481</Words>
  <Characters>42642</Characters>
  <Application>Microsoft Office Word</Application>
  <DocSecurity>0</DocSecurity>
  <Lines>355</Lines>
  <Paragraphs>100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dataspect IT-Services, Neckargemuend, Germany</Company>
  <LinksUpToDate>false</LinksUpToDate>
  <CharactersWithSpaces>50023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22</cp:revision>
  <cp:lastPrinted>2026-08-24T09:52:00Z</cp:lastPrinted>
  <dcterms:created xsi:type="dcterms:W3CDTF">2026-08-23T07:48:00Z</dcterms:created>
  <dcterms:modified xsi:type="dcterms:W3CDTF">2026-09-07T09:11:00Z</dcterms:modified>
</cp:coreProperties>
</file>