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s="http://schemas.microsoft.com/office/word/2010/wordprocessingShape" xmlns:a="http://schemas.openxmlformats.org/drawingml/2006/main" xmlns:pic="http://schemas.openxmlformats.org/drawingml/2006/picture" mc:Ignorable="w14">
  <w:body>
    <w:p>
      <w:pPr>
        <w:pStyle w:val="papertitle"/>
        <w:spacing w:after="240"/>
      </w:pPr>
      <w:r>
        <w:t xml:space="preserve">StegaGuard: A Controlled Robustness Study of Feature-Based Image Steganalysis under Algorithm and Payload Shift</w:t>
      </w:r>
    </w:p>
    <w:p>
      <w:pPr>
        <w:pStyle w:val="author"/>
        <w:spacing w:after="120"/>
      </w:pPr>
      <w:r>
        <w:t xml:space="preserve">Quoc Hung NGUYEN </w:t>
      </w:r>
      <w:r>
        <w:rPr>
          <w:rStyle w:val="ORCID"/>
        </w:rPr>
        <w:t xml:space="preserve">*[0000-0002-6363-0160]</w:t>
      </w:r>
      <w:r>
        <w:t xml:space="preserve">, </w:t>
      </w:r>
      <w:r>
        <w:t xml:space="preserve">Minh Tri HUYNH </w:t>
      </w:r>
      <w:r>
        <w:rPr>
          <w:rStyle w:val="ORCID"/>
        </w:rPr>
        <w:t xml:space="preserve">[0009-0004-4214-6355]</w:t>
      </w:r>
      <w:r>
        <w:t xml:space="preserve">, </w:t>
      </w:r>
      <w:r>
        <w:t xml:space="preserve">Phu NGUYEN </w:t>
      </w:r>
      <w:r>
        <w:rPr>
          <w:rStyle w:val="ORCID"/>
        </w:rPr>
        <w:t xml:space="preserve">[0009-0004-7291-9072]</w:t>
      </w:r>
      <w:r>
        <w:t xml:space="preserve">, </w:t>
      </w:r>
      <w:r>
        <w:t xml:space="preserve">Huu Minh Tri NGUYEN </w:t>
      </w:r>
      <w:r>
        <w:rPr>
          <w:rStyle w:val="ORCID"/>
        </w:rPr>
        <w:t xml:space="preserve">[0009-0002-8275-4326]</w:t>
      </w:r>
      <w:r>
        <w:t xml:space="preserve">, </w:t>
      </w:r>
      <w:r>
        <w:t xml:space="preserve">Duong Gia Bao NGUYEN </w:t>
      </w:r>
      <w:r>
        <w:rPr>
          <w:rStyle w:val="ORCID"/>
        </w:rPr>
        <w:t xml:space="preserve">[0009-0009-3717-2424]</w:t>
      </w:r>
      <w:r>
        <w:t xml:space="preserve">, </w:t>
      </w:r>
      <w:r>
        <w:t xml:space="preserve">Huu Loc TRAN </w:t>
      </w:r>
      <w:r>
        <w:rPr>
          <w:rStyle w:val="ORCID"/>
        </w:rPr>
        <w:t xml:space="preserve">[0009-0004-0634-0310]</w:t>
      </w:r>
    </w:p>
    <w:p>
      <w:pPr>
        <w:pStyle w:val="address"/>
        <w:spacing w:after="60"/>
      </w:pPr>
      <w:r>
        <w:t xml:space="preserve">University of Economics Ho Chi Minh City (UEH), Ho Chi Minh City, Vietnam</w:t>
      </w:r>
    </w:p>
    <w:p>
      <w:pPr>
        <w:pStyle w:val="address"/>
      </w:pPr>
      <w:r>
        <w:rPr>
          <w:rFonts w:ascii="Courier New" w:hAnsi="Courier New" w:cs="Courier New"/>
        </w:rPr>
        <w:t xml:space="preserve">Corresponding author: hungngq@ueh.edu.vn</w:t>
      </w:r>
    </w:p>
    <w:p>
      <w:pPr>
        <w:pStyle w:val="abstract"/>
        <w:spacing w:before="360" w:after="120"/>
        <w:ind w:firstLine="0"/>
      </w:pPr>
      <w:r>
        <w:rPr>
          <w:b/>
          <w:bCs/>
        </w:rPr>
        <w:t xml:space="preserve">Abstract.</w:t>
      </w:r>
      <w:r>
        <w:t xml:space="preserve"> Steganalysis detectors are trained on known embedding algorithms and payloads, but an adversary can change both. StegaGuard is a controlled robustness study of two existing feature-based detectors: Residual-LR (76 residual statistics, logistic regression) and SRM+Ensemble (34,671 Spatial Rich Model features, Fisher linear discriminant ensemble). We split 600 BOSSbase 1.01 covers, resized to 256 × 256, into 360 training, 120 validation and 120 test covers before embedding them with WOW, S-UNIWARD and HILL at 0.1 and 0.4 bpp, so every stego variant stays in the partition of its source cover. Three training protocols of 360 cover–stego pairs were run with three seeds, and paired differences were assessed by a bootstrap over test covers. Trained on WOW at 0.4 bpp, SRM+Ensemble reached an AUC of 0.714 on matched WOW and 0.645 on unseen HILL (ΔAUC = −0.070, 95% CI [−0.093, −0.046]). Adding 0.1 bpp variants to a WOW/S-UNIWARD training pool gave SRM+Ensemble no reliable change on unseen HILL (ΔAUC = −0.022, 95% CI [−0.050, +0.005]). AUC at 0.1 bpp was lower than at 0.4 bpp in all 18 comparisons (ΔAUC −0.022 to −0.183). At thresholds set for a validation false-positive rate (FPR) of at most 1%, mean recall was 0.062 for Residual-LR and 0.080 for SRM+Ensemble at mean test FPRs of 0.045 and 0.034, so neither detector operated reliably at a 1% false-alarm budget on this resized BOSSbase subset.</w:t>
      </w:r>
    </w:p>
    <w:p>
      <w:pPr>
        <w:pStyle w:val="keywords"/>
        <w:spacing w:before="120" w:after="0"/>
      </w:pPr>
      <w:r>
        <w:rPr>
          <w:b/>
          <w:bCs/>
        </w:rPr>
        <w:t xml:space="preserve">Keywords:</w:t>
      </w:r>
      <w:r>
        <w:t xml:space="preserve"> Image Steganalysis, Robustness Evaluation, Algorithm Mismatch, Payload Mismatch, Spatial Rich Model, Low False-Positive Rate.</w:t>
      </w:r>
    </w:p>
    <w:p>
      <w:pPr>
        <w:pStyle w:val="heading1"/>
      </w:pPr>
      <w:r>
        <w:t xml:space="preserve">Introduction</w:t>
      </w:r>
    </w:p>
    <w:p>
      <w:pPr>
        <w:pStyle w:val="p1a"/>
      </w:pPr>
      <w:r>
        <w:t xml:space="preserve">Image steganography hides a message by making small changes to a cover image. Current spatial-domain schemes such as WOW, S-UNIWARD and HILL assign a distortion cost to every pixel and use syndrome-trellis coding, or a simulation of it, to place most changes in textured regions that are hard to model </w:t>
      </w:r>
      <w:r>
        <w:t xml:space="preserve">[1–4]</w:t>
      </w:r>
      <w:r>
        <w:t xml:space="preserve">. Steganalysis detectors either train a classifier on statistics of noise residuals, such as SPAM or the Spatial Rich Model (SRM) </w:t>
      </w:r>
      <w:r>
        <w:t xml:space="preserve">[5–7]</w:t>
      </w:r>
      <w:r>
        <w:t xml:space="preserve">, or train a convolutional neural network (CNN) such as Yedroudj-Net or SRNet </w:t>
      </w:r>
      <w:r>
        <w:t xml:space="preserve">[8, 9]</w:t>
      </w:r>
      <w:r>
        <w:t xml:space="preserve">.</w:t>
      </w:r>
    </w:p>
    <w:p>
      <w:pPr/>
      <w:r>
        <w:t xml:space="preserve">In a security setting the detector does not choose its test data: a defender trains on a few algorithms at known payloads, while an adversary may use an unseen algorithm or a shorter message. The operating point matters as well: a screening system inspects many innocent images, so what counts is the share of stego images caught when the false-positive rate (FPR) is held near 1%, not only the area under the ROC curve (AUC).</w:t>
      </w:r>
    </w:p>
    <w:p>
      <w:pPr/>
      <w:r>
        <w:t xml:space="preserve">Both issues are known, but they are usually studied one at a time. Work on cover-source mismatch changes where the images come from </w:t>
      </w:r>
      <w:r>
        <w:t xml:space="preserve">[10–12]</w:t>
      </w:r>
      <w:r>
        <w:t xml:space="preserve">, work on stego-source mismatch changes the embedding method </w:t>
      </w:r>
      <w:r>
        <w:t xml:space="preserve">[13, 14]</w:t>
      </w:r>
      <w:r>
        <w:t xml:space="preserve">, and papers that introduce detectors mostly train and test on the same algorithm and payload </w:t>
      </w:r>
      <w:r>
        <w:t xml:space="preserve">[6, 8, 9]</w:t>
      </w:r>
      <w:r>
        <w:t xml:space="preserve">. Two design choices can also bias robustness claims: splitting after embedding lets variants of one cover fall on both sides and inflate test scores, and a detector that is weak in the matched condition says little about the shift itself.</w:t>
      </w:r>
    </w:p>
    <w:p>
      <w:pPr/>
      <w:r>
        <w:t xml:space="preserve">The gap has two parts. For the detector, it is unclear how much a standard SRM+Ensemble loses on a small, resized BOSSbase subset when the algorithm or payload changes, and whether mixing algorithms and payloads in training reduces the loss. For the evaluation, few shift studies combine a source-cover split fixed before embedding, a matched-condition reference, paired intervals on identical test covers and an explicit low-FPR operating point. StegaGuard (</w:t>
      </w:r>
      <w:r>
        <w:t xml:space="preserve">Fig. </w:t>
      </w:r>
      <w:fldSimple w:instr=" REF _Reffigpipeline \h \* MERGEFORMAT ">
        <w:r>
          <w:t xml:space="preserve">1</w:t>
        </w:r>
      </w:fldSimple>
      <w:r>
        <w:t xml:space="preserve">) addresses the second part to answer the first; it evaluates two existing detectors and proposes no new detection algorithm. Three questions guide the study:</w:t>
      </w:r>
    </w:p>
    <w:p>
      <w:pPr>
        <w:pStyle w:val="image"/>
        <w:keepNext/>
        <w:spacing w:before="160" w:after="60"/>
      </w:pPr>
      <w:r>
        <w:drawing>
          <wp:inline distT="0" distB="0" distL="0" distR="0">
            <wp:extent cx="4389120" cy="2286000"/>
            <wp:docPr id="1" name="Figure 1"/>
            <wp:cNvGraphicFramePr>
              <a:graphicFrameLocks noChangeAspect="1"/>
            </wp:cNvGraphicFramePr>
            <a:graphic>
              <a:graphicData uri="http://schemas.openxmlformats.org/drawingml/2006/picture">
                <pic:pic>
                  <pic:nvPicPr>
                    <pic:cNvPr id="1" name="image1.png"/>
                    <pic:cNvPicPr/>
                  </pic:nvPicPr>
                  <pic:blipFill>
                    <a:blip r:embed="rId901"/>
                    <a:stretch>
                      <a:fillRect/>
                    </a:stretch>
                  </pic:blipFill>
                  <pic:spPr>
                    <a:xfrm>
                      <a:off x="0" y="0"/>
                      <a:ext cx="4389120" cy="2286000"/>
                    </a:xfrm>
                    <a:prstGeom prst="rect">
                      <a:avLst/>
                    </a:prstGeom>
                  </pic:spPr>
                </pic:pic>
              </a:graphicData>
            </a:graphic>
          </wp:inline>
        </w:drawing>
      </w:r>
    </w:p>
    <w:p>
      <w:pPr>
        <w:pStyle w:val="figurecaption"/>
        <w:jc w:val="both"/>
      </w:pPr>
      <w:r>
        <w:rPr>
          <w:b/>
          <w:bCs/>
        </w:rPr>
        <w:t xml:space="preserve">Fig. </w:t>
      </w:r>
      <w:bookmarkStart w:id="101" w:name="_Reffigpipeline"/>
      <w:fldSimple w:instr=" SEQ Figure \* ARABIC ">
        <w:r>
          <w:rPr>
            <w:b/>
            <w:bCs/>
          </w:rPr>
          <w:t xml:space="preserve">1</w:t>
        </w:r>
      </w:fldSimple>
      <w:bookmarkEnd w:id="101"/>
      <w:r>
        <w:rPr>
          <w:b/>
          <w:bCs/>
        </w:rPr>
        <w:t xml:space="preserve">. </w:t>
      </w:r>
      <w:r>
        <w:t xml:space="preserve">StegaGuard evaluation pipeline. Both detectors are trained on the same splits, protocols and seeds, and every model is scored on the same 120 test covers.</w:t>
      </w:r>
    </w:p>
    <w:p>
      <w:pPr>
        <w:pStyle w:val="bulletitem"/>
        <w:spacing w:before="40" w:after="40"/>
      </w:pPr>
      <w:r>
        <w:rPr>
          <w:b/>
          <w:bCs/>
        </w:rPr>
        <w:t xml:space="preserve">RQ1 (unseen algorithm).</w:t>
      </w:r>
      <w:r>
        <w:t xml:space="preserve"> Under protocol P1, which trains on WOW at 0.4 bits per pixel (bpp), how does detection of unseen HILL at 0.4 bpp compare with detection of matched WOW at 0.4 bpp on the same test covers?</w:t>
      </w:r>
    </w:p>
    <w:p>
      <w:pPr>
        <w:pStyle w:val="bulletitem"/>
        <w:spacing w:before="40" w:after="40"/>
      </w:pPr>
      <w:r>
        <w:rPr>
          <w:b/>
          <w:bCs/>
        </w:rPr>
        <w:t xml:space="preserve">RQ2 (mixed training).</w:t>
      </w:r>
      <w:r>
        <w:t xml:space="preserve"> With training size fixed at 360 cover–stego pairs, does adding 0.1 bpp variants to a WOW/S-UNIWARD training pool (P3 versus P2) improve detection of unseen HILL at 0.4 bpp?</w:t>
      </w:r>
    </w:p>
    <w:p>
      <w:pPr>
        <w:pStyle w:val="bulletitem"/>
        <w:spacing w:before="40" w:after="40"/>
      </w:pPr>
      <w:r>
        <w:rPr>
          <w:b/>
          <w:bCs/>
        </w:rPr>
        <w:t xml:space="preserve">RQ3 (payload shift).</w:t>
      </w:r>
      <w:r>
        <w:t xml:space="preserve"> For each detector, protocol and algorithm, how much does detection change when the payload falls from 0.4 to 0.1 bpp?</w:t>
      </w:r>
    </w:p>
    <w:p>
      <w:pPr>
        <w:pStyle w:val="p1a"/>
        <w:spacing w:before="120"/>
      </w:pPr>
      <w:r>
        <w:rPr>
          <w:b/>
          <w:bCs/>
        </w:rPr>
        <w:t xml:space="preserve">Contributions.</w:t>
      </w:r>
      <w:r>
        <w:t xml:space="preserve"> </w:t>
      </w:r>
      <w:r>
        <w:t xml:space="preserve">(i) A controlled evaluation in which both detectors share covers, training size, seeds and test images, so that differences between protocols P1–P3 trace back to the training pool. (ii) Source-cover leakage prevention: the split is fixed before embedding and audited against a hashed manifest. (iii) A robustness assessment of algorithm and payload shift and of mixed training with paired ΔAUC and bootstrap intervals over test covers. (iv) A security operating-point analysis that separates the validation-selected threshold from the FPR observed on test covers.</w:t>
      </w:r>
    </w:p>
    <w:p>
      <w:pPr>
        <w:pStyle w:val="heading1"/>
      </w:pPr>
      <w:r>
        <w:t xml:space="preserve">Related Work</w:t>
      </w:r>
    </w:p>
    <w:p>
      <w:pPr>
        <w:pStyle w:val="heading2"/>
      </w:pPr>
      <w:r>
        <w:t xml:space="preserve">Image Steganalysis Techniques</w:t>
      </w:r>
    </w:p>
    <w:p>
      <w:pPr>
        <w:pStyle w:val="p1a"/>
      </w:pPr>
      <w:r>
        <w:t xml:space="preserve">Content-adaptive embedding places changes where the cover is noisy. WOW derives its costs from directional wavelet residuals, S-UNIWARD from the relative change of a wavelet decomposition, and HILL from a high-pass residual smoothed by low-pass filters </w:t>
      </w:r>
      <w:r>
        <w:t xml:space="preserve">[2–4]</w:t>
      </w:r>
      <w:r>
        <w:t xml:space="preserve">. Because the three cost functions favor different structures, a detector trained on one algorithm meets a partly different change pattern when tested on another. Feature-based steganalysis models the noise residual: SPAM uses Markov transition probabilities of pixel differences </w:t>
      </w:r>
      <w:r>
        <w:t xml:space="preserve">[5]</w:t>
      </w:r>
      <w:r>
        <w:t xml:space="preserve">, and SRM gathers co-occurrences of many linear and non-linear residuals into 34,671 features </w:t>
      </w:r>
      <w:r>
        <w:t xml:space="preserve">[6]</w:t>
      </w:r>
      <w:r>
        <w:t xml:space="preserve">, usually classified by the Fisher linear discriminant (FLD) ensemble, which handles this dimension through random subspaces and bagging </w:t>
      </w:r>
      <w:r>
        <w:t xml:space="preserve">[7]</w:t>
      </w:r>
      <w:r>
        <w:t xml:space="preserve">. CNN detectors such as Yedroudj-Net and SRNet report lower error than SRM with the ensemble in most tested BOSSbase-derived settings, at a higher training cost </w:t>
      </w:r>
      <w:r>
        <w:t xml:space="preserve">[8, 9]</w:t>
      </w:r>
      <w:r>
        <w:t xml:space="preserve">.</w:t>
      </w:r>
    </w:p>
    <w:p>
      <w:pPr>
        <w:pStyle w:val="heading2"/>
      </w:pPr>
      <w:r>
        <w:t xml:space="preserve">Robustness under Algorithm and Payload Shifts</w:t>
      </w:r>
    </w:p>
    <w:p>
      <w:pPr>
        <w:pStyle w:val="p1a"/>
      </w:pPr>
      <w:r>
        <w:t xml:space="preserve">Three kinds of train–test shift should be kept apart. </w:t>
      </w:r>
      <w:r>
        <w:rPr>
          <w:i/>
          <w:iCs/>
        </w:rPr>
        <w:t xml:space="preserve">Algorithm shift</w:t>
      </w:r>
      <w:r>
        <w:t xml:space="preserve">, or stego-source mismatch, occurs when test stego images come from an embedding method absent from training. Butora and Fridrich trained SRNet on three of WOW, S-UNIWARD, HILL and MiPOD at 0.4 bpp and tested on the fourth; the largest loss occurred when HILL was held out, while training on several algorithms cost little against dedicated detectors </w:t>
      </w:r>
      <w:r>
        <w:t xml:space="preserve">[13]</w:t>
      </w:r>
      <w:r>
        <w:t xml:space="preserve">. Recent work adapts to algorithm and cover-source mismatch with unlabeled target data </w:t>
      </w:r>
      <w:r>
        <w:t xml:space="preserve">[14]</w:t>
      </w:r>
      <w:r>
        <w:t xml:space="preserve">. </w:t>
      </w:r>
      <w:r>
        <w:rPr>
          <w:i/>
          <w:iCs/>
        </w:rPr>
        <w:t xml:space="preserve">Payload shift</w:t>
      </w:r>
      <w:r>
        <w:t xml:space="preserve"> occurs when the message length differs between training and test. Detection error grows as the payload falls; SRNet built its low-payload detectors by curriculum training across payloads </w:t>
      </w:r>
      <w:r>
        <w:t xml:space="preserve">[9]</w:t>
      </w:r>
      <w:r>
        <w:t xml:space="preserve">, and knowledge distillation has been proposed for test payloads unseen in training </w:t>
      </w:r>
      <w:r>
        <w:t xml:space="preserve">[15]</w:t>
      </w:r>
      <w:r>
        <w:t xml:space="preserve">. </w:t>
      </w:r>
      <w:r>
        <w:rPr>
          <w:i/>
          <w:iCs/>
        </w:rPr>
        <w:t xml:space="preserve">Cover-source shift</w:t>
      </w:r>
      <w:r>
        <w:t xml:space="preserve"> arises when test covers come from other cameras or processing pipelines and can raise the error even when algorithm and payload match </w:t>
      </w:r>
      <w:r>
        <w:t xml:space="preserve">[10–12]</w:t>
      </w:r>
      <w:r>
        <w:t xml:space="preserve">. This study varies the algorithm and the payload and holds the cover source fixed.</w:t>
      </w:r>
    </w:p>
    <w:p>
      <w:pPr/>
      <w:r>
        <w:t xml:space="preserve">Robustness also depends on the operating point. The ALASKA challenge ranked detectors by the missed-detection rate at 5% false alarms (MD5) </w:t>
      </w:r>
      <w:r>
        <w:t xml:space="preserve">[16]</w:t>
      </w:r>
      <w:r>
        <w:t xml:space="preserve">, and the FLD ensemble has been extended to meet a prescribed false-alarm probability </w:t>
      </w:r>
      <w:r>
        <w:t xml:space="preserve">[17]</w:t>
      </w:r>
      <w:r>
        <w:t xml:space="preserve">. Butora and Bas reported that two detectors with almost equal error differed by about ten points in detection rate at an FPR of 10</w:t>
      </w:r>
      <w:r>
        <w:rPr>
          <w:vertAlign w:val="superscript"/>
        </w:rPr>
        <w:t xml:space="preserve">−3</w:t>
      </w:r>
      <w:r>
        <w:t xml:space="preserve">, while noting that such estimates from 2,000 test images are noisy </w:t>
      </w:r>
      <w:r>
        <w:t xml:space="preserve">[18]</w:t>
      </w:r>
      <w:r>
        <w:t xml:space="preserve">.</w:t>
      </w:r>
    </w:p>
    <w:p>
      <w:pPr>
        <w:pStyle w:val="heading2"/>
      </w:pPr>
      <w:r>
        <w:t xml:space="preserve">Research Gap and Comparative Analysis</w:t>
      </w:r>
    </w:p>
    <w:p>
      <w:pPr>
        <w:pStyle w:val="p1a"/>
      </w:pPr>
      <w:r>
        <w:t xml:space="preserve">Table </w:t>
      </w:r>
      <w:fldSimple w:instr=" REF _Reftabrelated \h \* MERGEFORMAT ">
        <w:r>
          <w:t xml:space="preserve">1</w:t>
        </w:r>
      </w:fldSimple>
      <w:r>
        <w:t xml:space="preserve"> compares representative studies; “Not reported” means the paper does not report the item.</w:t>
      </w:r>
    </w:p>
    <w:p>
      <w:pPr>
        <w:pStyle w:val="tablecaption"/>
        <w:jc w:val="both"/>
      </w:pPr>
      <w:r>
        <w:rPr>
          <w:b/>
          <w:bCs/>
        </w:rPr>
        <w:t xml:space="preserve">Table </w:t>
      </w:r>
      <w:bookmarkStart w:id="102" w:name="_Reftabrelated"/>
      <w:fldSimple w:instr=" SEQ Table \* ARABIC ">
        <w:r>
          <w:rPr>
            <w:b/>
            <w:bCs/>
          </w:rPr>
          <w:t xml:space="preserve">1</w:t>
        </w:r>
      </w:fldSimple>
      <w:bookmarkEnd w:id="102"/>
      <w:r>
        <w:rPr>
          <w:b/>
          <w:bCs/>
        </w:rPr>
        <w:t xml:space="preserve">. </w:t>
      </w:r>
      <w:r>
        <w:t xml:space="preserve">Comparison with representative steganalysis studies. P</w:t>
      </w:r>
      <w:r>
        <w:rPr>
          <w:vertAlign w:val="subscript"/>
        </w:rPr>
        <w:t xml:space="preserve">E</w:t>
      </w:r>
      <w:r>
        <w:t xml:space="preserve">: minimum average error under equal priors; P</w:t>
      </w:r>
      <w:r>
        <w:rPr>
          <w:vertAlign w:val="subscript"/>
        </w:rPr>
        <w:t xml:space="preserve">MD</w:t>
      </w:r>
      <w:r>
        <w:t xml:space="preserve">: missed-detection probability; CSM: cover-source mismatch.</w:t>
      </w:r>
    </w:p>
    <w:tbl>
      <w:tblPr>
        <w:tblW w:w="6918" w:type="dxa"/>
        <w:jc w:val="center"/>
        <w:tblBorders>
          <w:top w:val="single" w:sz="8" w:space="0" w:color="000000"/>
          <w:bottom w:val="single" w:sz="8" w:space="0" w:color="000000"/>
        </w:tblBorders>
        <w:tblLayout w:type="fixed"/>
        <w:tblCellMar>
          <w:top w:w="0" w:type="dxa"/>
          <w:left w:w="57" w:type="dxa"/>
          <w:bottom w:w="0" w:type="dxa"/>
          <w:right w:w="57" w:type="dxa"/>
        </w:tblCellMar>
        <w:tblLook w:val="0000"/>
      </w:tblPr>
      <w:tblGrid>
        <w:gridCol w:w="1150"/>
        <w:gridCol w:w="1300"/>
        <w:gridCol w:w="1150"/>
        <w:gridCol w:w="1600"/>
        <w:gridCol w:w="800"/>
        <w:gridCol w:w="918"/>
      </w:tblGrid>
      <w:tr>
        <w:trPr>
          <w:cantSplit/>
          <w:tblHeader/>
        </w:trPr>
        <w:tc>
          <w:tcPr>
            <w:tcW w:w="1150" w:type="dxa"/>
            <w:tcBorders>
              <w:bottom w:val="single" w:sz="4" w:space="0" w:color="000000"/>
            </w:tcBorders>
            <w:vAlign w:val="center"/>
          </w:tcPr>
          <w:p>
            <w:pPr>
              <w:keepNext/>
              <w:spacing w:before="10" w:after="10" w:line="216" w:lineRule="auto"/>
              <w:ind w:firstLine="0"/>
              <w:jc w:val="left"/>
            </w:pPr>
            <w:r>
              <w:rPr>
                <w:b/>
                <w:bCs/>
                <w:sz w:val="15"/>
                <w:szCs w:val="15"/>
              </w:rPr>
              <w:t xml:space="preserve">Study</w:t>
            </w:r>
          </w:p>
        </w:tc>
        <w:tc>
          <w:tcPr>
            <w:tcW w:w="1300" w:type="dxa"/>
            <w:tcBorders>
              <w:bottom w:val="single" w:sz="4" w:space="0" w:color="000000"/>
            </w:tcBorders>
            <w:vAlign w:val="center"/>
          </w:tcPr>
          <w:p>
            <w:pPr>
              <w:keepNext/>
              <w:spacing w:before="10" w:after="10" w:line="216" w:lineRule="auto"/>
              <w:ind w:firstLine="0"/>
              <w:jc w:val="left"/>
            </w:pPr>
            <w:r>
              <w:rPr>
                <w:b/>
                <w:bCs/>
                <w:sz w:val="15"/>
                <w:szCs w:val="15"/>
              </w:rPr>
              <w:t xml:space="preserve">Data</w:t>
            </w:r>
          </w:p>
        </w:tc>
        <w:tc>
          <w:tcPr>
            <w:tcW w:w="1150" w:type="dxa"/>
            <w:tcBorders>
              <w:bottom w:val="single" w:sz="4" w:space="0" w:color="000000"/>
            </w:tcBorders>
            <w:vAlign w:val="center"/>
          </w:tcPr>
          <w:p>
            <w:pPr>
              <w:keepNext/>
              <w:spacing w:before="10" w:after="10" w:line="216" w:lineRule="auto"/>
              <w:ind w:firstLine="0"/>
              <w:jc w:val="left"/>
            </w:pPr>
            <w:r>
              <w:rPr>
                <w:b/>
                <w:bCs/>
                <w:sz w:val="15"/>
                <w:szCs w:val="15"/>
              </w:rPr>
              <w:t xml:space="preserve">Detector</w:t>
            </w:r>
          </w:p>
        </w:tc>
        <w:tc>
          <w:tcPr>
            <w:tcW w:w="1600" w:type="dxa"/>
            <w:tcBorders>
              <w:bottom w:val="single" w:sz="4" w:space="0" w:color="000000"/>
            </w:tcBorders>
            <w:vAlign w:val="center"/>
          </w:tcPr>
          <w:p>
            <w:pPr>
              <w:keepNext/>
              <w:spacing w:before="10" w:after="10" w:line="216" w:lineRule="auto"/>
              <w:ind w:firstLine="0"/>
              <w:jc w:val="left"/>
            </w:pPr>
            <w:r>
              <w:rPr>
                <w:b/>
                <w:bCs/>
                <w:sz w:val="15"/>
                <w:szCs w:val="15"/>
              </w:rPr>
              <w:t xml:space="preserve">Protocol and metric</w:t>
            </w:r>
          </w:p>
        </w:tc>
        <w:tc>
          <w:tcPr>
            <w:tcW w:w="800" w:type="dxa"/>
            <w:tcBorders>
              <w:bottom w:val="single" w:sz="4" w:space="0" w:color="000000"/>
            </w:tcBorders>
            <w:vAlign w:val="center"/>
          </w:tcPr>
          <w:p>
            <w:pPr>
              <w:keepNext/>
              <w:spacing w:before="10" w:after="10" w:line="216" w:lineRule="auto"/>
              <w:ind w:firstLine="0"/>
              <w:jc w:val="left"/>
            </w:pPr>
            <w:r>
              <w:rPr>
                <w:b/>
                <w:bCs/>
                <w:sz w:val="15"/>
                <w:szCs w:val="15"/>
              </w:rPr>
              <w:t xml:space="preserve">Shift</w:t>
            </w:r>
          </w:p>
        </w:tc>
        <w:tc>
          <w:tcPr>
            <w:tcW w:w="918" w:type="dxa"/>
            <w:tcBorders>
              <w:bottom w:val="single" w:sz="4" w:space="0" w:color="000000"/>
            </w:tcBorders>
            <w:vAlign w:val="center"/>
          </w:tcPr>
          <w:p>
            <w:pPr>
              <w:keepNext/>
              <w:spacing w:before="10" w:after="10" w:line="216" w:lineRule="auto"/>
              <w:ind w:firstLine="0"/>
              <w:jc w:val="left"/>
            </w:pPr>
            <w:r>
              <w:rPr>
                <w:b/>
                <w:bCs/>
                <w:sz w:val="15"/>
                <w:szCs w:val="15"/>
              </w:rPr>
              <w:t xml:space="preserve">Low-FPR metric</w:t>
            </w:r>
          </w:p>
        </w:tc>
      </w:tr>
      <w:tr>
        <w:trPr>
          <w:cantSplit/>
        </w:trPr>
        <w:tc>
          <w:tcPr>
            <w:tcW w:w="1150" w:type="dxa"/>
            <w:vAlign w:val="center"/>
          </w:tcPr>
          <w:p>
            <w:pPr>
              <w:keepNext/>
              <w:spacing w:before="10" w:after="10" w:line="216" w:lineRule="auto"/>
              <w:ind w:firstLine="0"/>
              <w:jc w:val="left"/>
            </w:pPr>
            <w:r>
              <w:rPr>
                <w:sz w:val="15"/>
                <w:szCs w:val="15"/>
              </w:rPr>
              <w:t xml:space="preserve">SRM </w:t>
            </w:r>
            <w:r>
              <w:rPr>
                <w:sz w:val="15"/>
                <w:szCs w:val="15"/>
              </w:rPr>
              <w:t xml:space="preserve">[6]</w:t>
            </w:r>
          </w:p>
        </w:tc>
        <w:tc>
          <w:tcPr>
            <w:tcW w:w="1300" w:type="dxa"/>
            <w:vAlign w:val="center"/>
          </w:tcPr>
          <w:p>
            <w:pPr>
              <w:keepNext/>
              <w:spacing w:before="10" w:after="10" w:line="216" w:lineRule="auto"/>
              <w:ind w:firstLine="0"/>
              <w:jc w:val="left"/>
            </w:pPr>
            <w:r>
              <w:rPr>
                <w:sz w:val="15"/>
                <w:szCs w:val="15"/>
              </w:rPr>
              <w:t xml:space="preserve">BOSSbase 0.92, 512 × 512</w:t>
            </w:r>
          </w:p>
        </w:tc>
        <w:tc>
          <w:tcPr>
            <w:tcW w:w="1150" w:type="dxa"/>
            <w:vAlign w:val="center"/>
          </w:tcPr>
          <w:p>
            <w:pPr>
              <w:keepNext/>
              <w:spacing w:before="10" w:after="10" w:line="216" w:lineRule="auto"/>
              <w:ind w:firstLine="0"/>
              <w:jc w:val="left"/>
            </w:pPr>
            <w:r>
              <w:rPr>
                <w:sz w:val="15"/>
                <w:szCs w:val="15"/>
              </w:rPr>
              <w:t xml:space="preserve">SRM + FLD ensemble</w:t>
            </w:r>
          </w:p>
        </w:tc>
        <w:tc>
          <w:tcPr>
            <w:tcW w:w="1600" w:type="dxa"/>
            <w:vAlign w:val="center"/>
          </w:tcPr>
          <w:p>
            <w:pPr>
              <w:keepNext/>
              <w:spacing w:before="10" w:after="10" w:line="216" w:lineRule="auto"/>
              <w:ind w:firstLine="0"/>
              <w:jc w:val="left"/>
            </w:pPr>
            <w:r>
              <w:rPr>
                <w:sz w:val="15"/>
                <w:szCs w:val="15"/>
              </w:rPr>
              <w:t xml:space="preserve">Matched algorithm and payload; P</w:t>
            </w:r>
            <w:r>
              <w:rPr>
                <w:sz w:val="15"/>
                <w:szCs w:val="15"/>
                <w:vertAlign w:val="subscript"/>
              </w:rPr>
              <w:t xml:space="preserve">E</w:t>
            </w:r>
          </w:p>
        </w:tc>
        <w:tc>
          <w:tcPr>
            <w:tcW w:w="800" w:type="dxa"/>
            <w:vAlign w:val="center"/>
          </w:tcPr>
          <w:p>
            <w:pPr>
              <w:keepNext/>
              <w:spacing w:before="10" w:after="10" w:line="216" w:lineRule="auto"/>
              <w:ind w:firstLine="0"/>
              <w:jc w:val="left"/>
            </w:pPr>
            <w:r>
              <w:rPr>
                <w:sz w:val="15"/>
                <w:szCs w:val="15"/>
              </w:rPr>
              <w:t xml:space="preserve">None</w:t>
            </w:r>
          </w:p>
        </w:tc>
        <w:tc>
          <w:tcPr>
            <w:tcW w:w="918" w:type="dxa"/>
            <w:vAlign w:val="center"/>
          </w:tcPr>
          <w:p>
            <w:pPr>
              <w:keepNext/>
              <w:spacing w:before="10" w:after="10" w:line="216" w:lineRule="auto"/>
              <w:ind w:firstLine="0"/>
              <w:jc w:val="left"/>
            </w:pPr>
            <w:r>
              <w:rPr>
                <w:sz w:val="15"/>
                <w:szCs w:val="15"/>
              </w:rPr>
              <w:t xml:space="preserve">Not reported</w:t>
            </w:r>
          </w:p>
        </w:tc>
      </w:tr>
      <w:tr>
        <w:trPr>
          <w:cantSplit/>
        </w:trPr>
        <w:tc>
          <w:tcPr>
            <w:tcW w:w="1150" w:type="dxa"/>
            <w:vAlign w:val="center"/>
          </w:tcPr>
          <w:p>
            <w:pPr>
              <w:keepNext/>
              <w:spacing w:before="10" w:after="10" w:line="216" w:lineRule="auto"/>
              <w:ind w:firstLine="0"/>
              <w:jc w:val="left"/>
            </w:pPr>
            <w:r>
              <w:rPr>
                <w:sz w:val="15"/>
                <w:szCs w:val="15"/>
              </w:rPr>
              <w:t xml:space="preserve">Yedroudj-Net </w:t>
            </w:r>
            <w:r>
              <w:rPr>
                <w:sz w:val="15"/>
                <w:szCs w:val="15"/>
              </w:rPr>
              <w:t xml:space="preserve">[8]</w:t>
            </w:r>
          </w:p>
        </w:tc>
        <w:tc>
          <w:tcPr>
            <w:tcW w:w="1300" w:type="dxa"/>
            <w:vAlign w:val="center"/>
          </w:tcPr>
          <w:p>
            <w:pPr>
              <w:keepNext/>
              <w:spacing w:before="10" w:after="10" w:line="216" w:lineRule="auto"/>
              <w:ind w:firstLine="0"/>
              <w:jc w:val="left"/>
            </w:pPr>
            <w:r>
              <w:rPr>
                <w:sz w:val="15"/>
                <w:szCs w:val="15"/>
              </w:rPr>
              <w:t xml:space="preserve">BOSSbase 1.01, resized to 256 × 256</w:t>
            </w:r>
          </w:p>
        </w:tc>
        <w:tc>
          <w:tcPr>
            <w:tcW w:w="1150" w:type="dxa"/>
            <w:vAlign w:val="center"/>
          </w:tcPr>
          <w:p>
            <w:pPr>
              <w:keepNext/>
              <w:spacing w:before="10" w:after="10" w:line="216" w:lineRule="auto"/>
              <w:ind w:firstLine="0"/>
              <w:jc w:val="left"/>
            </w:pPr>
            <w:r>
              <w:rPr>
                <w:sz w:val="15"/>
                <w:szCs w:val="15"/>
              </w:rPr>
              <w:t xml:space="preserve">CNN</w:t>
            </w:r>
          </w:p>
        </w:tc>
        <w:tc>
          <w:tcPr>
            <w:tcW w:w="1600" w:type="dxa"/>
            <w:vAlign w:val="center"/>
          </w:tcPr>
          <w:p>
            <w:pPr>
              <w:keepNext/>
              <w:spacing w:before="10" w:after="10" w:line="216" w:lineRule="auto"/>
              <w:ind w:firstLine="0"/>
              <w:jc w:val="left"/>
            </w:pPr>
            <w:r>
              <w:rPr>
                <w:sz w:val="15"/>
                <w:szCs w:val="15"/>
              </w:rPr>
              <w:t xml:space="preserve">WOW, S-UNIWARD 0.2/0.4 bpp; matched; P</w:t>
            </w:r>
            <w:r>
              <w:rPr>
                <w:sz w:val="15"/>
                <w:szCs w:val="15"/>
                <w:vertAlign w:val="subscript"/>
              </w:rPr>
              <w:t xml:space="preserve">E</w:t>
            </w:r>
          </w:p>
        </w:tc>
        <w:tc>
          <w:tcPr>
            <w:tcW w:w="800" w:type="dxa"/>
            <w:vAlign w:val="center"/>
          </w:tcPr>
          <w:p>
            <w:pPr>
              <w:keepNext/>
              <w:spacing w:before="10" w:after="10" w:line="216" w:lineRule="auto"/>
              <w:ind w:firstLine="0"/>
              <w:jc w:val="left"/>
            </w:pPr>
            <w:r>
              <w:rPr>
                <w:sz w:val="15"/>
                <w:szCs w:val="15"/>
              </w:rPr>
              <w:t xml:space="preserve">None</w:t>
            </w:r>
          </w:p>
        </w:tc>
        <w:tc>
          <w:tcPr>
            <w:tcW w:w="918" w:type="dxa"/>
            <w:vAlign w:val="center"/>
          </w:tcPr>
          <w:p>
            <w:pPr>
              <w:keepNext/>
              <w:spacing w:before="10" w:after="10" w:line="216" w:lineRule="auto"/>
              <w:ind w:firstLine="0"/>
              <w:jc w:val="left"/>
            </w:pPr>
            <w:r>
              <w:rPr>
                <w:sz w:val="15"/>
                <w:szCs w:val="15"/>
              </w:rPr>
              <w:t xml:space="preserve">Not reported</w:t>
            </w:r>
          </w:p>
        </w:tc>
      </w:tr>
      <w:tr>
        <w:trPr>
          <w:cantSplit/>
        </w:trPr>
        <w:tc>
          <w:tcPr>
            <w:tcW w:w="1150" w:type="dxa"/>
            <w:vAlign w:val="center"/>
          </w:tcPr>
          <w:p>
            <w:pPr>
              <w:keepNext/>
              <w:spacing w:before="10" w:after="10" w:line="216" w:lineRule="auto"/>
              <w:ind w:firstLine="0"/>
              <w:jc w:val="left"/>
            </w:pPr>
            <w:r>
              <w:rPr>
                <w:sz w:val="15"/>
                <w:szCs w:val="15"/>
              </w:rPr>
              <w:t xml:space="preserve">SRNet </w:t>
            </w:r>
            <w:r>
              <w:rPr>
                <w:sz w:val="15"/>
                <w:szCs w:val="15"/>
              </w:rPr>
              <w:t xml:space="preserve">[9]</w:t>
            </w:r>
          </w:p>
        </w:tc>
        <w:tc>
          <w:tcPr>
            <w:tcW w:w="1300" w:type="dxa"/>
            <w:vAlign w:val="center"/>
          </w:tcPr>
          <w:p>
            <w:pPr>
              <w:keepNext/>
              <w:spacing w:before="10" w:after="10" w:line="216" w:lineRule="auto"/>
              <w:ind w:firstLine="0"/>
              <w:jc w:val="left"/>
            </w:pPr>
            <w:r>
              <w:rPr>
                <w:sz w:val="15"/>
                <w:szCs w:val="15"/>
              </w:rPr>
              <w:t xml:space="preserve">BOSSbase 1.01 + BOWS2, 256 × 256</w:t>
            </w:r>
          </w:p>
        </w:tc>
        <w:tc>
          <w:tcPr>
            <w:tcW w:w="1150" w:type="dxa"/>
            <w:vAlign w:val="center"/>
          </w:tcPr>
          <w:p>
            <w:pPr>
              <w:keepNext/>
              <w:spacing w:before="10" w:after="10" w:line="216" w:lineRule="auto"/>
              <w:ind w:firstLine="0"/>
              <w:jc w:val="left"/>
            </w:pPr>
            <w:r>
              <w:rPr>
                <w:sz w:val="15"/>
                <w:szCs w:val="15"/>
              </w:rPr>
              <w:t xml:space="preserve">Residual CNN</w:t>
            </w:r>
          </w:p>
        </w:tc>
        <w:tc>
          <w:tcPr>
            <w:tcW w:w="1600" w:type="dxa"/>
            <w:vAlign w:val="center"/>
          </w:tcPr>
          <w:p>
            <w:pPr>
              <w:keepNext/>
              <w:spacing w:before="10" w:after="10" w:line="216" w:lineRule="auto"/>
              <w:ind w:firstLine="0"/>
              <w:jc w:val="left"/>
            </w:pPr>
            <w:r>
              <w:rPr>
                <w:sz w:val="15"/>
                <w:szCs w:val="15"/>
              </w:rPr>
              <w:t xml:space="preserve">0.1–0.5 bpp, curriculum over payloads; P</w:t>
            </w:r>
            <w:r>
              <w:rPr>
                <w:sz w:val="15"/>
                <w:szCs w:val="15"/>
                <w:vertAlign w:val="subscript"/>
              </w:rPr>
              <w:t xml:space="preserve">E</w:t>
            </w:r>
          </w:p>
        </w:tc>
        <w:tc>
          <w:tcPr>
            <w:tcW w:w="800" w:type="dxa"/>
            <w:vAlign w:val="center"/>
          </w:tcPr>
          <w:p>
            <w:pPr>
              <w:keepNext/>
              <w:spacing w:before="10" w:after="10" w:line="216" w:lineRule="auto"/>
              <w:ind w:firstLine="0"/>
              <w:jc w:val="left"/>
            </w:pPr>
            <w:r>
              <w:rPr>
                <w:sz w:val="15"/>
                <w:szCs w:val="15"/>
              </w:rPr>
              <w:t xml:space="preserve">None</w:t>
            </w:r>
          </w:p>
        </w:tc>
        <w:tc>
          <w:tcPr>
            <w:tcW w:w="918" w:type="dxa"/>
            <w:vAlign w:val="center"/>
          </w:tcPr>
          <w:p>
            <w:pPr>
              <w:keepNext/>
              <w:spacing w:before="10" w:after="10" w:line="216" w:lineRule="auto"/>
              <w:ind w:firstLine="0"/>
              <w:jc w:val="left"/>
            </w:pPr>
            <w:r>
              <w:rPr>
                <w:sz w:val="15"/>
                <w:szCs w:val="15"/>
              </w:rPr>
              <w:t xml:space="preserve">Not reported</w:t>
            </w:r>
          </w:p>
        </w:tc>
      </w:tr>
      <w:tr>
        <w:trPr>
          <w:cantSplit/>
        </w:trPr>
        <w:tc>
          <w:tcPr>
            <w:tcW w:w="1150" w:type="dxa"/>
            <w:vAlign w:val="center"/>
          </w:tcPr>
          <w:p>
            <w:pPr>
              <w:keepNext/>
              <w:spacing w:before="10" w:after="10" w:line="216" w:lineRule="auto"/>
              <w:ind w:firstLine="0"/>
              <w:jc w:val="left"/>
            </w:pPr>
            <w:r>
              <w:rPr>
                <w:sz w:val="15"/>
                <w:szCs w:val="15"/>
              </w:rPr>
              <w:t xml:space="preserve">CSM </w:t>
            </w:r>
            <w:r>
              <w:rPr>
                <w:sz w:val="15"/>
                <w:szCs w:val="15"/>
              </w:rPr>
              <w:t xml:space="preserve">[10]</w:t>
            </w:r>
          </w:p>
        </w:tc>
        <w:tc>
          <w:tcPr>
            <w:tcW w:w="1300" w:type="dxa"/>
            <w:vAlign w:val="center"/>
          </w:tcPr>
          <w:p>
            <w:pPr>
              <w:keepNext/>
              <w:spacing w:before="10" w:after="10" w:line="216" w:lineRule="auto"/>
              <w:ind w:firstLine="0"/>
              <w:jc w:val="left"/>
            </w:pPr>
            <w:r>
              <w:rPr>
                <w:sz w:val="15"/>
                <w:szCs w:val="15"/>
              </w:rPr>
              <w:t xml:space="preserve">Several cover sources, spatial and JPEG</w:t>
            </w:r>
          </w:p>
        </w:tc>
        <w:tc>
          <w:tcPr>
            <w:tcW w:w="1150" w:type="dxa"/>
            <w:vAlign w:val="center"/>
          </w:tcPr>
          <w:p>
            <w:pPr>
              <w:keepNext/>
              <w:spacing w:before="10" w:after="10" w:line="216" w:lineRule="auto"/>
              <w:ind w:firstLine="0"/>
              <w:jc w:val="left"/>
            </w:pPr>
            <w:r>
              <w:rPr>
                <w:sz w:val="15"/>
                <w:szCs w:val="15"/>
              </w:rPr>
              <w:t xml:space="preserve">Feature-based, various dimensions</w:t>
            </w:r>
          </w:p>
        </w:tc>
        <w:tc>
          <w:tcPr>
            <w:tcW w:w="1600" w:type="dxa"/>
            <w:vAlign w:val="center"/>
          </w:tcPr>
          <w:p>
            <w:pPr>
              <w:keepNext/>
              <w:spacing w:before="10" w:after="10" w:line="216" w:lineRule="auto"/>
              <w:ind w:firstLine="0"/>
              <w:jc w:val="left"/>
            </w:pPr>
            <w:r>
              <w:rPr>
                <w:sz w:val="15"/>
                <w:szCs w:val="15"/>
              </w:rPr>
              <w:t xml:space="preserve">Train and test on different sources</w:t>
            </w:r>
          </w:p>
        </w:tc>
        <w:tc>
          <w:tcPr>
            <w:tcW w:w="800" w:type="dxa"/>
            <w:vAlign w:val="center"/>
          </w:tcPr>
          <w:p>
            <w:pPr>
              <w:keepNext/>
              <w:spacing w:before="10" w:after="10" w:line="216" w:lineRule="auto"/>
              <w:ind w:firstLine="0"/>
              <w:jc w:val="left"/>
            </w:pPr>
            <w:r>
              <w:rPr>
                <w:sz w:val="15"/>
                <w:szCs w:val="15"/>
              </w:rPr>
              <w:t xml:space="preserve">Cover source</w:t>
            </w:r>
          </w:p>
        </w:tc>
        <w:tc>
          <w:tcPr>
            <w:tcW w:w="918" w:type="dxa"/>
            <w:vAlign w:val="center"/>
          </w:tcPr>
          <w:p>
            <w:pPr>
              <w:keepNext/>
              <w:spacing w:before="10" w:after="10" w:line="216" w:lineRule="auto"/>
              <w:ind w:firstLine="0"/>
              <w:jc w:val="left"/>
            </w:pPr>
            <w:r>
              <w:rPr>
                <w:sz w:val="15"/>
                <w:szCs w:val="15"/>
              </w:rPr>
              <w:t xml:space="preserve">Not reported</w:t>
            </w:r>
          </w:p>
        </w:tc>
      </w:tr>
      <w:tr>
        <w:trPr>
          <w:cantSplit/>
        </w:trPr>
        <w:tc>
          <w:tcPr>
            <w:tcW w:w="1150" w:type="dxa"/>
            <w:vAlign w:val="center"/>
          </w:tcPr>
          <w:p>
            <w:pPr>
              <w:keepNext/>
              <w:spacing w:before="10" w:after="10" w:line="216" w:lineRule="auto"/>
              <w:ind w:firstLine="0"/>
              <w:jc w:val="left"/>
            </w:pPr>
            <w:r>
              <w:rPr>
                <w:sz w:val="15"/>
                <w:szCs w:val="15"/>
              </w:rPr>
              <w:t xml:space="preserve">Butora &amp; Fridrich </w:t>
            </w:r>
            <w:r>
              <w:rPr>
                <w:sz w:val="15"/>
                <w:szCs w:val="15"/>
              </w:rPr>
              <w:t xml:space="preserve">[13]</w:t>
            </w:r>
          </w:p>
        </w:tc>
        <w:tc>
          <w:tcPr>
            <w:tcW w:w="1300" w:type="dxa"/>
            <w:vAlign w:val="center"/>
          </w:tcPr>
          <w:p>
            <w:pPr>
              <w:keepNext/>
              <w:spacing w:before="10" w:after="10" w:line="216" w:lineRule="auto"/>
              <w:ind w:firstLine="0"/>
              <w:jc w:val="left"/>
            </w:pPr>
            <w:r>
              <w:rPr>
                <w:sz w:val="15"/>
                <w:szCs w:val="15"/>
              </w:rPr>
              <w:t xml:space="preserve">BOSSbase 1.01 + BOWS2, 256 × 256</w:t>
            </w:r>
          </w:p>
        </w:tc>
        <w:tc>
          <w:tcPr>
            <w:tcW w:w="1150" w:type="dxa"/>
            <w:vAlign w:val="center"/>
          </w:tcPr>
          <w:p>
            <w:pPr>
              <w:keepNext/>
              <w:spacing w:before="10" w:after="10" w:line="216" w:lineRule="auto"/>
              <w:ind w:firstLine="0"/>
              <w:jc w:val="left"/>
            </w:pPr>
            <w:r>
              <w:rPr>
                <w:sz w:val="15"/>
                <w:szCs w:val="15"/>
              </w:rPr>
              <w:t xml:space="preserve">SRNet variants</w:t>
            </w:r>
          </w:p>
        </w:tc>
        <w:tc>
          <w:tcPr>
            <w:tcW w:w="1600" w:type="dxa"/>
            <w:vAlign w:val="center"/>
          </w:tcPr>
          <w:p>
            <w:pPr>
              <w:keepNext/>
              <w:spacing w:before="10" w:after="10" w:line="216" w:lineRule="auto"/>
              <w:ind w:firstLine="0"/>
              <w:jc w:val="left"/>
            </w:pPr>
            <w:r>
              <w:rPr>
                <w:sz w:val="15"/>
                <w:szCs w:val="15"/>
              </w:rPr>
              <w:t xml:space="preserve">Leave one of 4 algorithms out, 0.4 bpp; P</w:t>
            </w:r>
            <w:r>
              <w:rPr>
                <w:sz w:val="15"/>
                <w:szCs w:val="15"/>
                <w:vertAlign w:val="subscript"/>
              </w:rPr>
              <w:t xml:space="preserve">MD</w:t>
            </w:r>
          </w:p>
        </w:tc>
        <w:tc>
          <w:tcPr>
            <w:tcW w:w="800" w:type="dxa"/>
            <w:vAlign w:val="center"/>
          </w:tcPr>
          <w:p>
            <w:pPr>
              <w:keepNext/>
              <w:spacing w:before="10" w:after="10" w:line="216" w:lineRule="auto"/>
              <w:ind w:firstLine="0"/>
              <w:jc w:val="left"/>
            </w:pPr>
            <w:r>
              <w:rPr>
                <w:sz w:val="15"/>
                <w:szCs w:val="15"/>
              </w:rPr>
              <w:t xml:space="preserve">Algorithm</w:t>
            </w:r>
          </w:p>
        </w:tc>
        <w:tc>
          <w:tcPr>
            <w:tcW w:w="918" w:type="dxa"/>
            <w:vAlign w:val="center"/>
          </w:tcPr>
          <w:p>
            <w:pPr>
              <w:keepNext/>
              <w:spacing w:before="10" w:after="10" w:line="216" w:lineRule="auto"/>
              <w:ind w:firstLine="0"/>
              <w:jc w:val="left"/>
            </w:pPr>
            <w:r>
              <w:rPr>
                <w:sz w:val="15"/>
                <w:szCs w:val="15"/>
              </w:rPr>
              <w:t xml:space="preserve">Not reported</w:t>
            </w:r>
          </w:p>
        </w:tc>
      </w:tr>
      <w:tr>
        <w:trPr>
          <w:cantSplit/>
        </w:trPr>
        <w:tc>
          <w:tcPr>
            <w:tcW w:w="1150" w:type="dxa"/>
            <w:vAlign w:val="center"/>
          </w:tcPr>
          <w:p>
            <w:pPr>
              <w:keepNext/>
              <w:spacing w:before="10" w:after="10" w:line="216" w:lineRule="auto"/>
              <w:ind w:firstLine="0"/>
              <w:jc w:val="left"/>
            </w:pPr>
            <w:r>
              <w:rPr>
                <w:sz w:val="15"/>
                <w:szCs w:val="15"/>
              </w:rPr>
              <w:t xml:space="preserve">ALASKA </w:t>
            </w:r>
            <w:r>
              <w:rPr>
                <w:sz w:val="15"/>
                <w:szCs w:val="15"/>
              </w:rPr>
              <w:t xml:space="preserve">[16]</w:t>
            </w:r>
          </w:p>
        </w:tc>
        <w:tc>
          <w:tcPr>
            <w:tcW w:w="1300" w:type="dxa"/>
            <w:vAlign w:val="center"/>
          </w:tcPr>
          <w:p>
            <w:pPr>
              <w:keepNext/>
              <w:spacing w:before="10" w:after="10" w:line="216" w:lineRule="auto"/>
              <w:ind w:firstLine="0"/>
              <w:jc w:val="left"/>
            </w:pPr>
            <w:r>
              <w:rPr>
                <w:sz w:val="15"/>
                <w:szCs w:val="15"/>
              </w:rPr>
              <w:t xml:space="preserve">JPEG images with diverse processing</w:t>
            </w:r>
          </w:p>
        </w:tc>
        <w:tc>
          <w:tcPr>
            <w:tcW w:w="1150" w:type="dxa"/>
            <w:vAlign w:val="center"/>
          </w:tcPr>
          <w:p>
            <w:pPr>
              <w:keepNext/>
              <w:spacing w:before="10" w:after="10" w:line="216" w:lineRule="auto"/>
              <w:ind w:firstLine="0"/>
              <w:jc w:val="left"/>
            </w:pPr>
            <w:r>
              <w:rPr>
                <w:sz w:val="15"/>
                <w:szCs w:val="15"/>
              </w:rPr>
              <w:t xml:space="preserve">Challenge entries</w:t>
            </w:r>
          </w:p>
        </w:tc>
        <w:tc>
          <w:tcPr>
            <w:tcW w:w="1600" w:type="dxa"/>
            <w:vAlign w:val="center"/>
          </w:tcPr>
          <w:p>
            <w:pPr>
              <w:keepNext/>
              <w:spacing w:before="10" w:after="10" w:line="216" w:lineRule="auto"/>
              <w:ind w:firstLine="0"/>
              <w:jc w:val="left"/>
            </w:pPr>
            <w:r>
              <w:rPr>
                <w:sz w:val="15"/>
                <w:szCs w:val="15"/>
              </w:rPr>
              <w:t xml:space="preserve">Challenge ranking</w:t>
            </w:r>
          </w:p>
        </w:tc>
        <w:tc>
          <w:tcPr>
            <w:tcW w:w="800" w:type="dxa"/>
            <w:vAlign w:val="center"/>
          </w:tcPr>
          <w:p>
            <w:pPr>
              <w:keepNext/>
              <w:spacing w:before="10" w:after="10" w:line="216" w:lineRule="auto"/>
              <w:ind w:firstLine="0"/>
              <w:jc w:val="left"/>
            </w:pPr>
            <w:r>
              <w:rPr>
                <w:sz w:val="15"/>
                <w:szCs w:val="15"/>
              </w:rPr>
              <w:t xml:space="preserve">Cover source, algorithm</w:t>
            </w:r>
          </w:p>
        </w:tc>
        <w:tc>
          <w:tcPr>
            <w:tcW w:w="918" w:type="dxa"/>
            <w:vAlign w:val="center"/>
          </w:tcPr>
          <w:p>
            <w:pPr>
              <w:keepNext/>
              <w:spacing w:before="10" w:after="10" w:line="216" w:lineRule="auto"/>
              <w:ind w:firstLine="0"/>
              <w:jc w:val="left"/>
            </w:pPr>
            <w:r>
              <w:rPr>
                <w:sz w:val="15"/>
                <w:szCs w:val="15"/>
              </w:rPr>
              <w:t xml:space="preserve">MD5 (5% FPR)</w:t>
            </w:r>
          </w:p>
        </w:tc>
      </w:tr>
      <w:tr>
        <w:trPr>
          <w:cantSplit/>
        </w:trPr>
        <w:tc>
          <w:tcPr>
            <w:tcW w:w="1150" w:type="dxa"/>
            <w:vAlign w:val="center"/>
          </w:tcPr>
          <w:p>
            <w:pPr>
              <w:keepNext/>
              <w:spacing w:before="10" w:after="10" w:line="216" w:lineRule="auto"/>
              <w:ind w:firstLine="0"/>
              <w:jc w:val="left"/>
            </w:pPr>
            <w:r>
              <w:rPr>
                <w:sz w:val="15"/>
                <w:szCs w:val="15"/>
              </w:rPr>
              <w:t xml:space="preserve">MODE </w:t>
            </w:r>
            <w:r>
              <w:rPr>
                <w:sz w:val="15"/>
                <w:szCs w:val="15"/>
              </w:rPr>
              <w:t xml:space="preserve">[18]</w:t>
            </w:r>
          </w:p>
        </w:tc>
        <w:tc>
          <w:tcPr>
            <w:tcW w:w="1300" w:type="dxa"/>
            <w:vAlign w:val="center"/>
          </w:tcPr>
          <w:p>
            <w:pPr>
              <w:keepNext/>
              <w:spacing w:before="10" w:after="10" w:line="216" w:lineRule="auto"/>
              <w:ind w:firstLine="0"/>
              <w:jc w:val="left"/>
            </w:pPr>
            <w:r>
              <w:rPr>
                <w:sz w:val="15"/>
                <w:szCs w:val="15"/>
              </w:rPr>
              <w:t xml:space="preserve">BOSSbase, 512 × 512</w:t>
            </w:r>
          </w:p>
        </w:tc>
        <w:tc>
          <w:tcPr>
            <w:tcW w:w="1150" w:type="dxa"/>
            <w:vAlign w:val="center"/>
          </w:tcPr>
          <w:p>
            <w:pPr>
              <w:keepNext/>
              <w:spacing w:before="10" w:after="10" w:line="216" w:lineRule="auto"/>
              <w:ind w:firstLine="0"/>
              <w:jc w:val="left"/>
            </w:pPr>
            <w:r>
              <w:rPr>
                <w:sz w:val="15"/>
                <w:szCs w:val="15"/>
              </w:rPr>
              <w:t xml:space="preserve">Pretrained SRNet</w:t>
            </w:r>
          </w:p>
        </w:tc>
        <w:tc>
          <w:tcPr>
            <w:tcW w:w="1600" w:type="dxa"/>
            <w:vAlign w:val="center"/>
          </w:tcPr>
          <w:p>
            <w:pPr>
              <w:keepNext/>
              <w:spacing w:before="10" w:after="10" w:line="216" w:lineRule="auto"/>
              <w:ind w:firstLine="0"/>
              <w:jc w:val="left"/>
            </w:pPr>
            <w:r>
              <w:rPr>
                <w:sz w:val="15"/>
                <w:szCs w:val="15"/>
              </w:rPr>
              <w:t xml:space="preserve">HILL 0.3 bpp; P</w:t>
            </w:r>
            <w:r>
              <w:rPr>
                <w:sz w:val="15"/>
                <w:szCs w:val="15"/>
                <w:vertAlign w:val="subscript"/>
              </w:rPr>
              <w:t xml:space="preserve">E</w:t>
            </w:r>
            <w:r>
              <w:rPr>
                <w:sz w:val="15"/>
                <w:szCs w:val="15"/>
              </w:rPr>
              <w:t xml:space="preserve">, detection at fixed FPR</w:t>
            </w:r>
          </w:p>
        </w:tc>
        <w:tc>
          <w:tcPr>
            <w:tcW w:w="800" w:type="dxa"/>
            <w:vAlign w:val="center"/>
          </w:tcPr>
          <w:p>
            <w:pPr>
              <w:keepNext/>
              <w:spacing w:before="10" w:after="10" w:line="216" w:lineRule="auto"/>
              <w:ind w:firstLine="0"/>
              <w:jc w:val="left"/>
            </w:pPr>
            <w:r>
              <w:rPr>
                <w:sz w:val="15"/>
                <w:szCs w:val="15"/>
              </w:rPr>
              <w:t xml:space="preserve">None</w:t>
            </w:r>
          </w:p>
        </w:tc>
        <w:tc>
          <w:tcPr>
            <w:tcW w:w="918" w:type="dxa"/>
            <w:vAlign w:val="center"/>
          </w:tcPr>
          <w:p>
            <w:pPr>
              <w:keepNext/>
              <w:spacing w:before="10" w:after="10" w:line="216" w:lineRule="auto"/>
              <w:ind w:firstLine="0"/>
              <w:jc w:val="left"/>
            </w:pPr>
            <w:r>
              <w:rPr>
                <w:sz w:val="15"/>
                <w:szCs w:val="15"/>
              </w:rPr>
              <w:t xml:space="preserve">FPR 10</w:t>
            </w:r>
            <w:r>
              <w:rPr>
                <w:sz w:val="15"/>
                <w:szCs w:val="15"/>
                <w:vertAlign w:val="superscript"/>
              </w:rPr>
              <w:t xml:space="preserve">−3</w:t>
            </w:r>
            <w:r>
              <w:rPr>
                <w:sz w:val="15"/>
                <w:szCs w:val="15"/>
              </w:rPr>
              <w:t xml:space="preserve">–10</w:t>
            </w:r>
            <w:r>
              <w:rPr>
                <w:sz w:val="15"/>
                <w:szCs w:val="15"/>
                <w:vertAlign w:val="superscript"/>
              </w:rPr>
              <w:t xml:space="preserve">−1</w:t>
            </w:r>
          </w:p>
        </w:tc>
      </w:tr>
      <w:tr>
        <w:trPr>
          <w:cantSplit/>
        </w:trPr>
        <w:tc>
          <w:tcPr>
            <w:tcW w:w="1150" w:type="dxa"/>
            <w:tcBorders>
              <w:top w:val="single" w:sz="4" w:space="0" w:color="000000"/>
            </w:tcBorders>
            <w:vAlign w:val="center"/>
          </w:tcPr>
          <w:p>
            <w:pPr>
              <w:spacing w:before="10" w:after="10" w:line="216" w:lineRule="auto"/>
              <w:ind w:firstLine="0"/>
              <w:jc w:val="left"/>
            </w:pPr>
            <w:r>
              <w:rPr>
                <w:sz w:val="15"/>
                <w:szCs w:val="15"/>
              </w:rPr>
              <w:t xml:space="preserve">This study</w:t>
            </w:r>
          </w:p>
        </w:tc>
        <w:tc>
          <w:tcPr>
            <w:tcW w:w="1300" w:type="dxa"/>
            <w:tcBorders>
              <w:top w:val="single" w:sz="4" w:space="0" w:color="000000"/>
            </w:tcBorders>
            <w:vAlign w:val="center"/>
          </w:tcPr>
          <w:p>
            <w:pPr>
              <w:spacing w:before="10" w:after="10" w:line="216" w:lineRule="auto"/>
              <w:ind w:firstLine="0"/>
              <w:jc w:val="left"/>
            </w:pPr>
            <w:r>
              <w:rPr>
                <w:sz w:val="15"/>
                <w:szCs w:val="15"/>
              </w:rPr>
              <w:t xml:space="preserve">BOSSbase 1.01, 600 covers, 256 × 256</w:t>
            </w:r>
          </w:p>
        </w:tc>
        <w:tc>
          <w:tcPr>
            <w:tcW w:w="1150" w:type="dxa"/>
            <w:tcBorders>
              <w:top w:val="single" w:sz="4" w:space="0" w:color="000000"/>
            </w:tcBorders>
            <w:vAlign w:val="center"/>
          </w:tcPr>
          <w:p>
            <w:pPr>
              <w:spacing w:before="10" w:after="10" w:line="216" w:lineRule="auto"/>
              <w:ind w:firstLine="0"/>
              <w:jc w:val="left"/>
            </w:pPr>
            <w:r>
              <w:rPr>
                <w:sz w:val="15"/>
                <w:szCs w:val="15"/>
              </w:rPr>
              <w:t xml:space="preserve">Residual-LR; SRM+Ensemble</w:t>
            </w:r>
          </w:p>
        </w:tc>
        <w:tc>
          <w:tcPr>
            <w:tcW w:w="1600" w:type="dxa"/>
            <w:tcBorders>
              <w:top w:val="single" w:sz="4" w:space="0" w:color="000000"/>
            </w:tcBorders>
            <w:vAlign w:val="center"/>
          </w:tcPr>
          <w:p>
            <w:pPr>
              <w:spacing w:before="10" w:after="10" w:line="216" w:lineRule="auto"/>
              <w:ind w:firstLine="0"/>
              <w:jc w:val="left"/>
            </w:pPr>
            <w:r>
              <w:rPr>
                <w:sz w:val="15"/>
                <w:szCs w:val="15"/>
              </w:rPr>
              <w:t xml:space="preserve">Split before embedding; paired bootstrap</w:t>
            </w:r>
          </w:p>
        </w:tc>
        <w:tc>
          <w:tcPr>
            <w:tcW w:w="800" w:type="dxa"/>
            <w:tcBorders>
              <w:top w:val="single" w:sz="4" w:space="0" w:color="000000"/>
            </w:tcBorders>
            <w:vAlign w:val="center"/>
          </w:tcPr>
          <w:p>
            <w:pPr>
              <w:spacing w:before="10" w:after="10" w:line="216" w:lineRule="auto"/>
              <w:ind w:firstLine="0"/>
              <w:jc w:val="left"/>
            </w:pPr>
            <w:r>
              <w:rPr>
                <w:sz w:val="15"/>
                <w:szCs w:val="15"/>
              </w:rPr>
              <w:t xml:space="preserve">Algorithm, payload</w:t>
            </w:r>
          </w:p>
        </w:tc>
        <w:tc>
          <w:tcPr>
            <w:tcW w:w="918" w:type="dxa"/>
            <w:tcBorders>
              <w:top w:val="single" w:sz="4" w:space="0" w:color="000000"/>
            </w:tcBorders>
            <w:vAlign w:val="center"/>
          </w:tcPr>
          <w:p>
            <w:pPr>
              <w:spacing w:before="10" w:after="10" w:line="216" w:lineRule="auto"/>
              <w:ind w:firstLine="0"/>
              <w:jc w:val="left"/>
            </w:pPr>
            <w:r>
              <w:rPr>
                <w:sz w:val="15"/>
                <w:szCs w:val="15"/>
              </w:rPr>
              <w:t xml:space="preserve">Recall, test FPR at 1% val. FPR</w:t>
            </w:r>
          </w:p>
        </w:tc>
      </w:tr>
    </w:tbl>
    <w:p>
      <w:pPr>
        <w:spacing w:before="0" w:after="0" w:line="120" w:lineRule="exact"/>
      </w:pPr>
    </w:p>
    <w:p>
      <w:pPr>
        <w:pStyle w:val="p1a"/>
      </w:pPr>
      <w:r>
        <w:t xml:space="preserve">Detector papers evaluate the matched condition, shift studies mostly concern the cover source or use large CNN training sets </w:t>
      </w:r>
      <w:r>
        <w:t xml:space="preserve">[13]</w:t>
      </w:r>
      <w:r>
        <w:t xml:space="preserve">, and low-FPR evaluation is rarely combined with algorithm or payload shift </w:t>
      </w:r>
      <w:r>
        <w:t xml:space="preserve">[16, 18]</w:t>
      </w:r>
      <w:r>
        <w:t xml:space="preserve">. To our knowledge, no study measures algorithm and payload shift for feature-based detectors under a split fixed before embedding, with paired intervals on identical test covers, while also reporting the FPR actually reached at a validation-selected threshold. StegaGuard addresses this gap.</w:t>
      </w:r>
    </w:p>
    <w:p>
      <w:pPr>
        <w:pStyle w:val="heading1"/>
      </w:pPr>
      <w:r>
        <w:t xml:space="preserve">Methodology</w:t>
      </w:r>
    </w:p>
    <w:p>
      <w:pPr>
        <w:pStyle w:val="p1a"/>
      </w:pPr>
      <w:r>
        <w:t xml:space="preserve">Fig. </w:t>
      </w:r>
      <w:fldSimple w:instr=" REF _Reffigpipeline \h \* MERGEFORMAT ">
        <w:r>
          <w:t xml:space="preserve">1</w:t>
        </w:r>
      </w:fldSimple>
      <w:r>
        <w:t xml:space="preserve"> summarizes the pipeline. Stages 1–3 build a leakage-controlled dataset, stages 4–5 train the two detectors in parallel under protocols P1–P3, and stages 6–7 evaluate every trained model on one fixed set of test covers.</w:t>
      </w:r>
    </w:p>
    <w:p>
      <w:pPr>
        <w:pStyle w:val="heading2"/>
      </w:pPr>
      <w:r>
        <w:t xml:space="preserve">Dataset Preparation and Leakage Prevention</w:t>
      </w:r>
    </w:p>
    <w:p>
      <w:pPr>
        <w:pStyle w:val="p1a"/>
      </w:pPr>
      <w:r>
        <w:t xml:space="preserve">BOSSbase 1.01 contains 10,000 grayscale images of 512 × 512 pixels </w:t>
      </w:r>
      <w:r>
        <w:t xml:space="preserve">[19]</w:t>
      </w:r>
      <w:r>
        <w:t xml:space="preserve">. We drew 600 of them (6%) with the fixed seed 20260918 and downsampled each to 256 × 256 before embedding, as several CNN studies do </w:t>
      </w:r>
      <w:r>
        <w:t xml:space="preserve">[8, 9]</w:t>
      </w:r>
      <w:r>
        <w:t xml:space="preserve">. Resizing alters cover noise statistics, so our numbers are not comparable with results at 512 × 512.</w:t>
      </w:r>
    </w:p>
    <w:p>
      <w:pPr/>
      <w:r>
        <w:t xml:space="preserve">Leakage is prevented by the order of operations. The 600 source covers were first assigned to training (360), validation (120) and test (120). Only then was each cover embedded with WOW </w:t>
      </w:r>
      <w:r>
        <w:t xml:space="preserve">[2]</w:t>
      </w:r>
      <w:r>
        <w:t xml:space="preserve">, S-UNIWARD </w:t>
      </w:r>
      <w:r>
        <w:t xml:space="preserve">[3]</w:t>
      </w:r>
      <w:r>
        <w:t xml:space="preserve"> and HILL </w:t>
      </w:r>
      <w:r>
        <w:t xml:space="preserve">[4]</w:t>
      </w:r>
      <w:r>
        <w:t xml:space="preserve"> at 0.1 and 0.4 bpp, giving six variants per cover: 600 stego images per algorithm–payload condition, 3,600 in total and 4,200 PNG files with the covers. Training, validation and test hold 2,160, 720 and 720 stego images (360, 120 and 120 per condition). Each stego file inherits the cover_id and split of its source, so a cover and its six variants always share a partition. The manifest records cover_id, split, algorithm, payload, embedding seed and SHA-256 hash; a manifest audit confirmed that every stego variant stays in the partition of its source cover (manifest SHA-256 13c01ca9…2799e8c).</w:t>
      </w:r>
    </w:p>
    <w:p>
      <w:pPr>
        <w:pStyle w:val="heading2"/>
      </w:pPr>
      <w:r>
        <w:t xml:space="preserve">Feature Extraction and Detectors</w:t>
      </w:r>
    </w:p>
    <w:p>
      <w:pPr>
        <w:pStyle w:val="p1a"/>
      </w:pPr>
      <w:r>
        <w:t xml:space="preserve">Both detectors output a score, higher for stego, that is used for every metric; </w:t>
      </w:r>
      <w:r>
        <w:t xml:space="preserve">Table </w:t>
      </w:r>
      <w:fldSimple w:instr=" REF _Reftabdetectors \h \* MERGEFORMAT ">
        <w:r>
          <w:t xml:space="preserve">2</w:t>
        </w:r>
      </w:fldSimple>
      <w:r>
        <w:t xml:space="preserve"> summarizes their configuration. Residual-LR, the lightweight baseline, describes each image by 76 statistics of its noise residuals and classifies them with scikit-learn logistic regression </w:t>
      </w:r>
      <w:r>
        <w:t xml:space="preserve">[20]</w:t>
      </w:r>
      <w:r>
        <w:t xml:space="preserve">. SRM+Ensemble, the established reference, extracts the 106 SRM submodels (34,671 features) </w:t>
      </w:r>
      <w:r>
        <w:t xml:space="preserve">[6]</w:t>
      </w:r>
      <w:r>
        <w:t xml:space="preserve"> with the sealwatch library </w:t>
      </w:r>
      <w:r>
        <w:t xml:space="preserve">[21]</w:t>
      </w:r>
      <w:r>
        <w:t xml:space="preserve"> and trains the FLD ensemble of </w:t>
      </w:r>
      <w:r>
        <w:t xml:space="preserve">[7]</w:t>
      </w:r>
      <w:r>
        <w:t xml:space="preserve"> with L = 50 base learners and random feature subspaces of dimension d</w:t>
      </w:r>
      <w:r>
        <w:rPr>
          <w:vertAlign w:val="subscript"/>
        </w:rPr>
        <w:t xml:space="preserve">sub</w:t>
      </w:r>
      <w:r>
        <w:t xml:space="preserve"> = 500. Both detectors keep the same settings in every protocol and seed, so the configuration cannot explain differences between protocols.</w:t>
      </w:r>
    </w:p>
    <w:p>
      <w:pPr>
        <w:pStyle w:val="tablecaption"/>
      </w:pPr>
      <w:r>
        <w:rPr>
          <w:b/>
          <w:bCs/>
        </w:rPr>
        <w:t xml:space="preserve">Table </w:t>
      </w:r>
      <w:bookmarkStart w:id="103" w:name="_Reftabdetectors"/>
      <w:fldSimple w:instr=" SEQ Table \* ARABIC ">
        <w:r>
          <w:rPr>
            <w:b/>
            <w:bCs/>
          </w:rPr>
          <w:t xml:space="preserve">2</w:t>
        </w:r>
      </w:fldSimple>
      <w:bookmarkEnd w:id="103"/>
      <w:r>
        <w:rPr>
          <w:b/>
          <w:bCs/>
        </w:rPr>
        <w:t xml:space="preserve">. </w:t>
      </w:r>
      <w:r>
        <w:t xml:space="preserve">Detector configuration.</w:t>
      </w:r>
    </w:p>
    <w:tbl>
      <w:tblPr>
        <w:tblW w:w="6918" w:type="dxa"/>
        <w:jc w:val="center"/>
        <w:tblBorders>
          <w:top w:val="single" w:sz="8" w:space="0" w:color="000000"/>
          <w:bottom w:val="single" w:sz="8" w:space="0" w:color="000000"/>
        </w:tblBorders>
        <w:tblLayout w:type="fixed"/>
        <w:tblCellMar>
          <w:top w:w="0" w:type="dxa"/>
          <w:left w:w="57" w:type="dxa"/>
          <w:bottom w:w="0" w:type="dxa"/>
          <w:right w:w="57" w:type="dxa"/>
        </w:tblCellMar>
        <w:tblLook w:val="0000"/>
      </w:tblPr>
      <w:tblGrid>
        <w:gridCol w:w="1650"/>
        <w:gridCol w:w="2634"/>
        <w:gridCol w:w="2634"/>
      </w:tblGrid>
      <w:tr>
        <w:trPr>
          <w:cantSplit/>
          <w:tblHeader/>
        </w:trPr>
        <w:tc>
          <w:tcPr>
            <w:tcW w:w="1650" w:type="dxa"/>
            <w:tcBorders>
              <w:bottom w:val="single" w:sz="4" w:space="0" w:color="000000"/>
            </w:tcBorders>
            <w:vAlign w:val="center"/>
          </w:tcPr>
          <w:p>
            <w:pPr>
              <w:keepNext/>
              <w:spacing w:before="10" w:after="10" w:line="216" w:lineRule="auto"/>
              <w:ind w:firstLine="0"/>
              <w:jc w:val="left"/>
            </w:pPr>
            <w:r>
              <w:rPr>
                <w:b/>
                <w:bCs/>
                <w:sz w:val="17"/>
                <w:szCs w:val="17"/>
              </w:rPr>
              <w:t xml:space="preserve">Setting</w:t>
            </w:r>
          </w:p>
        </w:tc>
        <w:tc>
          <w:tcPr>
            <w:tcW w:w="2634" w:type="dxa"/>
            <w:tcBorders>
              <w:bottom w:val="single" w:sz="4" w:space="0" w:color="000000"/>
            </w:tcBorders>
            <w:vAlign w:val="center"/>
          </w:tcPr>
          <w:p>
            <w:pPr>
              <w:keepNext/>
              <w:spacing w:before="10" w:after="10" w:line="216" w:lineRule="auto"/>
              <w:ind w:firstLine="0"/>
              <w:jc w:val="left"/>
            </w:pPr>
            <w:r>
              <w:rPr>
                <w:b/>
                <w:bCs/>
                <w:sz w:val="17"/>
                <w:szCs w:val="17"/>
              </w:rPr>
              <w:t xml:space="preserve">Residual-LR</w:t>
            </w:r>
          </w:p>
        </w:tc>
        <w:tc>
          <w:tcPr>
            <w:tcW w:w="2634" w:type="dxa"/>
            <w:tcBorders>
              <w:bottom w:val="single" w:sz="4" w:space="0" w:color="000000"/>
            </w:tcBorders>
            <w:vAlign w:val="center"/>
          </w:tcPr>
          <w:p>
            <w:pPr>
              <w:keepNext/>
              <w:spacing w:before="10" w:after="10" w:line="216" w:lineRule="auto"/>
              <w:ind w:firstLine="0"/>
              <w:jc w:val="left"/>
            </w:pPr>
            <w:r>
              <w:rPr>
                <w:b/>
                <w:bCs/>
                <w:sz w:val="17"/>
                <w:szCs w:val="17"/>
              </w:rPr>
              <w:t xml:space="preserve">SRM+Ensemble</w:t>
            </w:r>
          </w:p>
        </w:tc>
      </w:tr>
      <w:tr>
        <w:trPr>
          <w:cantSplit/>
        </w:trPr>
        <w:tc>
          <w:tcPr>
            <w:tcW w:w="1650" w:type="dxa"/>
            <w:vAlign w:val="center"/>
          </w:tcPr>
          <w:p>
            <w:pPr>
              <w:keepNext/>
              <w:spacing w:before="10" w:after="10" w:line="216" w:lineRule="auto"/>
              <w:ind w:firstLine="0"/>
              <w:jc w:val="left"/>
            </w:pPr>
            <w:r>
              <w:rPr>
                <w:sz w:val="17"/>
                <w:szCs w:val="17"/>
              </w:rPr>
              <w:t xml:space="preserve">Features</w:t>
            </w:r>
          </w:p>
        </w:tc>
        <w:tc>
          <w:tcPr>
            <w:tcW w:w="2634" w:type="dxa"/>
            <w:vAlign w:val="center"/>
          </w:tcPr>
          <w:p>
            <w:pPr>
              <w:keepNext/>
              <w:spacing w:before="10" w:after="10" w:line="216" w:lineRule="auto"/>
              <w:ind w:firstLine="0"/>
              <w:jc w:val="left"/>
            </w:pPr>
            <w:r>
              <w:rPr>
                <w:sz w:val="17"/>
                <w:szCs w:val="17"/>
              </w:rPr>
              <w:t xml:space="preserve">76 residual statistics</w:t>
            </w:r>
          </w:p>
        </w:tc>
        <w:tc>
          <w:tcPr>
            <w:tcW w:w="2634" w:type="dxa"/>
            <w:vAlign w:val="center"/>
          </w:tcPr>
          <w:p>
            <w:pPr>
              <w:keepNext/>
              <w:spacing w:before="10" w:after="10" w:line="216" w:lineRule="auto"/>
              <w:ind w:firstLine="0"/>
              <w:jc w:val="left"/>
            </w:pPr>
            <w:r>
              <w:rPr>
                <w:sz w:val="17"/>
                <w:szCs w:val="17"/>
              </w:rPr>
              <w:t xml:space="preserve">SRM: 106 submodels, 34,671 dimensions</w:t>
            </w:r>
          </w:p>
        </w:tc>
      </w:tr>
      <w:tr>
        <w:trPr>
          <w:cantSplit/>
        </w:trPr>
        <w:tc>
          <w:tcPr>
            <w:tcW w:w="1650" w:type="dxa"/>
            <w:vAlign w:val="center"/>
          </w:tcPr>
          <w:p>
            <w:pPr>
              <w:keepNext/>
              <w:spacing w:before="10" w:after="10" w:line="216" w:lineRule="auto"/>
              <w:ind w:firstLine="0"/>
              <w:jc w:val="left"/>
            </w:pPr>
            <w:r>
              <w:rPr>
                <w:sz w:val="17"/>
                <w:szCs w:val="17"/>
              </w:rPr>
              <w:t xml:space="preserve">Classifier</w:t>
            </w:r>
          </w:p>
        </w:tc>
        <w:tc>
          <w:tcPr>
            <w:tcW w:w="2634" w:type="dxa"/>
            <w:vAlign w:val="center"/>
          </w:tcPr>
          <w:p>
            <w:pPr>
              <w:keepNext/>
              <w:spacing w:before="10" w:after="10" w:line="216" w:lineRule="auto"/>
              <w:ind w:firstLine="0"/>
              <w:jc w:val="left"/>
            </w:pPr>
            <w:r>
              <w:rPr>
                <w:sz w:val="17"/>
                <w:szCs w:val="17"/>
              </w:rPr>
              <w:t xml:space="preserve">logistic regression (scikit-learn)</w:t>
            </w:r>
          </w:p>
        </w:tc>
        <w:tc>
          <w:tcPr>
            <w:tcW w:w="2634" w:type="dxa"/>
            <w:vAlign w:val="center"/>
          </w:tcPr>
          <w:p>
            <w:pPr>
              <w:keepNext/>
              <w:spacing w:before="10" w:after="10" w:line="216" w:lineRule="auto"/>
              <w:ind w:firstLine="0"/>
              <w:jc w:val="left"/>
            </w:pPr>
            <w:r>
              <w:rPr>
                <w:sz w:val="17"/>
                <w:szCs w:val="17"/>
              </w:rPr>
              <w:t xml:space="preserve">FLD ensemble, L = 50, d</w:t>
            </w:r>
            <w:r>
              <w:rPr>
                <w:sz w:val="17"/>
                <w:szCs w:val="17"/>
                <w:vertAlign w:val="subscript"/>
              </w:rPr>
              <w:t xml:space="preserve">sub</w:t>
            </w:r>
            <w:r>
              <w:rPr>
                <w:sz w:val="17"/>
                <w:szCs w:val="17"/>
              </w:rPr>
              <w:t xml:space="preserve"> = 500</w:t>
            </w:r>
          </w:p>
        </w:tc>
      </w:tr>
      <w:tr>
        <w:trPr>
          <w:cantSplit/>
        </w:trPr>
        <w:tc>
          <w:tcPr>
            <w:tcW w:w="1650" w:type="dxa"/>
            <w:vAlign w:val="center"/>
          </w:tcPr>
          <w:p>
            <w:pPr>
              <w:keepNext/>
              <w:spacing w:before="10" w:after="10" w:line="216" w:lineRule="auto"/>
              <w:ind w:firstLine="0"/>
              <w:jc w:val="left"/>
            </w:pPr>
            <w:r>
              <w:rPr>
                <w:sz w:val="17"/>
                <w:szCs w:val="17"/>
              </w:rPr>
              <w:t xml:space="preserve">Training data per run</w:t>
            </w:r>
          </w:p>
        </w:tc>
        <w:tc>
          <w:tcPr>
            <w:tcW w:w="2634" w:type="dxa"/>
            <w:vAlign w:val="center"/>
          </w:tcPr>
          <w:p>
            <w:pPr>
              <w:keepNext/>
              <w:spacing w:before="10" w:after="10" w:line="216" w:lineRule="auto"/>
              <w:ind w:firstLine="0"/>
              <w:jc w:val="left"/>
            </w:pPr>
            <w:r>
              <w:rPr>
                <w:sz w:val="17"/>
                <w:szCs w:val="17"/>
              </w:rPr>
              <w:t xml:space="preserve">360 cover–stego pairs</w:t>
            </w:r>
          </w:p>
        </w:tc>
        <w:tc>
          <w:tcPr>
            <w:tcW w:w="2634" w:type="dxa"/>
            <w:vAlign w:val="center"/>
          </w:tcPr>
          <w:p>
            <w:pPr>
              <w:keepNext/>
              <w:spacing w:before="10" w:after="10" w:line="216" w:lineRule="auto"/>
              <w:ind w:firstLine="0"/>
              <w:jc w:val="left"/>
            </w:pPr>
            <w:r>
              <w:rPr>
                <w:sz w:val="17"/>
                <w:szCs w:val="17"/>
              </w:rPr>
              <w:t xml:space="preserve">360 cover–stego pairs</w:t>
            </w:r>
          </w:p>
        </w:tc>
      </w:tr>
      <w:tr>
        <w:trPr>
          <w:cantSplit/>
        </w:trPr>
        <w:tc>
          <w:tcPr>
            <w:tcW w:w="1650" w:type="dxa"/>
            <w:vAlign w:val="center"/>
          </w:tcPr>
          <w:p>
            <w:pPr>
              <w:spacing w:before="10" w:after="10" w:line="216" w:lineRule="auto"/>
              <w:ind w:firstLine="0"/>
              <w:jc w:val="left"/>
            </w:pPr>
            <w:r>
              <w:rPr>
                <w:sz w:val="17"/>
                <w:szCs w:val="17"/>
              </w:rPr>
              <w:t xml:space="preserve">Seed-dependent parts</w:t>
            </w:r>
          </w:p>
        </w:tc>
        <w:tc>
          <w:tcPr>
            <w:tcW w:w="2634" w:type="dxa"/>
            <w:vAlign w:val="center"/>
          </w:tcPr>
          <w:p>
            <w:pPr>
              <w:spacing w:before="10" w:after="10" w:line="216" w:lineRule="auto"/>
              <w:ind w:firstLine="0"/>
              <w:jc w:val="left"/>
            </w:pPr>
            <w:r>
              <w:rPr>
                <w:sz w:val="17"/>
                <w:szCs w:val="17"/>
              </w:rPr>
              <w:t xml:space="preserve">variant sampling (P2, P3); random parts of model fitting</w:t>
            </w:r>
          </w:p>
        </w:tc>
        <w:tc>
          <w:tcPr>
            <w:tcW w:w="2634" w:type="dxa"/>
            <w:vAlign w:val="center"/>
          </w:tcPr>
          <w:p>
            <w:pPr>
              <w:spacing w:before="10" w:after="10" w:line="216" w:lineRule="auto"/>
              <w:ind w:firstLine="0"/>
              <w:jc w:val="left"/>
            </w:pPr>
            <w:r>
              <w:rPr>
                <w:sz w:val="17"/>
                <w:szCs w:val="17"/>
              </w:rPr>
              <w:t xml:space="preserve">variant sampling (P2, P3); random parts of model fitting</w:t>
            </w:r>
          </w:p>
        </w:tc>
      </w:tr>
    </w:tbl>
    <w:p>
      <w:pPr>
        <w:spacing w:before="0" w:after="0" w:line="120" w:lineRule="exact"/>
      </w:pPr>
    </w:p>
    <w:p>
      <w:pPr>
        <w:pStyle w:val="heading2"/>
      </w:pPr>
      <w:r>
        <w:t xml:space="preserve">Experimental Protocols</w:t>
      </w:r>
    </w:p>
    <w:p>
      <w:pPr>
        <w:pStyle w:val="p1a"/>
      </w:pPr>
      <w:r>
        <w:t xml:space="preserve">The protocols in </w:t>
      </w:r>
      <w:r>
        <w:t xml:space="preserve">Table </w:t>
      </w:r>
      <w:fldSimple w:instr=" REF _Reftabprotocols \h \* MERGEFORMAT ">
        <w:r>
          <w:t xml:space="preserve">3</w:t>
        </w:r>
      </w:fldSimple>
      <w:r>
        <w:t xml:space="preserve"> differ only in the stego variant attached to each of the 360 training covers. For every training cover and seed, one variant is sampled from the protocol's pool, so each run sees 360 cover–stego pairs built from the same 360 covers; P1 involves no sampling. Validation images serve only to set thresholds. HILL is never used for model fitting or threshold selection, and S-UNIWARD is unseen under P1. Seeds 42, 43 and 44 control the variant draws and the random parts of model fitting.</w:t>
      </w:r>
    </w:p>
    <w:p>
      <w:pPr>
        <w:pStyle w:val="tablecaption"/>
        <w:jc w:val="both"/>
      </w:pPr>
      <w:r>
        <w:rPr>
          <w:b/>
          <w:bCs/>
        </w:rPr>
        <w:t xml:space="preserve">Table </w:t>
      </w:r>
      <w:bookmarkStart w:id="104" w:name="_Reftabprotocols"/>
      <w:fldSimple w:instr=" SEQ Table \* ARABIC ">
        <w:r>
          <w:rPr>
            <w:b/>
            <w:bCs/>
          </w:rPr>
          <w:t xml:space="preserve">3</w:t>
        </w:r>
      </w:fldSimple>
      <w:bookmarkEnd w:id="104"/>
      <w:r>
        <w:rPr>
          <w:b/>
          <w:bCs/>
        </w:rPr>
        <w:t xml:space="preserve">. </w:t>
      </w:r>
      <w:r>
        <w:t xml:space="preserve">Training protocols. All share the same 360 training, 120 validation and 120 test covers; every model is tested on all six conditions (3 algorithms × 2 payloads).</w:t>
      </w:r>
    </w:p>
    <w:tbl>
      <w:tblPr>
        <w:tblW w:w="6918" w:type="dxa"/>
        <w:jc w:val="center"/>
        <w:tblBorders>
          <w:top w:val="single" w:sz="8" w:space="0" w:color="000000"/>
          <w:bottom w:val="single" w:sz="8" w:space="0" w:color="000000"/>
        </w:tblBorders>
        <w:tblLayout w:type="fixed"/>
        <w:tblCellMar>
          <w:top w:w="0" w:type="dxa"/>
          <w:left w:w="57" w:type="dxa"/>
          <w:bottom w:w="0" w:type="dxa"/>
          <w:right w:w="57" w:type="dxa"/>
        </w:tblCellMar>
        <w:tblLook w:val="0000"/>
      </w:tblPr>
      <w:tblGrid>
        <w:gridCol w:w="600"/>
        <w:gridCol w:w="2500"/>
        <w:gridCol w:w="1050"/>
        <w:gridCol w:w="2768"/>
      </w:tblGrid>
      <w:tr>
        <w:trPr>
          <w:cantSplit/>
          <w:tblHeader/>
        </w:trPr>
        <w:tc>
          <w:tcPr>
            <w:tcW w:w="600" w:type="dxa"/>
            <w:tcBorders>
              <w:bottom w:val="single" w:sz="4" w:space="0" w:color="000000"/>
            </w:tcBorders>
            <w:vAlign w:val="center"/>
          </w:tcPr>
          <w:p>
            <w:pPr>
              <w:keepNext/>
              <w:spacing w:before="10" w:after="10" w:line="216" w:lineRule="auto"/>
              <w:ind w:firstLine="0"/>
              <w:jc w:val="center"/>
            </w:pPr>
            <w:r>
              <w:rPr>
                <w:b/>
                <w:bCs/>
                <w:sz w:val="17"/>
                <w:szCs w:val="17"/>
              </w:rPr>
              <w:t xml:space="preserve">P</w:t>
            </w:r>
          </w:p>
        </w:tc>
        <w:tc>
          <w:tcPr>
            <w:tcW w:w="2500" w:type="dxa"/>
            <w:tcBorders>
              <w:bottom w:val="single" w:sz="4" w:space="0" w:color="000000"/>
            </w:tcBorders>
            <w:vAlign w:val="center"/>
          </w:tcPr>
          <w:p>
            <w:pPr>
              <w:keepNext/>
              <w:spacing w:before="10" w:after="10" w:line="216" w:lineRule="auto"/>
              <w:ind w:firstLine="0"/>
              <w:jc w:val="left"/>
            </w:pPr>
            <w:r>
              <w:rPr>
                <w:b/>
                <w:bCs/>
                <w:sz w:val="17"/>
                <w:szCs w:val="17"/>
              </w:rPr>
              <w:t xml:space="preserve">Training stego pool</w:t>
            </w:r>
          </w:p>
        </w:tc>
        <w:tc>
          <w:tcPr>
            <w:tcW w:w="1050" w:type="dxa"/>
            <w:tcBorders>
              <w:bottom w:val="single" w:sz="4" w:space="0" w:color="000000"/>
            </w:tcBorders>
            <w:vAlign w:val="center"/>
          </w:tcPr>
          <w:p>
            <w:pPr>
              <w:keepNext/>
              <w:spacing w:before="10" w:after="10" w:line="216" w:lineRule="auto"/>
              <w:ind w:firstLine="0"/>
              <w:jc w:val="left"/>
            </w:pPr>
            <w:r>
              <w:rPr>
                <w:b/>
                <w:bCs/>
                <w:sz w:val="17"/>
                <w:szCs w:val="17"/>
              </w:rPr>
              <w:t xml:space="preserve">Variants in pool</w:t>
            </w:r>
          </w:p>
        </w:tc>
        <w:tc>
          <w:tcPr>
            <w:tcW w:w="2768" w:type="dxa"/>
            <w:tcBorders>
              <w:bottom w:val="single" w:sz="4" w:space="0" w:color="000000"/>
            </w:tcBorders>
            <w:vAlign w:val="center"/>
          </w:tcPr>
          <w:p>
            <w:pPr>
              <w:keepNext/>
              <w:spacing w:before="10" w:after="10" w:line="216" w:lineRule="auto"/>
              <w:ind w:firstLine="0"/>
              <w:jc w:val="left"/>
            </w:pPr>
            <w:r>
              <w:rPr>
                <w:b/>
                <w:bCs/>
                <w:sz w:val="17"/>
                <w:szCs w:val="17"/>
              </w:rPr>
              <w:t xml:space="preserve">Role</w:t>
            </w:r>
          </w:p>
        </w:tc>
      </w:tr>
      <w:tr>
        <w:trPr>
          <w:cantSplit/>
        </w:trPr>
        <w:tc>
          <w:tcPr>
            <w:tcW w:w="600" w:type="dxa"/>
            <w:vAlign w:val="center"/>
          </w:tcPr>
          <w:p>
            <w:pPr>
              <w:keepNext/>
              <w:spacing w:before="10" w:after="10" w:line="216" w:lineRule="auto"/>
              <w:ind w:firstLine="0"/>
              <w:jc w:val="center"/>
            </w:pPr>
            <w:r>
              <w:rPr>
                <w:sz w:val="17"/>
                <w:szCs w:val="17"/>
              </w:rPr>
              <w:t xml:space="preserve">P1</w:t>
            </w:r>
          </w:p>
        </w:tc>
        <w:tc>
          <w:tcPr>
            <w:tcW w:w="2500" w:type="dxa"/>
            <w:vAlign w:val="center"/>
          </w:tcPr>
          <w:p>
            <w:pPr>
              <w:keepNext/>
              <w:spacing w:before="10" w:after="10" w:line="216" w:lineRule="auto"/>
              <w:ind w:firstLine="0"/>
              <w:jc w:val="left"/>
            </w:pPr>
            <w:r>
              <w:rPr>
                <w:sz w:val="17"/>
                <w:szCs w:val="17"/>
              </w:rPr>
              <w:t xml:space="preserve">WOW 0.4 bpp</w:t>
            </w:r>
          </w:p>
        </w:tc>
        <w:tc>
          <w:tcPr>
            <w:tcW w:w="1050" w:type="dxa"/>
            <w:vAlign w:val="center"/>
          </w:tcPr>
          <w:p>
            <w:pPr>
              <w:keepNext/>
              <w:spacing w:before="10" w:after="10" w:line="216" w:lineRule="auto"/>
              <w:ind w:firstLine="0"/>
              <w:jc w:val="left"/>
            </w:pPr>
            <w:r>
              <w:rPr>
                <w:sz w:val="17"/>
                <w:szCs w:val="17"/>
              </w:rPr>
              <w:t xml:space="preserve">1</w:t>
            </w:r>
          </w:p>
        </w:tc>
        <w:tc>
          <w:tcPr>
            <w:tcW w:w="2768" w:type="dxa"/>
            <w:vAlign w:val="center"/>
          </w:tcPr>
          <w:p>
            <w:pPr>
              <w:keepNext/>
              <w:spacing w:before="10" w:after="10" w:line="216" w:lineRule="auto"/>
              <w:ind w:firstLine="0"/>
              <w:jc w:val="left"/>
            </w:pPr>
            <w:r>
              <w:rPr>
                <w:sz w:val="17"/>
                <w:szCs w:val="17"/>
              </w:rPr>
              <w:t xml:space="preserve">RQ1 (WOW 0.4 matched, HILL 0.4 unseen); RQ3</w:t>
            </w:r>
          </w:p>
        </w:tc>
      </w:tr>
      <w:tr>
        <w:trPr>
          <w:cantSplit/>
        </w:trPr>
        <w:tc>
          <w:tcPr>
            <w:tcW w:w="600" w:type="dxa"/>
            <w:vAlign w:val="center"/>
          </w:tcPr>
          <w:p>
            <w:pPr>
              <w:keepNext/>
              <w:spacing w:before="10" w:after="10" w:line="216" w:lineRule="auto"/>
              <w:ind w:firstLine="0"/>
              <w:jc w:val="center"/>
            </w:pPr>
            <w:r>
              <w:rPr>
                <w:sz w:val="17"/>
                <w:szCs w:val="17"/>
              </w:rPr>
              <w:t xml:space="preserve">P2</w:t>
            </w:r>
          </w:p>
        </w:tc>
        <w:tc>
          <w:tcPr>
            <w:tcW w:w="2500" w:type="dxa"/>
            <w:vAlign w:val="center"/>
          </w:tcPr>
          <w:p>
            <w:pPr>
              <w:keepNext/>
              <w:spacing w:before="10" w:after="10" w:line="216" w:lineRule="auto"/>
              <w:ind w:firstLine="0"/>
              <w:jc w:val="left"/>
            </w:pPr>
            <w:r>
              <w:rPr>
                <w:sz w:val="17"/>
                <w:szCs w:val="17"/>
              </w:rPr>
              <w:t xml:space="preserve">WOW and S-UNIWARD at 0.4 bpp</w:t>
            </w:r>
          </w:p>
        </w:tc>
        <w:tc>
          <w:tcPr>
            <w:tcW w:w="1050" w:type="dxa"/>
            <w:vAlign w:val="center"/>
          </w:tcPr>
          <w:p>
            <w:pPr>
              <w:keepNext/>
              <w:spacing w:before="10" w:after="10" w:line="216" w:lineRule="auto"/>
              <w:ind w:firstLine="0"/>
              <w:jc w:val="left"/>
            </w:pPr>
            <w:r>
              <w:rPr>
                <w:sz w:val="17"/>
                <w:szCs w:val="17"/>
              </w:rPr>
              <w:t xml:space="preserve">2</w:t>
            </w:r>
          </w:p>
        </w:tc>
        <w:tc>
          <w:tcPr>
            <w:tcW w:w="2768" w:type="dxa"/>
            <w:vAlign w:val="center"/>
          </w:tcPr>
          <w:p>
            <w:pPr>
              <w:keepNext/>
              <w:spacing w:before="10" w:after="10" w:line="216" w:lineRule="auto"/>
              <w:ind w:firstLine="0"/>
              <w:jc w:val="left"/>
            </w:pPr>
            <w:r>
              <w:rPr>
                <w:sz w:val="17"/>
                <w:szCs w:val="17"/>
              </w:rPr>
              <w:t xml:space="preserve">RQ2 reference; RQ3</w:t>
            </w:r>
          </w:p>
        </w:tc>
      </w:tr>
      <w:tr>
        <w:trPr>
          <w:cantSplit/>
        </w:trPr>
        <w:tc>
          <w:tcPr>
            <w:tcW w:w="600" w:type="dxa"/>
            <w:vAlign w:val="center"/>
          </w:tcPr>
          <w:p>
            <w:pPr>
              <w:spacing w:before="10" w:after="10" w:line="216" w:lineRule="auto"/>
              <w:ind w:firstLine="0"/>
              <w:jc w:val="center"/>
            </w:pPr>
            <w:r>
              <w:rPr>
                <w:sz w:val="17"/>
                <w:szCs w:val="17"/>
              </w:rPr>
              <w:t xml:space="preserve">P3</w:t>
            </w:r>
          </w:p>
        </w:tc>
        <w:tc>
          <w:tcPr>
            <w:tcW w:w="2500" w:type="dxa"/>
            <w:vAlign w:val="center"/>
          </w:tcPr>
          <w:p>
            <w:pPr>
              <w:spacing w:before="10" w:after="10" w:line="216" w:lineRule="auto"/>
              <w:ind w:firstLine="0"/>
              <w:jc w:val="left"/>
            </w:pPr>
            <w:r>
              <w:rPr>
                <w:sz w:val="17"/>
                <w:szCs w:val="17"/>
              </w:rPr>
              <w:t xml:space="preserve">WOW and S-UNIWARD at 0.1 and 0.4 bpp</w:t>
            </w:r>
          </w:p>
        </w:tc>
        <w:tc>
          <w:tcPr>
            <w:tcW w:w="1050" w:type="dxa"/>
            <w:vAlign w:val="center"/>
          </w:tcPr>
          <w:p>
            <w:pPr>
              <w:spacing w:before="10" w:after="10" w:line="216" w:lineRule="auto"/>
              <w:ind w:firstLine="0"/>
              <w:jc w:val="left"/>
            </w:pPr>
            <w:r>
              <w:rPr>
                <w:sz w:val="17"/>
                <w:szCs w:val="17"/>
              </w:rPr>
              <w:t xml:space="preserve">4</w:t>
            </w:r>
          </w:p>
        </w:tc>
        <w:tc>
          <w:tcPr>
            <w:tcW w:w="2768" w:type="dxa"/>
            <w:vAlign w:val="center"/>
          </w:tcPr>
          <w:p>
            <w:pPr>
              <w:spacing w:before="10" w:after="10" w:line="216" w:lineRule="auto"/>
              <w:ind w:firstLine="0"/>
              <w:jc w:val="left"/>
            </w:pPr>
            <w:r>
              <w:rPr>
                <w:sz w:val="17"/>
                <w:szCs w:val="17"/>
              </w:rPr>
              <w:t xml:space="preserve">RQ2 (P3 − P2 on HILL 0.4); RQ3</w:t>
            </w:r>
          </w:p>
        </w:tc>
      </w:tr>
    </w:tbl>
    <w:p>
      <w:pPr>
        <w:spacing w:before="0" w:after="0" w:line="120" w:lineRule="exact"/>
      </w:pPr>
    </w:p>
    <w:p>
      <w:pPr>
        <w:pStyle w:val="p1a"/>
      </w:pPr>
      <w:r>
        <w:t xml:space="preserve">RQ1 uses P1 because it trains on WOW 0.4 alone, so WOW 0.4 is matched and HILL 0.4 unseen for the same model. P2 and P3 differ only in the 0.1 bpp variants, which RQ2 isolates. In every comparison both conditions are scored on the same 120 test covers.</w:t>
      </w:r>
    </w:p>
    <w:p>
      <w:pPr>
        <w:pStyle w:val="heading2"/>
      </w:pPr>
      <w:r>
        <w:t xml:space="preserve">Evaluation Metrics</w:t>
      </w:r>
    </w:p>
    <w:p>
      <w:pPr>
        <w:pStyle w:val="p1a"/>
      </w:pPr>
      <w:r>
        <w:t xml:space="preserve">For each run and test condition a detector produces 240 scores (120 test covers and their 120 stego variants), from which ROC-AUC is computed. Two thresholds are fixed from validation scores alone, never from test labels. The first, τ</w:t>
      </w:r>
      <w:r>
        <w:rPr>
          <w:vertAlign w:val="subscript"/>
        </w:rPr>
        <w:t xml:space="preserve">BER</w:t>
      </w:r>
      <w:r>
        <w:t xml:space="preserve">, is the balanced-error point on the validation scores, with BER = (FPR + P</w:t>
      </w:r>
      <w:r>
        <w:rPr>
          <w:vertAlign w:val="subscript"/>
        </w:rPr>
        <w:t xml:space="preserve">MD</w:t>
      </w:r>
      <w:r>
        <w:t xml:space="preserve">)/2 and P</w:t>
      </w:r>
      <w:r>
        <w:rPr>
          <w:vertAlign w:val="subscript"/>
        </w:rPr>
        <w:t xml:space="preserve">MD</w:t>
      </w:r>
      <w:r>
        <w:t xml:space="preserve"> the missed-detection rate; F1 = 2·Prec·Rec/(Prec + Rec) and BER are reported on test at this threshold. The second, τ</w:t>
      </w:r>
      <w:r>
        <w:rPr>
          <w:vertAlign w:val="subscript"/>
        </w:rPr>
        <w:t xml:space="preserve">low</w:t>
      </w:r>
      <w:r>
        <w:t xml:space="preserve">, defines the security operating point. It is set on the set V of 120 validation covers so that, with s(c) the score of cover c,</w:t>
      </w:r>
    </w:p>
    <w:p>
      <w:pPr>
        <w:pStyle w:val="equation"/>
        <w:spacing w:before="80" w:after="80"/>
      </w:pPr>
      <w:r>
        <w:tab/>
      </w:r>
      <m:oMath>
        <m:sSub>
          <m:e>
            <m:r>
              <w:rPr>
                <w:rFonts w:ascii="Cambria Math" w:hAnsi="Cambria Math"/>
              </w:rPr>
              <m:t xml:space="preserve">FPR</m:t>
            </m:r>
          </m:e>
          <m:sub>
            <m:r>
              <w:rPr>
                <w:rFonts w:ascii="Cambria Math" w:hAnsi="Cambria Math"/>
              </w:rPr>
              <m:t xml:space="preserve">V</m:t>
            </m:r>
          </m:sub>
        </m:sSub>
        <m:d>
          <m:dPr>
            <m:begChr m:val="("/>
            <m:endChr m:val=")"/>
          </m:dPr>
          <m:e>
            <m:sSub>
              <m:e>
                <m:r>
                  <w:rPr>
                    <w:rFonts w:ascii="Cambria Math" w:hAnsi="Cambria Math"/>
                  </w:rPr>
                  <m:t xml:space="preserve">τ</m:t>
                </m:r>
              </m:e>
              <m:sub>
                <m:r>
                  <m:rPr>
                    <m:sty m:val="p"/>
                  </m:rPr>
                  <w:rPr>
                    <w:rFonts w:ascii="Cambria Math" w:hAnsi="Cambria Math"/>
                  </w:rPr>
                  <m:t xml:space="preserve">low</m:t>
                </m:r>
              </m:sub>
            </m:sSub>
          </m:e>
        </m:d>
        <m:r>
          <m:rPr>
            <m:sty m:val="p"/>
          </m:rPr>
          <w:rPr>
            <w:rFonts w:ascii="Cambria Math" w:hAnsi="Cambria Math"/>
          </w:rPr>
          <m:t xml:space="preserve">=</m:t>
        </m:r>
        <m:f>
          <m:num>
            <m:d>
              <m:dPr>
                <m:begChr m:val="|"/>
                <m:endChr m:val="|"/>
              </m:dPr>
              <m:e>
                <m:d>
                  <m:dPr>
                    <m:begChr m:val="{"/>
                    <m:endChr m:val="}"/>
                  </m:dPr>
                  <m:e>
                    <m:r>
                      <w:rPr>
                        <w:rFonts w:ascii="Cambria Math" w:hAnsi="Cambria Math"/>
                      </w:rPr>
                      <m:t xml:space="preserve">c</m:t>
                    </m:r>
                    <m:r>
                      <m:rPr>
                        <m:sty m:val="p"/>
                      </m:rPr>
                      <w:rPr>
                        <w:rFonts w:ascii="Cambria Math" w:hAnsi="Cambria Math"/>
                      </w:rPr>
                      <m:t xml:space="preserve">∈</m:t>
                    </m:r>
                    <m:r>
                      <w:rPr>
                        <w:rFonts w:ascii="Cambria Math" w:hAnsi="Cambria Math"/>
                      </w:rPr>
                      <m:t xml:space="preserve">V</m:t>
                    </m:r>
                    <m:r>
                      <m:rPr>
                        <m:sty m:val="p"/>
                      </m:rPr>
                      <w:rPr>
                        <w:rFonts w:ascii="Cambria Math" w:hAnsi="Cambria Math"/>
                      </w:rPr>
                      <m:t xml:space="preserve"> : </m:t>
                    </m:r>
                    <m:r>
                      <w:rPr>
                        <w:rFonts w:ascii="Cambria Math" w:hAnsi="Cambria Math"/>
                      </w:rPr>
                      <m:t xml:space="preserve">s</m:t>
                    </m:r>
                    <m:d>
                      <m:dPr>
                        <m:begChr m:val="("/>
                        <m:endChr m:val=")"/>
                      </m:dPr>
                      <m:e>
                        <m:r>
                          <w:rPr>
                            <w:rFonts w:ascii="Cambria Math" w:hAnsi="Cambria Math"/>
                          </w:rPr>
                          <m:t xml:space="preserve">c</m:t>
                        </m:r>
                      </m:e>
                    </m:d>
                    <m:r>
                      <m:rPr>
                        <m:sty m:val="p"/>
                      </m:rPr>
                      <w:rPr>
                        <w:rFonts w:ascii="Cambria Math" w:hAnsi="Cambria Math"/>
                      </w:rPr>
                      <m:t xml:space="preserve">≥</m:t>
                    </m:r>
                    <m:sSub>
                      <m:e>
                        <m:r>
                          <w:rPr>
                            <w:rFonts w:ascii="Cambria Math" w:hAnsi="Cambria Math"/>
                          </w:rPr>
                          <m:t xml:space="preserve">τ</m:t>
                        </m:r>
                      </m:e>
                      <m:sub>
                        <m:r>
                          <m:rPr>
                            <m:sty m:val="p"/>
                          </m:rPr>
                          <w:rPr>
                            <w:rFonts w:ascii="Cambria Math" w:hAnsi="Cambria Math"/>
                          </w:rPr>
                          <m:t xml:space="preserve">low</m:t>
                        </m:r>
                      </m:sub>
                    </m:sSub>
                  </m:e>
                </m:d>
              </m:e>
            </m:d>
          </m:num>
          <m:den>
            <m:d>
              <m:dPr>
                <m:begChr m:val="|"/>
                <m:endChr m:val="|"/>
              </m:dPr>
              <m:e>
                <m:r>
                  <w:rPr>
                    <w:rFonts w:ascii="Cambria Math" w:hAnsi="Cambria Math"/>
                  </w:rPr>
                  <m:t xml:space="preserve">V</m:t>
                </m:r>
              </m:e>
            </m:d>
          </m:den>
        </m:f>
        <m:r>
          <m:rPr>
            <m:sty m:val="p"/>
          </m:rPr>
          <w:rPr>
            <w:rFonts w:ascii="Cambria Math" w:hAnsi="Cambria Math"/>
          </w:rPr>
          <m:t xml:space="preserve">≤</m:t>
        </m:r>
        <m:r>
          <m:rPr>
            <m:sty m:val="p"/>
          </m:rPr>
          <w:rPr>
            <w:rFonts w:ascii="Cambria Math" w:hAnsi="Cambria Math"/>
          </w:rPr>
          <m:t xml:space="preserve">0.01</m:t>
        </m:r>
      </m:oMath>
      <w:r>
        <w:tab/>
      </w:r>
      <w:r>
        <w:t xml:space="preserve">(1)</w:t>
      </w:r>
    </w:p>
    <w:p>
      <w:pPr>
        <w:pStyle w:val="p1a"/>
      </w:pPr>
      <w:r>
        <w:t xml:space="preserve">With |V| = 120, this allows at most one validation false positive (0.83%). At τ</w:t>
      </w:r>
      <w:r>
        <w:rPr>
          <w:vertAlign w:val="subscript"/>
        </w:rPr>
        <w:t xml:space="preserve">low</w:t>
      </w:r>
      <w:r>
        <w:t xml:space="preserve"> we report recall, the share of the 120 test stego images with s ≥ τ</w:t>
      </w:r>
      <w:r>
        <w:rPr>
          <w:vertAlign w:val="subscript"/>
        </w:rPr>
        <w:t xml:space="preserve">low</w:t>
      </w:r>
      <w:r>
        <w:t xml:space="preserve">, and the observed test FPR, the share of the 120 test covers with s ≥ τ</w:t>
      </w:r>
      <w:r>
        <w:rPr>
          <w:vertAlign w:val="subscript"/>
        </w:rPr>
        <w:t xml:space="preserve">low</w:t>
      </w:r>
      <w:r>
        <w:t xml:space="preserve">. The first is the quantity of security interest; the second shows whether the 1% target transfers from validation to test, which Eq. (1) does not guarantee.</w:t>
      </w:r>
    </w:p>
    <w:p>
      <w:pPr>
        <w:pStyle w:val="heading2"/>
      </w:pPr>
      <w:r>
        <w:t xml:space="preserve">Statistical Analysis and Reproducibility</w:t>
      </w:r>
    </w:p>
    <w:p>
      <w:pPr>
        <w:pStyle w:val="p1a"/>
      </w:pPr>
      <w:r>
        <w:t xml:space="preserve">Each comparison is a paired difference ΔAUC = AUC(shifted) − AUC(reference): HILL 0.4 minus WOW 0.4 under P1 (RQ1), P3 minus P2 on HILL 0.4 (RQ2), and 0.1 minus 0.4 bpp for each detector, protocol and algorithm (RQ3, 18 comparisons). Negative values mean a loss under the shift. The point estimate is the mean of the three per-seed differences, which equals the difference of the unrounded seed-mean AUCs (rounded table values may differ by 0.001). Its 95% interval comes from a paired bootstrap in which the resampling unit is the source test cover: each replicate draws 120 test cover IDs with replacement, and a drawn cover brings all of its cover and stego scores under both compared conditions, so the pairing is preserved.</w:t>
      </w:r>
    </w:p>
    <w:p>
      <w:pPr/>
      <w:r>
        <w:t xml:space="preserve">Seed standard deviations (at most 0.028, Supplementary Table S1) describe training randomness on fixed data; the bootstrap describes the sampling of test covers given the trained models. Neither reflects a different choice of covers or split, so the intervals are conditional on this partition. A direction is called supported only when its interval excludes zero; an interval containing zero is inconclusive, not evidence of equivalence. The 18 RQ3 intervals are not adjusted for multiplicity. Every run stores its per-image prediction scores, and the manifest stores the embedding seed and SHA-256 hash of every image, so all tables can be recomputed from the saved files.</w:t>
      </w:r>
    </w:p>
    <w:p>
      <w:pPr>
        <w:pStyle w:val="heading1"/>
      </w:pPr>
      <w:r>
        <w:t xml:space="preserve">Results and Discussion</w:t>
      </w:r>
    </w:p>
    <w:p>
      <w:pPr>
        <w:pStyle w:val="heading2"/>
      </w:pPr>
      <w:r>
        <w:t xml:space="preserve">Overall Detection Performance</w:t>
      </w:r>
    </w:p>
    <w:p>
      <w:pPr>
        <w:pStyle w:val="p1a"/>
      </w:pPr>
      <w:r>
        <w:t xml:space="preserve">Table </w:t>
      </w:r>
      <w:fldSimple w:instr=" REF _Reftabauc \h \* MERGEFORMAT ">
        <w:r>
          <w:t xml:space="preserve">4</w:t>
        </w:r>
      </w:fldSimple>
      <w:r>
        <w:t xml:space="preserve"> gives the ROC-AUC for every detector, protocol and test condition; F1, BER, recall and seed standard deviations are in Supplementary Table S1. All cells share the 120 test covers, so they are paired observations, not independent experiments. Residual-LR stays close to chance, with AUC of 0.500–0.570 and BER of at least 0.438. SRM+Ensemble separates covers from stego at 0.4 bpp (AUC 0.632–0.717, BER 0.347–0.400) but hardly at 0.1 bpp (0.517–0.550). As Residual-LR fails even in the matched condition, SRM+Ensemble carries the main evidence for the research questions.</w:t>
      </w:r>
    </w:p>
    <w:p>
      <w:pPr>
        <w:pStyle w:val="tablecaption"/>
        <w:jc w:val="both"/>
      </w:pPr>
      <w:r>
        <w:rPr>
          <w:b/>
          <w:bCs/>
        </w:rPr>
        <w:t xml:space="preserve">Table </w:t>
      </w:r>
      <w:bookmarkStart w:id="105" w:name="_Reftabauc"/>
      <w:fldSimple w:instr=" SEQ Table \* ARABIC ">
        <w:r>
          <w:rPr>
            <w:b/>
            <w:bCs/>
          </w:rPr>
          <w:t xml:space="preserve">4</w:t>
        </w:r>
      </w:fldSimple>
      <w:bookmarkEnd w:id="105"/>
      <w:r>
        <w:rPr>
          <w:b/>
          <w:bCs/>
        </w:rPr>
        <w:t xml:space="preserve">. </w:t>
      </w:r>
      <w:r>
        <w:t xml:space="preserve">ROC-AUC (mean over seeds 42–44) on the 120 test covers at 0.4 and 0.1 bpp. Bold: the matched condition of P1. HILL is unseen under all protocols; S-UNIWARD is unseen under P1.</w:t>
      </w:r>
    </w:p>
    <w:tbl>
      <w:tblPr>
        <w:tblW w:w="6918" w:type="dxa"/>
        <w:jc w:val="center"/>
        <w:tblBorders>
          <w:top w:val="single" w:sz="8" w:space="0" w:color="000000"/>
          <w:bottom w:val="single" w:sz="8" w:space="0" w:color="000000"/>
        </w:tblBorders>
        <w:tblLayout w:type="fixed"/>
        <w:tblCellMar>
          <w:top w:w="0" w:type="dxa"/>
          <w:left w:w="57" w:type="dxa"/>
          <w:bottom w:w="0" w:type="dxa"/>
          <w:right w:w="57" w:type="dxa"/>
        </w:tblCellMar>
        <w:tblLook w:val="0000"/>
      </w:tblPr>
      <w:tblGrid>
        <w:gridCol w:w="1350"/>
        <w:gridCol w:w="400"/>
        <w:gridCol w:w="861"/>
        <w:gridCol w:w="861"/>
        <w:gridCol w:w="861"/>
        <w:gridCol w:w="861"/>
        <w:gridCol w:w="861"/>
        <w:gridCol w:w="863"/>
      </w:tblGrid>
      <w:tr>
        <w:trPr>
          <w:cantSplit/>
          <w:tblHeader/>
        </w:trPr>
        <w:tc>
          <w:tcPr>
            <w:tcW w:w="1350" w:type="dxa"/>
            <w:vAlign w:val="center"/>
          </w:tcPr>
          <w:p>
            <w:pPr>
              <w:keepNext/>
              <w:spacing w:before="10" w:after="10" w:line="216" w:lineRule="auto"/>
              <w:ind w:firstLine="0"/>
              <w:jc w:val="left"/>
            </w:pPr>
            <w:r>
              <w:rPr>
                <w:b/>
                <w:bCs/>
                <w:sz w:val="17"/>
                <w:szCs w:val="17"/>
              </w:rPr>
              <w:t xml:space="preserve">Detector</w:t>
            </w:r>
          </w:p>
        </w:tc>
        <w:tc>
          <w:tcPr>
            <w:tcW w:w="400" w:type="dxa"/>
            <w:vAlign w:val="center"/>
          </w:tcPr>
          <w:p>
            <w:pPr>
              <w:keepNext/>
              <w:spacing w:before="10" w:after="10" w:line="216" w:lineRule="auto"/>
              <w:ind w:firstLine="0"/>
              <w:jc w:val="center"/>
            </w:pPr>
            <w:r>
              <w:rPr>
                <w:b/>
                <w:bCs/>
                <w:sz w:val="17"/>
                <w:szCs w:val="17"/>
              </w:rPr>
              <w:t xml:space="preserve">P</w:t>
            </w:r>
          </w:p>
        </w:tc>
        <w:tc>
          <w:tcPr>
            <w:tcW w:w="1722" w:type="dxa"/>
            <w:gridSpan w:val="2"/>
            <w:tcBorders>
              <w:bottom w:val="single" w:sz="4" w:space="0" w:color="000000"/>
            </w:tcBorders>
            <w:vAlign w:val="center"/>
          </w:tcPr>
          <w:p>
            <w:pPr>
              <w:keepNext/>
              <w:spacing w:before="10" w:after="10" w:line="216" w:lineRule="auto"/>
              <w:ind w:firstLine="0"/>
              <w:jc w:val="center"/>
            </w:pPr>
            <w:r>
              <w:rPr>
                <w:b/>
                <w:bCs/>
                <w:sz w:val="17"/>
                <w:szCs w:val="17"/>
              </w:rPr>
              <w:t xml:space="preserve">WOW</w:t>
            </w:r>
          </w:p>
        </w:tc>
        <w:tc>
          <w:tcPr>
            <w:tcW w:w="1722" w:type="dxa"/>
            <w:gridSpan w:val="2"/>
            <w:tcBorders>
              <w:bottom w:val="single" w:sz="4" w:space="0" w:color="000000"/>
            </w:tcBorders>
            <w:vAlign w:val="center"/>
          </w:tcPr>
          <w:p>
            <w:pPr>
              <w:keepNext/>
              <w:spacing w:before="10" w:after="10" w:line="216" w:lineRule="auto"/>
              <w:ind w:firstLine="0"/>
              <w:jc w:val="center"/>
            </w:pPr>
            <w:r>
              <w:rPr>
                <w:b/>
                <w:bCs/>
                <w:sz w:val="17"/>
                <w:szCs w:val="17"/>
              </w:rPr>
              <w:t xml:space="preserve">S-UNIWARD</w:t>
            </w:r>
          </w:p>
        </w:tc>
        <w:tc>
          <w:tcPr>
            <w:tcW w:w="1724" w:type="dxa"/>
            <w:gridSpan w:val="2"/>
            <w:tcBorders>
              <w:bottom w:val="single" w:sz="4" w:space="0" w:color="000000"/>
            </w:tcBorders>
            <w:vAlign w:val="center"/>
          </w:tcPr>
          <w:p>
            <w:pPr>
              <w:keepNext/>
              <w:spacing w:before="10" w:after="10" w:line="216" w:lineRule="auto"/>
              <w:ind w:firstLine="0"/>
              <w:jc w:val="center"/>
            </w:pPr>
            <w:r>
              <w:rPr>
                <w:b/>
                <w:bCs/>
                <w:sz w:val="17"/>
                <w:szCs w:val="17"/>
              </w:rPr>
              <w:t xml:space="preserve">HILL</w:t>
            </w:r>
          </w:p>
        </w:tc>
      </w:tr>
      <w:tr>
        <w:trPr>
          <w:cantSplit/>
          <w:tblHeader/>
        </w:trPr>
        <w:tc>
          <w:tcPr>
            <w:tcW w:w="1350" w:type="dxa"/>
            <w:tcBorders>
              <w:bottom w:val="single" w:sz="4" w:space="0" w:color="000000"/>
            </w:tcBorders>
            <w:vAlign w:val="center"/>
          </w:tcPr>
          <w:p>
            <w:pPr>
              <w:keepNext/>
              <w:spacing w:before="10" w:after="10" w:line="216" w:lineRule="auto"/>
              <w:ind w:firstLine="0"/>
              <w:jc w:val="left"/>
            </w:pPr>
          </w:p>
        </w:tc>
        <w:tc>
          <w:tcPr>
            <w:tcW w:w="400" w:type="dxa"/>
            <w:tcBorders>
              <w:bottom w:val="single" w:sz="4" w:space="0" w:color="000000"/>
            </w:tcBorders>
            <w:vAlign w:val="center"/>
          </w:tcPr>
          <w:p>
            <w:pPr>
              <w:keepNext/>
              <w:spacing w:before="10" w:after="10" w:line="216" w:lineRule="auto"/>
              <w:ind w:firstLine="0"/>
              <w:jc w:val="center"/>
            </w:pPr>
          </w:p>
        </w:tc>
        <w:tc>
          <w:tcPr>
            <w:tcW w:w="861" w:type="dxa"/>
            <w:tcBorders>
              <w:bottom w:val="single" w:sz="4" w:space="0" w:color="000000"/>
            </w:tcBorders>
            <w:vAlign w:val="center"/>
          </w:tcPr>
          <w:p>
            <w:pPr>
              <w:keepNext/>
              <w:spacing w:before="10" w:after="10" w:line="216" w:lineRule="auto"/>
              <w:ind w:firstLine="0"/>
              <w:jc w:val="center"/>
            </w:pPr>
            <w:r>
              <w:rPr>
                <w:b/>
                <w:bCs/>
                <w:sz w:val="17"/>
                <w:szCs w:val="17"/>
              </w:rPr>
              <w:t xml:space="preserve">0.4</w:t>
            </w:r>
          </w:p>
        </w:tc>
        <w:tc>
          <w:tcPr>
            <w:tcW w:w="861" w:type="dxa"/>
            <w:tcBorders>
              <w:bottom w:val="single" w:sz="4" w:space="0" w:color="000000"/>
            </w:tcBorders>
            <w:vAlign w:val="center"/>
          </w:tcPr>
          <w:p>
            <w:pPr>
              <w:keepNext/>
              <w:spacing w:before="10" w:after="10" w:line="216" w:lineRule="auto"/>
              <w:ind w:firstLine="0"/>
              <w:jc w:val="center"/>
            </w:pPr>
            <w:r>
              <w:rPr>
                <w:b/>
                <w:bCs/>
                <w:sz w:val="17"/>
                <w:szCs w:val="17"/>
              </w:rPr>
              <w:t xml:space="preserve">0.1</w:t>
            </w:r>
          </w:p>
        </w:tc>
        <w:tc>
          <w:tcPr>
            <w:tcW w:w="861" w:type="dxa"/>
            <w:tcBorders>
              <w:bottom w:val="single" w:sz="4" w:space="0" w:color="000000"/>
            </w:tcBorders>
            <w:vAlign w:val="center"/>
          </w:tcPr>
          <w:p>
            <w:pPr>
              <w:keepNext/>
              <w:spacing w:before="10" w:after="10" w:line="216" w:lineRule="auto"/>
              <w:ind w:firstLine="0"/>
              <w:jc w:val="center"/>
            </w:pPr>
            <w:r>
              <w:rPr>
                <w:b/>
                <w:bCs/>
                <w:sz w:val="17"/>
                <w:szCs w:val="17"/>
              </w:rPr>
              <w:t xml:space="preserve">0.4</w:t>
            </w:r>
          </w:p>
        </w:tc>
        <w:tc>
          <w:tcPr>
            <w:tcW w:w="861" w:type="dxa"/>
            <w:tcBorders>
              <w:bottom w:val="single" w:sz="4" w:space="0" w:color="000000"/>
            </w:tcBorders>
            <w:vAlign w:val="center"/>
          </w:tcPr>
          <w:p>
            <w:pPr>
              <w:keepNext/>
              <w:spacing w:before="10" w:after="10" w:line="216" w:lineRule="auto"/>
              <w:ind w:firstLine="0"/>
              <w:jc w:val="center"/>
            </w:pPr>
            <w:r>
              <w:rPr>
                <w:b/>
                <w:bCs/>
                <w:sz w:val="17"/>
                <w:szCs w:val="17"/>
              </w:rPr>
              <w:t xml:space="preserve">0.1</w:t>
            </w:r>
          </w:p>
        </w:tc>
        <w:tc>
          <w:tcPr>
            <w:tcW w:w="861" w:type="dxa"/>
            <w:tcBorders>
              <w:bottom w:val="single" w:sz="4" w:space="0" w:color="000000"/>
            </w:tcBorders>
            <w:vAlign w:val="center"/>
          </w:tcPr>
          <w:p>
            <w:pPr>
              <w:keepNext/>
              <w:spacing w:before="10" w:after="10" w:line="216" w:lineRule="auto"/>
              <w:ind w:firstLine="0"/>
              <w:jc w:val="center"/>
            </w:pPr>
            <w:r>
              <w:rPr>
                <w:b/>
                <w:bCs/>
                <w:sz w:val="17"/>
                <w:szCs w:val="17"/>
              </w:rPr>
              <w:t xml:space="preserve">0.4</w:t>
            </w:r>
          </w:p>
        </w:tc>
        <w:tc>
          <w:tcPr>
            <w:tcW w:w="863" w:type="dxa"/>
            <w:tcBorders>
              <w:bottom w:val="single" w:sz="4" w:space="0" w:color="000000"/>
            </w:tcBorders>
            <w:vAlign w:val="center"/>
          </w:tcPr>
          <w:p>
            <w:pPr>
              <w:keepNext/>
              <w:spacing w:before="10" w:after="10" w:line="216" w:lineRule="auto"/>
              <w:ind w:firstLine="0"/>
              <w:jc w:val="center"/>
            </w:pPr>
            <w:r>
              <w:rPr>
                <w:b/>
                <w:bCs/>
                <w:sz w:val="17"/>
                <w:szCs w:val="17"/>
              </w:rPr>
              <w:t xml:space="preserve">0.1</w:t>
            </w:r>
          </w:p>
        </w:tc>
      </w:tr>
      <w:tr>
        <w:trPr>
          <w:cantSplit/>
        </w:trPr>
        <w:tc>
          <w:tcPr>
            <w:tcW w:w="1350" w:type="dxa"/>
            <w:vAlign w:val="center"/>
          </w:tcPr>
          <w:p>
            <w:pPr>
              <w:keepNext/>
              <w:spacing w:before="10" w:after="10" w:line="216" w:lineRule="auto"/>
              <w:ind w:firstLine="0"/>
              <w:jc w:val="left"/>
            </w:pPr>
            <w:r>
              <w:rPr>
                <w:sz w:val="17"/>
                <w:szCs w:val="17"/>
              </w:rPr>
              <w:t xml:space="preserve">Residual-LR</w:t>
            </w:r>
          </w:p>
        </w:tc>
        <w:tc>
          <w:tcPr>
            <w:tcW w:w="400" w:type="dxa"/>
            <w:vAlign w:val="center"/>
          </w:tcPr>
          <w:p>
            <w:pPr>
              <w:keepNext/>
              <w:spacing w:before="10" w:after="10" w:line="216" w:lineRule="auto"/>
              <w:ind w:firstLine="0"/>
              <w:jc w:val="center"/>
            </w:pPr>
            <w:r>
              <w:rPr>
                <w:sz w:val="17"/>
                <w:szCs w:val="17"/>
              </w:rPr>
              <w:t xml:space="preserve">P1</w:t>
            </w:r>
          </w:p>
        </w:tc>
        <w:tc>
          <w:tcPr>
            <w:tcW w:w="861" w:type="dxa"/>
            <w:vAlign w:val="center"/>
          </w:tcPr>
          <w:p>
            <w:pPr>
              <w:keepNext/>
              <w:spacing w:before="10" w:after="10" w:line="216" w:lineRule="auto"/>
              <w:ind w:firstLine="0"/>
              <w:jc w:val="center"/>
            </w:pPr>
            <w:r>
              <w:rPr>
                <w:b/>
                <w:bCs/>
                <w:sz w:val="17"/>
                <w:szCs w:val="17"/>
              </w:rPr>
              <w:t xml:space="preserve">0.546</w:t>
            </w:r>
          </w:p>
        </w:tc>
        <w:tc>
          <w:tcPr>
            <w:tcW w:w="861" w:type="dxa"/>
            <w:vAlign w:val="center"/>
          </w:tcPr>
          <w:p>
            <w:pPr>
              <w:keepNext/>
              <w:spacing w:before="10" w:after="10" w:line="216" w:lineRule="auto"/>
              <w:ind w:firstLine="0"/>
              <w:jc w:val="center"/>
            </w:pPr>
            <w:r>
              <w:rPr>
                <w:sz w:val="17"/>
                <w:szCs w:val="17"/>
              </w:rPr>
              <w:t xml:space="preserve">0.510</w:t>
            </w:r>
          </w:p>
        </w:tc>
        <w:tc>
          <w:tcPr>
            <w:tcW w:w="861" w:type="dxa"/>
            <w:vAlign w:val="center"/>
          </w:tcPr>
          <w:p>
            <w:pPr>
              <w:keepNext/>
              <w:spacing w:before="10" w:after="10" w:line="216" w:lineRule="auto"/>
              <w:ind w:firstLine="0"/>
              <w:jc w:val="center"/>
            </w:pPr>
            <w:r>
              <w:rPr>
                <w:sz w:val="17"/>
                <w:szCs w:val="17"/>
              </w:rPr>
              <w:t xml:space="preserve">0.565</w:t>
            </w:r>
          </w:p>
        </w:tc>
        <w:tc>
          <w:tcPr>
            <w:tcW w:w="861" w:type="dxa"/>
            <w:vAlign w:val="center"/>
          </w:tcPr>
          <w:p>
            <w:pPr>
              <w:keepNext/>
              <w:spacing w:before="10" w:after="10" w:line="216" w:lineRule="auto"/>
              <w:ind w:firstLine="0"/>
              <w:jc w:val="center"/>
            </w:pPr>
            <w:r>
              <w:rPr>
                <w:sz w:val="17"/>
                <w:szCs w:val="17"/>
              </w:rPr>
              <w:t xml:space="preserve">0.505</w:t>
            </w:r>
          </w:p>
        </w:tc>
        <w:tc>
          <w:tcPr>
            <w:tcW w:w="861" w:type="dxa"/>
            <w:vAlign w:val="center"/>
          </w:tcPr>
          <w:p>
            <w:pPr>
              <w:keepNext/>
              <w:spacing w:before="10" w:after="10" w:line="216" w:lineRule="auto"/>
              <w:ind w:firstLine="0"/>
              <w:jc w:val="center"/>
            </w:pPr>
            <w:r>
              <w:rPr>
                <w:sz w:val="17"/>
                <w:szCs w:val="17"/>
              </w:rPr>
              <w:t xml:space="preserve">0.570</w:t>
            </w:r>
          </w:p>
        </w:tc>
        <w:tc>
          <w:tcPr>
            <w:tcW w:w="863" w:type="dxa"/>
            <w:vAlign w:val="center"/>
          </w:tcPr>
          <w:p>
            <w:pPr>
              <w:keepNext/>
              <w:spacing w:before="10" w:after="10" w:line="216" w:lineRule="auto"/>
              <w:ind w:firstLine="0"/>
              <w:jc w:val="center"/>
            </w:pPr>
            <w:r>
              <w:rPr>
                <w:sz w:val="17"/>
                <w:szCs w:val="17"/>
              </w:rPr>
              <w:t xml:space="preserve">0.514</w:t>
            </w:r>
          </w:p>
        </w:tc>
      </w:tr>
      <w:tr>
        <w:trPr>
          <w:cantSplit/>
        </w:trPr>
        <w:tc>
          <w:tcPr>
            <w:tcW w:w="1350" w:type="dxa"/>
            <w:vAlign w:val="center"/>
          </w:tcPr>
          <w:p>
            <w:pPr>
              <w:keepNext/>
              <w:spacing w:before="10" w:after="10" w:line="216" w:lineRule="auto"/>
              <w:ind w:firstLine="0"/>
              <w:jc w:val="left"/>
            </w:pPr>
          </w:p>
        </w:tc>
        <w:tc>
          <w:tcPr>
            <w:tcW w:w="400" w:type="dxa"/>
            <w:vAlign w:val="center"/>
          </w:tcPr>
          <w:p>
            <w:pPr>
              <w:keepNext/>
              <w:spacing w:before="10" w:after="10" w:line="216" w:lineRule="auto"/>
              <w:ind w:firstLine="0"/>
              <w:jc w:val="center"/>
            </w:pPr>
            <w:r>
              <w:rPr>
                <w:sz w:val="17"/>
                <w:szCs w:val="17"/>
              </w:rPr>
              <w:t xml:space="preserve">P2</w:t>
            </w:r>
          </w:p>
        </w:tc>
        <w:tc>
          <w:tcPr>
            <w:tcW w:w="861" w:type="dxa"/>
            <w:vAlign w:val="center"/>
          </w:tcPr>
          <w:p>
            <w:pPr>
              <w:keepNext/>
              <w:spacing w:before="10" w:after="10" w:line="216" w:lineRule="auto"/>
              <w:ind w:firstLine="0"/>
              <w:jc w:val="center"/>
            </w:pPr>
            <w:r>
              <w:rPr>
                <w:sz w:val="17"/>
                <w:szCs w:val="17"/>
              </w:rPr>
              <w:t xml:space="preserve">0.534</w:t>
            </w:r>
          </w:p>
        </w:tc>
        <w:tc>
          <w:tcPr>
            <w:tcW w:w="861" w:type="dxa"/>
            <w:vAlign w:val="center"/>
          </w:tcPr>
          <w:p>
            <w:pPr>
              <w:keepNext/>
              <w:spacing w:before="10" w:after="10" w:line="216" w:lineRule="auto"/>
              <w:ind w:firstLine="0"/>
              <w:jc w:val="center"/>
            </w:pPr>
            <w:r>
              <w:rPr>
                <w:sz w:val="17"/>
                <w:szCs w:val="17"/>
              </w:rPr>
              <w:t xml:space="preserve">0.500</w:t>
            </w:r>
          </w:p>
        </w:tc>
        <w:tc>
          <w:tcPr>
            <w:tcW w:w="861" w:type="dxa"/>
            <w:vAlign w:val="center"/>
          </w:tcPr>
          <w:p>
            <w:pPr>
              <w:keepNext/>
              <w:spacing w:before="10" w:after="10" w:line="216" w:lineRule="auto"/>
              <w:ind w:firstLine="0"/>
              <w:jc w:val="center"/>
            </w:pPr>
            <w:r>
              <w:rPr>
                <w:sz w:val="17"/>
                <w:szCs w:val="17"/>
              </w:rPr>
              <w:t xml:space="preserve">0.549</w:t>
            </w:r>
          </w:p>
        </w:tc>
        <w:tc>
          <w:tcPr>
            <w:tcW w:w="861" w:type="dxa"/>
            <w:vAlign w:val="center"/>
          </w:tcPr>
          <w:p>
            <w:pPr>
              <w:keepNext/>
              <w:spacing w:before="10" w:after="10" w:line="216" w:lineRule="auto"/>
              <w:ind w:firstLine="0"/>
              <w:jc w:val="center"/>
            </w:pPr>
            <w:r>
              <w:rPr>
                <w:sz w:val="17"/>
                <w:szCs w:val="17"/>
              </w:rPr>
              <w:t xml:space="preserve">0.504</w:t>
            </w:r>
          </w:p>
        </w:tc>
        <w:tc>
          <w:tcPr>
            <w:tcW w:w="861" w:type="dxa"/>
            <w:vAlign w:val="center"/>
          </w:tcPr>
          <w:p>
            <w:pPr>
              <w:keepNext/>
              <w:spacing w:before="10" w:after="10" w:line="216" w:lineRule="auto"/>
              <w:ind w:firstLine="0"/>
              <w:jc w:val="center"/>
            </w:pPr>
            <w:r>
              <w:rPr>
                <w:sz w:val="17"/>
                <w:szCs w:val="17"/>
              </w:rPr>
              <w:t xml:space="preserve">0.551</w:t>
            </w:r>
          </w:p>
        </w:tc>
        <w:tc>
          <w:tcPr>
            <w:tcW w:w="863" w:type="dxa"/>
            <w:vAlign w:val="center"/>
          </w:tcPr>
          <w:p>
            <w:pPr>
              <w:keepNext/>
              <w:spacing w:before="10" w:after="10" w:line="216" w:lineRule="auto"/>
              <w:ind w:firstLine="0"/>
              <w:jc w:val="center"/>
            </w:pPr>
            <w:r>
              <w:rPr>
                <w:sz w:val="17"/>
                <w:szCs w:val="17"/>
              </w:rPr>
              <w:t xml:space="preserve">0.505</w:t>
            </w:r>
          </w:p>
        </w:tc>
      </w:tr>
      <w:tr>
        <w:trPr>
          <w:cantSplit/>
        </w:trPr>
        <w:tc>
          <w:tcPr>
            <w:tcW w:w="1350" w:type="dxa"/>
            <w:vAlign w:val="center"/>
          </w:tcPr>
          <w:p>
            <w:pPr>
              <w:keepNext/>
              <w:spacing w:before="10" w:after="10" w:line="216" w:lineRule="auto"/>
              <w:ind w:firstLine="0"/>
              <w:jc w:val="left"/>
            </w:pPr>
          </w:p>
        </w:tc>
        <w:tc>
          <w:tcPr>
            <w:tcW w:w="400" w:type="dxa"/>
            <w:vAlign w:val="center"/>
          </w:tcPr>
          <w:p>
            <w:pPr>
              <w:keepNext/>
              <w:spacing w:before="10" w:after="10" w:line="216" w:lineRule="auto"/>
              <w:ind w:firstLine="0"/>
              <w:jc w:val="center"/>
            </w:pPr>
            <w:r>
              <w:rPr>
                <w:sz w:val="17"/>
                <w:szCs w:val="17"/>
              </w:rPr>
              <w:t xml:space="preserve">P3</w:t>
            </w:r>
          </w:p>
        </w:tc>
        <w:tc>
          <w:tcPr>
            <w:tcW w:w="861" w:type="dxa"/>
            <w:vAlign w:val="center"/>
          </w:tcPr>
          <w:p>
            <w:pPr>
              <w:keepNext/>
              <w:spacing w:before="10" w:after="10" w:line="216" w:lineRule="auto"/>
              <w:ind w:firstLine="0"/>
              <w:jc w:val="center"/>
            </w:pPr>
            <w:r>
              <w:rPr>
                <w:sz w:val="17"/>
                <w:szCs w:val="17"/>
              </w:rPr>
              <w:t xml:space="preserve">0.523</w:t>
            </w:r>
          </w:p>
        </w:tc>
        <w:tc>
          <w:tcPr>
            <w:tcW w:w="861" w:type="dxa"/>
            <w:vAlign w:val="center"/>
          </w:tcPr>
          <w:p>
            <w:pPr>
              <w:keepNext/>
              <w:spacing w:before="10" w:after="10" w:line="216" w:lineRule="auto"/>
              <w:ind w:firstLine="0"/>
              <w:jc w:val="center"/>
            </w:pPr>
            <w:r>
              <w:rPr>
                <w:sz w:val="17"/>
                <w:szCs w:val="17"/>
              </w:rPr>
              <w:t xml:space="preserve">0.501</w:t>
            </w:r>
          </w:p>
        </w:tc>
        <w:tc>
          <w:tcPr>
            <w:tcW w:w="861" w:type="dxa"/>
            <w:vAlign w:val="center"/>
          </w:tcPr>
          <w:p>
            <w:pPr>
              <w:keepNext/>
              <w:spacing w:before="10" w:after="10" w:line="216" w:lineRule="auto"/>
              <w:ind w:firstLine="0"/>
              <w:jc w:val="center"/>
            </w:pPr>
            <w:r>
              <w:rPr>
                <w:sz w:val="17"/>
                <w:szCs w:val="17"/>
              </w:rPr>
              <w:t xml:space="preserve">0.555</w:t>
            </w:r>
          </w:p>
        </w:tc>
        <w:tc>
          <w:tcPr>
            <w:tcW w:w="861" w:type="dxa"/>
            <w:vAlign w:val="center"/>
          </w:tcPr>
          <w:p>
            <w:pPr>
              <w:keepNext/>
              <w:spacing w:before="10" w:after="10" w:line="216" w:lineRule="auto"/>
              <w:ind w:firstLine="0"/>
              <w:jc w:val="center"/>
            </w:pPr>
            <w:r>
              <w:rPr>
                <w:sz w:val="17"/>
                <w:szCs w:val="17"/>
              </w:rPr>
              <w:t xml:space="preserve">0.502</w:t>
            </w:r>
          </w:p>
        </w:tc>
        <w:tc>
          <w:tcPr>
            <w:tcW w:w="861" w:type="dxa"/>
            <w:vAlign w:val="center"/>
          </w:tcPr>
          <w:p>
            <w:pPr>
              <w:keepNext/>
              <w:spacing w:before="10" w:after="10" w:line="216" w:lineRule="auto"/>
              <w:ind w:firstLine="0"/>
              <w:jc w:val="center"/>
            </w:pPr>
            <w:r>
              <w:rPr>
                <w:sz w:val="17"/>
                <w:szCs w:val="17"/>
              </w:rPr>
              <w:t xml:space="preserve">0.546</w:t>
            </w:r>
          </w:p>
        </w:tc>
        <w:tc>
          <w:tcPr>
            <w:tcW w:w="863" w:type="dxa"/>
            <w:vAlign w:val="center"/>
          </w:tcPr>
          <w:p>
            <w:pPr>
              <w:keepNext/>
              <w:spacing w:before="10" w:after="10" w:line="216" w:lineRule="auto"/>
              <w:ind w:firstLine="0"/>
              <w:jc w:val="center"/>
            </w:pPr>
            <w:r>
              <w:rPr>
                <w:sz w:val="17"/>
                <w:szCs w:val="17"/>
              </w:rPr>
              <w:t xml:space="preserve">0.511</w:t>
            </w:r>
          </w:p>
        </w:tc>
      </w:tr>
      <w:tr>
        <w:trPr>
          <w:cantSplit/>
        </w:trPr>
        <w:tc>
          <w:tcPr>
            <w:tcW w:w="1350" w:type="dxa"/>
            <w:tcBorders>
              <w:top w:val="single" w:sz="4" w:space="0" w:color="000000"/>
            </w:tcBorders>
            <w:vAlign w:val="center"/>
          </w:tcPr>
          <w:p>
            <w:pPr>
              <w:keepNext/>
              <w:spacing w:before="10" w:after="10" w:line="216" w:lineRule="auto"/>
              <w:ind w:firstLine="0"/>
              <w:jc w:val="left"/>
            </w:pPr>
            <w:r>
              <w:rPr>
                <w:sz w:val="17"/>
                <w:szCs w:val="17"/>
              </w:rPr>
              <w:t xml:space="preserve">SRM+Ensemble</w:t>
            </w:r>
          </w:p>
        </w:tc>
        <w:tc>
          <w:tcPr>
            <w:tcW w:w="400" w:type="dxa"/>
            <w:tcBorders>
              <w:top w:val="single" w:sz="4" w:space="0" w:color="000000"/>
            </w:tcBorders>
            <w:vAlign w:val="center"/>
          </w:tcPr>
          <w:p>
            <w:pPr>
              <w:keepNext/>
              <w:spacing w:before="10" w:after="10" w:line="216" w:lineRule="auto"/>
              <w:ind w:firstLine="0"/>
              <w:jc w:val="center"/>
            </w:pPr>
            <w:r>
              <w:rPr>
                <w:sz w:val="17"/>
                <w:szCs w:val="17"/>
              </w:rPr>
              <w:t xml:space="preserve">P1</w:t>
            </w:r>
          </w:p>
        </w:tc>
        <w:tc>
          <w:tcPr>
            <w:tcW w:w="861" w:type="dxa"/>
            <w:tcBorders>
              <w:top w:val="single" w:sz="4" w:space="0" w:color="000000"/>
            </w:tcBorders>
            <w:vAlign w:val="center"/>
          </w:tcPr>
          <w:p>
            <w:pPr>
              <w:keepNext/>
              <w:spacing w:before="10" w:after="10" w:line="216" w:lineRule="auto"/>
              <w:ind w:firstLine="0"/>
              <w:jc w:val="center"/>
            </w:pPr>
            <w:r>
              <w:rPr>
                <w:b/>
                <w:bCs/>
                <w:sz w:val="17"/>
                <w:szCs w:val="17"/>
              </w:rPr>
              <w:t xml:space="preserve">0.714</w:t>
            </w:r>
          </w:p>
        </w:tc>
        <w:tc>
          <w:tcPr>
            <w:tcW w:w="861" w:type="dxa"/>
            <w:tcBorders>
              <w:top w:val="single" w:sz="4" w:space="0" w:color="000000"/>
            </w:tcBorders>
            <w:vAlign w:val="center"/>
          </w:tcPr>
          <w:p>
            <w:pPr>
              <w:keepNext/>
              <w:spacing w:before="10" w:after="10" w:line="216" w:lineRule="auto"/>
              <w:ind w:firstLine="0"/>
              <w:jc w:val="center"/>
            </w:pPr>
            <w:r>
              <w:rPr>
                <w:sz w:val="17"/>
                <w:szCs w:val="17"/>
              </w:rPr>
              <w:t xml:space="preserve">0.539</w:t>
            </w:r>
          </w:p>
        </w:tc>
        <w:tc>
          <w:tcPr>
            <w:tcW w:w="861" w:type="dxa"/>
            <w:tcBorders>
              <w:top w:val="single" w:sz="4" w:space="0" w:color="000000"/>
            </w:tcBorders>
            <w:vAlign w:val="center"/>
          </w:tcPr>
          <w:p>
            <w:pPr>
              <w:keepNext/>
              <w:spacing w:before="10" w:after="10" w:line="216" w:lineRule="auto"/>
              <w:ind w:firstLine="0"/>
              <w:jc w:val="center"/>
            </w:pPr>
            <w:r>
              <w:rPr>
                <w:sz w:val="17"/>
                <w:szCs w:val="17"/>
              </w:rPr>
              <w:t xml:space="preserve">0.689</w:t>
            </w:r>
          </w:p>
        </w:tc>
        <w:tc>
          <w:tcPr>
            <w:tcW w:w="861" w:type="dxa"/>
            <w:tcBorders>
              <w:top w:val="single" w:sz="4" w:space="0" w:color="000000"/>
            </w:tcBorders>
            <w:vAlign w:val="center"/>
          </w:tcPr>
          <w:p>
            <w:pPr>
              <w:keepNext/>
              <w:spacing w:before="10" w:after="10" w:line="216" w:lineRule="auto"/>
              <w:ind w:firstLine="0"/>
              <w:jc w:val="center"/>
            </w:pPr>
            <w:r>
              <w:rPr>
                <w:sz w:val="17"/>
                <w:szCs w:val="17"/>
              </w:rPr>
              <w:t xml:space="preserve">0.532</w:t>
            </w:r>
          </w:p>
        </w:tc>
        <w:tc>
          <w:tcPr>
            <w:tcW w:w="861" w:type="dxa"/>
            <w:tcBorders>
              <w:top w:val="single" w:sz="4" w:space="0" w:color="000000"/>
            </w:tcBorders>
            <w:vAlign w:val="center"/>
          </w:tcPr>
          <w:p>
            <w:pPr>
              <w:keepNext/>
              <w:spacing w:before="10" w:after="10" w:line="216" w:lineRule="auto"/>
              <w:ind w:firstLine="0"/>
              <w:jc w:val="center"/>
            </w:pPr>
            <w:r>
              <w:rPr>
                <w:sz w:val="17"/>
                <w:szCs w:val="17"/>
              </w:rPr>
              <w:t xml:space="preserve">0.645</w:t>
            </w:r>
          </w:p>
        </w:tc>
        <w:tc>
          <w:tcPr>
            <w:tcW w:w="863" w:type="dxa"/>
            <w:tcBorders>
              <w:top w:val="single" w:sz="4" w:space="0" w:color="000000"/>
            </w:tcBorders>
            <w:vAlign w:val="center"/>
          </w:tcPr>
          <w:p>
            <w:pPr>
              <w:keepNext/>
              <w:spacing w:before="10" w:after="10" w:line="216" w:lineRule="auto"/>
              <w:ind w:firstLine="0"/>
              <w:jc w:val="center"/>
            </w:pPr>
            <w:r>
              <w:rPr>
                <w:sz w:val="17"/>
                <w:szCs w:val="17"/>
              </w:rPr>
              <w:t xml:space="preserve">0.525</w:t>
            </w:r>
          </w:p>
        </w:tc>
      </w:tr>
      <w:tr>
        <w:trPr>
          <w:cantSplit/>
        </w:trPr>
        <w:tc>
          <w:tcPr>
            <w:tcW w:w="1350" w:type="dxa"/>
            <w:vAlign w:val="center"/>
          </w:tcPr>
          <w:p>
            <w:pPr>
              <w:keepNext/>
              <w:spacing w:before="10" w:after="10" w:line="216" w:lineRule="auto"/>
              <w:ind w:firstLine="0"/>
              <w:jc w:val="left"/>
            </w:pPr>
          </w:p>
        </w:tc>
        <w:tc>
          <w:tcPr>
            <w:tcW w:w="400" w:type="dxa"/>
            <w:vAlign w:val="center"/>
          </w:tcPr>
          <w:p>
            <w:pPr>
              <w:keepNext/>
              <w:spacing w:before="10" w:after="10" w:line="216" w:lineRule="auto"/>
              <w:ind w:firstLine="0"/>
              <w:jc w:val="center"/>
            </w:pPr>
            <w:r>
              <w:rPr>
                <w:sz w:val="17"/>
                <w:szCs w:val="17"/>
              </w:rPr>
              <w:t xml:space="preserve">P2</w:t>
            </w:r>
          </w:p>
        </w:tc>
        <w:tc>
          <w:tcPr>
            <w:tcW w:w="861" w:type="dxa"/>
            <w:vAlign w:val="center"/>
          </w:tcPr>
          <w:p>
            <w:pPr>
              <w:keepNext/>
              <w:spacing w:before="10" w:after="10" w:line="216" w:lineRule="auto"/>
              <w:ind w:firstLine="0"/>
              <w:jc w:val="center"/>
            </w:pPr>
            <w:r>
              <w:rPr>
                <w:sz w:val="17"/>
                <w:szCs w:val="17"/>
              </w:rPr>
              <w:t xml:space="preserve">0.713</w:t>
            </w:r>
          </w:p>
        </w:tc>
        <w:tc>
          <w:tcPr>
            <w:tcW w:w="861" w:type="dxa"/>
            <w:vAlign w:val="center"/>
          </w:tcPr>
          <w:p>
            <w:pPr>
              <w:keepNext/>
              <w:spacing w:before="10" w:after="10" w:line="216" w:lineRule="auto"/>
              <w:ind w:firstLine="0"/>
              <w:jc w:val="center"/>
            </w:pPr>
            <w:r>
              <w:rPr>
                <w:sz w:val="17"/>
                <w:szCs w:val="17"/>
              </w:rPr>
              <w:t xml:space="preserve">0.550</w:t>
            </w:r>
          </w:p>
        </w:tc>
        <w:tc>
          <w:tcPr>
            <w:tcW w:w="861" w:type="dxa"/>
            <w:vAlign w:val="center"/>
          </w:tcPr>
          <w:p>
            <w:pPr>
              <w:keepNext/>
              <w:spacing w:before="10" w:after="10" w:line="216" w:lineRule="auto"/>
              <w:ind w:firstLine="0"/>
              <w:jc w:val="center"/>
            </w:pPr>
            <w:r>
              <w:rPr>
                <w:sz w:val="17"/>
                <w:szCs w:val="17"/>
              </w:rPr>
              <w:t xml:space="preserve">0.717</w:t>
            </w:r>
          </w:p>
        </w:tc>
        <w:tc>
          <w:tcPr>
            <w:tcW w:w="861" w:type="dxa"/>
            <w:vAlign w:val="center"/>
          </w:tcPr>
          <w:p>
            <w:pPr>
              <w:keepNext/>
              <w:spacing w:before="10" w:after="10" w:line="216" w:lineRule="auto"/>
              <w:ind w:firstLine="0"/>
              <w:jc w:val="center"/>
            </w:pPr>
            <w:r>
              <w:rPr>
                <w:sz w:val="17"/>
                <w:szCs w:val="17"/>
              </w:rPr>
              <w:t xml:space="preserve">0.534</w:t>
            </w:r>
          </w:p>
        </w:tc>
        <w:tc>
          <w:tcPr>
            <w:tcW w:w="861" w:type="dxa"/>
            <w:vAlign w:val="center"/>
          </w:tcPr>
          <w:p>
            <w:pPr>
              <w:keepNext/>
              <w:spacing w:before="10" w:after="10" w:line="216" w:lineRule="auto"/>
              <w:ind w:firstLine="0"/>
              <w:jc w:val="center"/>
            </w:pPr>
            <w:r>
              <w:rPr>
                <w:sz w:val="17"/>
                <w:szCs w:val="17"/>
              </w:rPr>
              <w:t xml:space="preserve">0.653</w:t>
            </w:r>
          </w:p>
        </w:tc>
        <w:tc>
          <w:tcPr>
            <w:tcW w:w="863" w:type="dxa"/>
            <w:vAlign w:val="center"/>
          </w:tcPr>
          <w:p>
            <w:pPr>
              <w:keepNext/>
              <w:spacing w:before="10" w:after="10" w:line="216" w:lineRule="auto"/>
              <w:ind w:firstLine="0"/>
              <w:jc w:val="center"/>
            </w:pPr>
            <w:r>
              <w:rPr>
                <w:sz w:val="17"/>
                <w:szCs w:val="17"/>
              </w:rPr>
              <w:t xml:space="preserve">0.534</w:t>
            </w:r>
          </w:p>
        </w:tc>
      </w:tr>
      <w:tr>
        <w:trPr>
          <w:cantSplit/>
        </w:trPr>
        <w:tc>
          <w:tcPr>
            <w:tcW w:w="1350" w:type="dxa"/>
            <w:vAlign w:val="center"/>
          </w:tcPr>
          <w:p>
            <w:pPr>
              <w:spacing w:before="10" w:after="10" w:line="216" w:lineRule="auto"/>
              <w:ind w:firstLine="0"/>
              <w:jc w:val="left"/>
            </w:pPr>
          </w:p>
        </w:tc>
        <w:tc>
          <w:tcPr>
            <w:tcW w:w="400" w:type="dxa"/>
            <w:vAlign w:val="center"/>
          </w:tcPr>
          <w:p>
            <w:pPr>
              <w:spacing w:before="10" w:after="10" w:line="216" w:lineRule="auto"/>
              <w:ind w:firstLine="0"/>
              <w:jc w:val="center"/>
            </w:pPr>
            <w:r>
              <w:rPr>
                <w:sz w:val="17"/>
                <w:szCs w:val="17"/>
              </w:rPr>
              <w:t xml:space="preserve">P3</w:t>
            </w:r>
          </w:p>
        </w:tc>
        <w:tc>
          <w:tcPr>
            <w:tcW w:w="861" w:type="dxa"/>
            <w:vAlign w:val="center"/>
          </w:tcPr>
          <w:p>
            <w:pPr>
              <w:spacing w:before="10" w:after="10" w:line="216" w:lineRule="auto"/>
              <w:ind w:firstLine="0"/>
              <w:jc w:val="center"/>
            </w:pPr>
            <w:r>
              <w:rPr>
                <w:sz w:val="17"/>
                <w:szCs w:val="17"/>
              </w:rPr>
              <w:t xml:space="preserve">0.686</w:t>
            </w:r>
          </w:p>
        </w:tc>
        <w:tc>
          <w:tcPr>
            <w:tcW w:w="861" w:type="dxa"/>
            <w:vAlign w:val="center"/>
          </w:tcPr>
          <w:p>
            <w:pPr>
              <w:spacing w:before="10" w:after="10" w:line="216" w:lineRule="auto"/>
              <w:ind w:firstLine="0"/>
              <w:jc w:val="center"/>
            </w:pPr>
            <w:r>
              <w:rPr>
                <w:sz w:val="17"/>
                <w:szCs w:val="17"/>
              </w:rPr>
              <w:t xml:space="preserve">0.546</w:t>
            </w:r>
          </w:p>
        </w:tc>
        <w:tc>
          <w:tcPr>
            <w:tcW w:w="861" w:type="dxa"/>
            <w:vAlign w:val="center"/>
          </w:tcPr>
          <w:p>
            <w:pPr>
              <w:spacing w:before="10" w:after="10" w:line="216" w:lineRule="auto"/>
              <w:ind w:firstLine="0"/>
              <w:jc w:val="center"/>
            </w:pPr>
            <w:r>
              <w:rPr>
                <w:sz w:val="17"/>
                <w:szCs w:val="17"/>
              </w:rPr>
              <w:t xml:space="preserve">0.677</w:t>
            </w:r>
          </w:p>
        </w:tc>
        <w:tc>
          <w:tcPr>
            <w:tcW w:w="861" w:type="dxa"/>
            <w:vAlign w:val="center"/>
          </w:tcPr>
          <w:p>
            <w:pPr>
              <w:spacing w:before="10" w:after="10" w:line="216" w:lineRule="auto"/>
              <w:ind w:firstLine="0"/>
              <w:jc w:val="center"/>
            </w:pPr>
            <w:r>
              <w:rPr>
                <w:sz w:val="17"/>
                <w:szCs w:val="17"/>
              </w:rPr>
              <w:t xml:space="preserve">0.528</w:t>
            </w:r>
          </w:p>
        </w:tc>
        <w:tc>
          <w:tcPr>
            <w:tcW w:w="861" w:type="dxa"/>
            <w:vAlign w:val="center"/>
          </w:tcPr>
          <w:p>
            <w:pPr>
              <w:spacing w:before="10" w:after="10" w:line="216" w:lineRule="auto"/>
              <w:ind w:firstLine="0"/>
              <w:jc w:val="center"/>
            </w:pPr>
            <w:r>
              <w:rPr>
                <w:sz w:val="17"/>
                <w:szCs w:val="17"/>
              </w:rPr>
              <w:t xml:space="preserve">0.632</w:t>
            </w:r>
          </w:p>
        </w:tc>
        <w:tc>
          <w:tcPr>
            <w:tcW w:w="863" w:type="dxa"/>
            <w:vAlign w:val="center"/>
          </w:tcPr>
          <w:p>
            <w:pPr>
              <w:spacing w:before="10" w:after="10" w:line="216" w:lineRule="auto"/>
              <w:ind w:firstLine="0"/>
              <w:jc w:val="center"/>
            </w:pPr>
            <w:r>
              <w:rPr>
                <w:sz w:val="17"/>
                <w:szCs w:val="17"/>
              </w:rPr>
              <w:t xml:space="preserve">0.517</w:t>
            </w:r>
          </w:p>
        </w:tc>
      </w:tr>
    </w:tbl>
    <w:p>
      <w:pPr>
        <w:spacing w:before="0" w:after="0" w:line="120" w:lineRule="exact"/>
      </w:pPr>
    </w:p>
    <w:p>
      <w:pPr>
        <w:pStyle w:val="heading2"/>
      </w:pPr>
      <w:r>
        <w:t xml:space="preserve">RQ1: Unseen Embedding Algorithm</w:t>
      </w:r>
    </w:p>
    <w:p>
      <w:pPr>
        <w:pStyle w:val="p1a"/>
      </w:pPr>
      <w:r>
        <w:t xml:space="preserve">Under P1, SRM+Ensemble falls from 0.714 on matched WOW 0.4 to 0.645 on unseen HILL 0.4 (</w:t>
      </w:r>
      <w:r>
        <w:t xml:space="preserve">Table </w:t>
      </w:r>
      <w:fldSimple w:instr=" REF _Reftabrq12 \h \* MERGEFORMAT ">
        <w:r>
          <w:t xml:space="preserve">5</w:t>
        </w:r>
      </w:fldSimple>
      <w:r>
        <w:t xml:space="preserve">); the interval of the paired ΔAUC excludes zero, and BER rises from 0.347 to 0.386. For Residual-LR the difference is +0.024 [−0.007, +0.056], but with a matched AUC of only 0.546 the matched signal is too weak to serve as a reference for a shift.</w:t>
      </w:r>
    </w:p>
    <w:p>
      <w:pPr/>
      <w:r>
        <w:t xml:space="preserve">This loss need not be a pure effect of algorithm mismatch. HILL was designed to be harder to detect than WOW with rich-model features </w:t>
      </w:r>
      <w:r>
        <w:t xml:space="preserve">[4]</w:t>
      </w:r>
      <w:r>
        <w:t xml:space="preserve">, so part of the gap may reflect its intrinsic difficulty; the P1 ordering WOW 0.714 &gt; S-UNIWARD 0.689 &gt; HILL 0.645 fits both explanations. Separating them needs a matched HILL reference (trained and tested on HILL), which this study did not run.</w:t>
      </w:r>
    </w:p>
    <w:p>
      <w:pPr>
        <w:pStyle w:val="p1a"/>
        <w:spacing w:before="120"/>
      </w:pPr>
      <w:r>
        <w:rPr>
          <w:b/>
          <w:bCs/>
        </w:rPr>
        <w:t xml:space="preserve">Answer to RQ1.</w:t>
      </w:r>
      <w:r>
        <w:t xml:space="preserve"> </w:t>
      </w:r>
      <w:r>
        <w:t xml:space="preserve">On this subset, SRM+Ensemble trained on WOW at 0.4 bpp detects unseen HILL at 0.4 bpp less well than matched WOW on the same test covers (ΔAUC = −0.070, 95% CI [−0.093, −0.046]). This is a measured degradation under the tested shift; it does not establish robustness, or a general lack of it, for other algorithms, payloads or cover sources.</w:t>
      </w:r>
    </w:p>
    <w:p>
      <w:pPr>
        <w:pStyle w:val="tablecaption"/>
        <w:jc w:val="both"/>
      </w:pPr>
      <w:r>
        <w:rPr>
          <w:b/>
          <w:bCs/>
        </w:rPr>
        <w:t xml:space="preserve">Table </w:t>
      </w:r>
      <w:bookmarkStart w:id="106" w:name="_Reftabrq12"/>
      <w:fldSimple w:instr=" SEQ Table \* ARABIC ">
        <w:r>
          <w:rPr>
            <w:b/>
            <w:bCs/>
          </w:rPr>
          <w:t xml:space="preserve">5</w:t>
        </w:r>
      </w:fldSimple>
      <w:bookmarkEnd w:id="106"/>
      <w:r>
        <w:rPr>
          <w:b/>
          <w:bCs/>
        </w:rPr>
        <w:t xml:space="preserve">. </w:t>
      </w:r>
      <w:r>
        <w:t xml:space="preserve">Paired comparisons for RQ1 and RQ2 on the same 120 test covers. ΔAUC is computed from unrounded scores and may differ by 0.001 from the difference of the rounded AUCs.</w:t>
      </w:r>
    </w:p>
    <w:tbl>
      <w:tblPr>
        <w:tblW w:w="6918" w:type="dxa"/>
        <w:jc w:val="center"/>
        <w:tblBorders>
          <w:top w:val="single" w:sz="8" w:space="0" w:color="000000"/>
          <w:bottom w:val="single" w:sz="8" w:space="0" w:color="000000"/>
        </w:tblBorders>
        <w:tblLayout w:type="fixed"/>
        <w:tblCellMar>
          <w:top w:w="0" w:type="dxa"/>
          <w:left w:w="57" w:type="dxa"/>
          <w:bottom w:w="0" w:type="dxa"/>
          <w:right w:w="57" w:type="dxa"/>
        </w:tblCellMar>
        <w:tblLook w:val="0000"/>
      </w:tblPr>
      <w:tblGrid>
        <w:gridCol w:w="1400"/>
        <w:gridCol w:w="1000"/>
        <w:gridCol w:w="1000"/>
        <w:gridCol w:w="900"/>
        <w:gridCol w:w="1350"/>
        <w:gridCol w:w="1268"/>
      </w:tblGrid>
      <w:tr>
        <w:trPr>
          <w:cantSplit/>
          <w:tblHeader/>
        </w:trPr>
        <w:tc>
          <w:tcPr>
            <w:tcW w:w="1400" w:type="dxa"/>
            <w:tcBorders>
              <w:bottom w:val="single" w:sz="4" w:space="0" w:color="000000"/>
            </w:tcBorders>
            <w:vAlign w:val="center"/>
          </w:tcPr>
          <w:p>
            <w:pPr>
              <w:keepNext/>
              <w:spacing w:before="10" w:after="10" w:line="216" w:lineRule="auto"/>
              <w:ind w:firstLine="0"/>
              <w:jc w:val="left"/>
            </w:pPr>
            <w:r>
              <w:rPr>
                <w:b/>
                <w:bCs/>
                <w:sz w:val="17"/>
                <w:szCs w:val="17"/>
              </w:rPr>
              <w:t xml:space="preserve">Detector</w:t>
            </w:r>
          </w:p>
        </w:tc>
        <w:tc>
          <w:tcPr>
            <w:tcW w:w="1000" w:type="dxa"/>
            <w:tcBorders>
              <w:bottom w:val="single" w:sz="4" w:space="0" w:color="000000"/>
            </w:tcBorders>
            <w:vAlign w:val="center"/>
          </w:tcPr>
          <w:p>
            <w:pPr>
              <w:keepNext/>
              <w:spacing w:before="10" w:after="10" w:line="216" w:lineRule="auto"/>
              <w:ind w:firstLine="0"/>
              <w:jc w:val="center"/>
            </w:pPr>
            <w:r>
              <w:rPr>
                <w:b/>
                <w:bCs/>
                <w:sz w:val="17"/>
                <w:szCs w:val="17"/>
              </w:rPr>
              <w:t xml:space="preserve">Reference AUC</w:t>
            </w:r>
          </w:p>
        </w:tc>
        <w:tc>
          <w:tcPr>
            <w:tcW w:w="1000" w:type="dxa"/>
            <w:tcBorders>
              <w:bottom w:val="single" w:sz="4" w:space="0" w:color="000000"/>
            </w:tcBorders>
            <w:vAlign w:val="center"/>
          </w:tcPr>
          <w:p>
            <w:pPr>
              <w:keepNext/>
              <w:spacing w:before="10" w:after="10" w:line="216" w:lineRule="auto"/>
              <w:ind w:firstLine="0"/>
              <w:jc w:val="center"/>
            </w:pPr>
            <w:r>
              <w:rPr>
                <w:b/>
                <w:bCs/>
                <w:sz w:val="17"/>
                <w:szCs w:val="17"/>
              </w:rPr>
              <w:t xml:space="preserve">Shifted AUC</w:t>
            </w:r>
          </w:p>
        </w:tc>
        <w:tc>
          <w:tcPr>
            <w:tcW w:w="900" w:type="dxa"/>
            <w:tcBorders>
              <w:bottom w:val="single" w:sz="4" w:space="0" w:color="000000"/>
            </w:tcBorders>
            <w:vAlign w:val="center"/>
          </w:tcPr>
          <w:p>
            <w:pPr>
              <w:keepNext/>
              <w:spacing w:before="10" w:after="10" w:line="216" w:lineRule="auto"/>
              <w:ind w:firstLine="0"/>
              <w:jc w:val="center"/>
            </w:pPr>
            <w:r>
              <w:rPr>
                <w:b/>
                <w:bCs/>
                <w:sz w:val="17"/>
                <w:szCs w:val="17"/>
              </w:rPr>
              <w:t xml:space="preserve">ΔAUC</w:t>
            </w:r>
          </w:p>
        </w:tc>
        <w:tc>
          <w:tcPr>
            <w:tcW w:w="1350" w:type="dxa"/>
            <w:tcBorders>
              <w:bottom w:val="single" w:sz="4" w:space="0" w:color="000000"/>
            </w:tcBorders>
            <w:vAlign w:val="center"/>
          </w:tcPr>
          <w:p>
            <w:pPr>
              <w:keepNext/>
              <w:spacing w:before="10" w:after="10" w:line="216" w:lineRule="auto"/>
              <w:ind w:firstLine="0"/>
              <w:jc w:val="center"/>
            </w:pPr>
            <w:r>
              <w:rPr>
                <w:b/>
                <w:bCs/>
                <w:sz w:val="17"/>
                <w:szCs w:val="17"/>
              </w:rPr>
              <w:t xml:space="preserve">95% CI</w:t>
            </w:r>
          </w:p>
        </w:tc>
        <w:tc>
          <w:tcPr>
            <w:tcW w:w="1268" w:type="dxa"/>
            <w:tcBorders>
              <w:bottom w:val="single" w:sz="4" w:space="0" w:color="000000"/>
            </w:tcBorders>
            <w:vAlign w:val="center"/>
          </w:tcPr>
          <w:p>
            <w:pPr>
              <w:keepNext/>
              <w:spacing w:before="10" w:after="10" w:line="216" w:lineRule="auto"/>
              <w:ind w:firstLine="0"/>
              <w:jc w:val="left"/>
            </w:pPr>
            <w:r>
              <w:rPr>
                <w:b/>
                <w:bCs/>
                <w:sz w:val="17"/>
                <w:szCs w:val="17"/>
              </w:rPr>
              <w:t xml:space="preserve">Reading</w:t>
            </w:r>
          </w:p>
        </w:tc>
      </w:tr>
      <w:tr>
        <w:trPr>
          <w:cantSplit/>
        </w:trPr>
        <w:tc>
          <w:tcPr>
            <w:tcW w:w="6918" w:type="dxa"/>
            <w:gridSpan w:val="6"/>
          </w:tcPr>
          <w:p>
            <w:pPr>
              <w:keepNext/>
              <w:spacing w:before="30" w:after="10" w:line="216" w:lineRule="auto"/>
              <w:ind w:firstLine="0"/>
              <w:jc w:val="left"/>
            </w:pPr>
            <w:r>
              <w:rPr>
                <w:i/>
                <w:iCs/>
                <w:sz w:val="17"/>
                <w:szCs w:val="17"/>
              </w:rPr>
              <w:t xml:space="preserve">RQ1: matched WOW 0.4 → unseen HILL 0.4, both under P1</w:t>
            </w:r>
          </w:p>
        </w:tc>
      </w:tr>
      <w:tr>
        <w:trPr>
          <w:cantSplit/>
        </w:trPr>
        <w:tc>
          <w:tcPr>
            <w:tcW w:w="1400" w:type="dxa"/>
            <w:vAlign w:val="center"/>
          </w:tcPr>
          <w:p>
            <w:pPr>
              <w:keepNext/>
              <w:spacing w:before="10" w:after="10" w:line="216" w:lineRule="auto"/>
              <w:ind w:firstLine="0"/>
              <w:jc w:val="left"/>
            </w:pPr>
            <w:r>
              <w:rPr>
                <w:sz w:val="17"/>
                <w:szCs w:val="17"/>
              </w:rPr>
              <w:t xml:space="preserve">Residual-LR</w:t>
            </w:r>
          </w:p>
        </w:tc>
        <w:tc>
          <w:tcPr>
            <w:tcW w:w="1000" w:type="dxa"/>
            <w:vAlign w:val="center"/>
          </w:tcPr>
          <w:p>
            <w:pPr>
              <w:keepNext/>
              <w:spacing w:before="10" w:after="10" w:line="216" w:lineRule="auto"/>
              <w:ind w:firstLine="0"/>
              <w:jc w:val="center"/>
            </w:pPr>
            <w:r>
              <w:rPr>
                <w:sz w:val="17"/>
                <w:szCs w:val="17"/>
              </w:rPr>
              <w:t xml:space="preserve">0.546</w:t>
            </w:r>
          </w:p>
        </w:tc>
        <w:tc>
          <w:tcPr>
            <w:tcW w:w="1000" w:type="dxa"/>
            <w:vAlign w:val="center"/>
          </w:tcPr>
          <w:p>
            <w:pPr>
              <w:keepNext/>
              <w:spacing w:before="10" w:after="10" w:line="216" w:lineRule="auto"/>
              <w:ind w:firstLine="0"/>
              <w:jc w:val="center"/>
            </w:pPr>
            <w:r>
              <w:rPr>
                <w:sz w:val="17"/>
                <w:szCs w:val="17"/>
              </w:rPr>
              <w:t xml:space="preserve">0.570</w:t>
            </w:r>
          </w:p>
        </w:tc>
        <w:tc>
          <w:tcPr>
            <w:tcW w:w="900" w:type="dxa"/>
            <w:vAlign w:val="center"/>
          </w:tcPr>
          <w:p>
            <w:pPr>
              <w:keepNext/>
              <w:spacing w:before="10" w:after="10" w:line="216" w:lineRule="auto"/>
              <w:ind w:firstLine="0"/>
              <w:jc w:val="center"/>
            </w:pPr>
            <w:r>
              <w:rPr>
                <w:sz w:val="17"/>
                <w:szCs w:val="17"/>
              </w:rPr>
              <w:t xml:space="preserve">+0.024</w:t>
            </w:r>
          </w:p>
        </w:tc>
        <w:tc>
          <w:tcPr>
            <w:tcW w:w="1350" w:type="dxa"/>
            <w:vAlign w:val="center"/>
          </w:tcPr>
          <w:p>
            <w:pPr>
              <w:keepNext/>
              <w:spacing w:before="10" w:after="10" w:line="216" w:lineRule="auto"/>
              <w:ind w:firstLine="0"/>
              <w:jc w:val="center"/>
            </w:pPr>
            <w:r>
              <w:rPr>
                <w:sz w:val="17"/>
                <w:szCs w:val="17"/>
              </w:rPr>
              <w:t xml:space="preserve">[−0.007, +0.056]</w:t>
            </w:r>
          </w:p>
        </w:tc>
        <w:tc>
          <w:tcPr>
            <w:tcW w:w="1268" w:type="dxa"/>
            <w:vAlign w:val="center"/>
          </w:tcPr>
          <w:p>
            <w:pPr>
              <w:keepNext/>
              <w:spacing w:before="10" w:after="10" w:line="216" w:lineRule="auto"/>
              <w:ind w:firstLine="0"/>
              <w:jc w:val="left"/>
            </w:pPr>
            <w:r>
              <w:rPr>
                <w:sz w:val="17"/>
                <w:szCs w:val="17"/>
              </w:rPr>
              <w:t xml:space="preserve">Weak matched signal</w:t>
            </w:r>
          </w:p>
        </w:tc>
      </w:tr>
      <w:tr>
        <w:trPr>
          <w:cantSplit/>
        </w:trPr>
        <w:tc>
          <w:tcPr>
            <w:tcW w:w="1400" w:type="dxa"/>
            <w:vAlign w:val="center"/>
          </w:tcPr>
          <w:p>
            <w:pPr>
              <w:keepNext/>
              <w:spacing w:before="10" w:after="10" w:line="216" w:lineRule="auto"/>
              <w:ind w:firstLine="0"/>
              <w:jc w:val="left"/>
            </w:pPr>
            <w:r>
              <w:rPr>
                <w:sz w:val="17"/>
                <w:szCs w:val="17"/>
              </w:rPr>
              <w:t xml:space="preserve">SRM+Ensemble</w:t>
            </w:r>
          </w:p>
        </w:tc>
        <w:tc>
          <w:tcPr>
            <w:tcW w:w="1000" w:type="dxa"/>
            <w:vAlign w:val="center"/>
          </w:tcPr>
          <w:p>
            <w:pPr>
              <w:keepNext/>
              <w:spacing w:before="10" w:after="10" w:line="216" w:lineRule="auto"/>
              <w:ind w:firstLine="0"/>
              <w:jc w:val="center"/>
            </w:pPr>
            <w:r>
              <w:rPr>
                <w:sz w:val="17"/>
                <w:szCs w:val="17"/>
              </w:rPr>
              <w:t xml:space="preserve">0.714</w:t>
            </w:r>
          </w:p>
        </w:tc>
        <w:tc>
          <w:tcPr>
            <w:tcW w:w="1000" w:type="dxa"/>
            <w:vAlign w:val="center"/>
          </w:tcPr>
          <w:p>
            <w:pPr>
              <w:keepNext/>
              <w:spacing w:before="10" w:after="10" w:line="216" w:lineRule="auto"/>
              <w:ind w:firstLine="0"/>
              <w:jc w:val="center"/>
            </w:pPr>
            <w:r>
              <w:rPr>
                <w:sz w:val="17"/>
                <w:szCs w:val="17"/>
              </w:rPr>
              <w:t xml:space="preserve">0.645</w:t>
            </w:r>
          </w:p>
        </w:tc>
        <w:tc>
          <w:tcPr>
            <w:tcW w:w="900" w:type="dxa"/>
            <w:vAlign w:val="center"/>
          </w:tcPr>
          <w:p>
            <w:pPr>
              <w:keepNext/>
              <w:spacing w:before="10" w:after="10" w:line="216" w:lineRule="auto"/>
              <w:ind w:firstLine="0"/>
              <w:jc w:val="center"/>
            </w:pPr>
            <w:r>
              <w:rPr>
                <w:sz w:val="17"/>
                <w:szCs w:val="17"/>
              </w:rPr>
              <w:t xml:space="preserve">−0.070</w:t>
            </w:r>
          </w:p>
        </w:tc>
        <w:tc>
          <w:tcPr>
            <w:tcW w:w="1350" w:type="dxa"/>
            <w:vAlign w:val="center"/>
          </w:tcPr>
          <w:p>
            <w:pPr>
              <w:keepNext/>
              <w:spacing w:before="10" w:after="10" w:line="216" w:lineRule="auto"/>
              <w:ind w:firstLine="0"/>
              <w:jc w:val="center"/>
            </w:pPr>
            <w:r>
              <w:rPr>
                <w:sz w:val="17"/>
                <w:szCs w:val="17"/>
              </w:rPr>
              <w:t xml:space="preserve">[−0.093, −0.046]</w:t>
            </w:r>
          </w:p>
        </w:tc>
        <w:tc>
          <w:tcPr>
            <w:tcW w:w="1268" w:type="dxa"/>
            <w:vAlign w:val="center"/>
          </w:tcPr>
          <w:p>
            <w:pPr>
              <w:keepNext/>
              <w:spacing w:before="10" w:after="10" w:line="216" w:lineRule="auto"/>
              <w:ind w:firstLine="0"/>
              <w:jc w:val="left"/>
            </w:pPr>
            <w:r>
              <w:rPr>
                <w:sz w:val="17"/>
                <w:szCs w:val="17"/>
              </w:rPr>
              <w:t xml:space="preserve">Loss, CI excludes 0</w:t>
            </w:r>
          </w:p>
        </w:tc>
      </w:tr>
      <w:tr>
        <w:trPr>
          <w:cantSplit/>
        </w:trPr>
        <w:tc>
          <w:tcPr>
            <w:tcW w:w="6918" w:type="dxa"/>
            <w:gridSpan w:val="6"/>
            <w:tcBorders>
              <w:top w:val="single" w:sz="4" w:space="0" w:color="000000"/>
            </w:tcBorders>
          </w:tcPr>
          <w:p>
            <w:pPr>
              <w:keepNext/>
              <w:spacing w:before="30" w:after="10" w:line="216" w:lineRule="auto"/>
              <w:ind w:firstLine="0"/>
              <w:jc w:val="left"/>
            </w:pPr>
            <w:r>
              <w:rPr>
                <w:i/>
                <w:iCs/>
                <w:sz w:val="17"/>
                <w:szCs w:val="17"/>
              </w:rPr>
              <w:t xml:space="preserve">RQ2: P2 → P3, both tested on unseen HILL 0.4</w:t>
            </w:r>
          </w:p>
        </w:tc>
      </w:tr>
      <w:tr>
        <w:trPr>
          <w:cantSplit/>
        </w:trPr>
        <w:tc>
          <w:tcPr>
            <w:tcW w:w="1400" w:type="dxa"/>
            <w:vAlign w:val="center"/>
          </w:tcPr>
          <w:p>
            <w:pPr>
              <w:keepNext/>
              <w:spacing w:before="10" w:after="10" w:line="216" w:lineRule="auto"/>
              <w:ind w:firstLine="0"/>
              <w:jc w:val="left"/>
            </w:pPr>
            <w:r>
              <w:rPr>
                <w:sz w:val="17"/>
                <w:szCs w:val="17"/>
              </w:rPr>
              <w:t xml:space="preserve">Residual-LR</w:t>
            </w:r>
          </w:p>
        </w:tc>
        <w:tc>
          <w:tcPr>
            <w:tcW w:w="1000" w:type="dxa"/>
            <w:vAlign w:val="center"/>
          </w:tcPr>
          <w:p>
            <w:pPr>
              <w:keepNext/>
              <w:spacing w:before="10" w:after="10" w:line="216" w:lineRule="auto"/>
              <w:ind w:firstLine="0"/>
              <w:jc w:val="center"/>
            </w:pPr>
            <w:r>
              <w:rPr>
                <w:sz w:val="17"/>
                <w:szCs w:val="17"/>
              </w:rPr>
              <w:t xml:space="preserve">0.551</w:t>
            </w:r>
          </w:p>
        </w:tc>
        <w:tc>
          <w:tcPr>
            <w:tcW w:w="1000" w:type="dxa"/>
            <w:vAlign w:val="center"/>
          </w:tcPr>
          <w:p>
            <w:pPr>
              <w:keepNext/>
              <w:spacing w:before="10" w:after="10" w:line="216" w:lineRule="auto"/>
              <w:ind w:firstLine="0"/>
              <w:jc w:val="center"/>
            </w:pPr>
            <w:r>
              <w:rPr>
                <w:sz w:val="17"/>
                <w:szCs w:val="17"/>
              </w:rPr>
              <w:t xml:space="preserve">0.546</w:t>
            </w:r>
          </w:p>
        </w:tc>
        <w:tc>
          <w:tcPr>
            <w:tcW w:w="900" w:type="dxa"/>
            <w:vAlign w:val="center"/>
          </w:tcPr>
          <w:p>
            <w:pPr>
              <w:keepNext/>
              <w:spacing w:before="10" w:after="10" w:line="216" w:lineRule="auto"/>
              <w:ind w:firstLine="0"/>
              <w:jc w:val="center"/>
            </w:pPr>
            <w:r>
              <w:rPr>
                <w:sz w:val="17"/>
                <w:szCs w:val="17"/>
              </w:rPr>
              <w:t xml:space="preserve">−0.005</w:t>
            </w:r>
          </w:p>
        </w:tc>
        <w:tc>
          <w:tcPr>
            <w:tcW w:w="1350" w:type="dxa"/>
            <w:vAlign w:val="center"/>
          </w:tcPr>
          <w:p>
            <w:pPr>
              <w:keepNext/>
              <w:spacing w:before="10" w:after="10" w:line="216" w:lineRule="auto"/>
              <w:ind w:firstLine="0"/>
              <w:jc w:val="center"/>
            </w:pPr>
            <w:r>
              <w:rPr>
                <w:sz w:val="17"/>
                <w:szCs w:val="17"/>
              </w:rPr>
              <w:t xml:space="preserve">[−0.020, +0.007]</w:t>
            </w:r>
          </w:p>
        </w:tc>
        <w:tc>
          <w:tcPr>
            <w:tcW w:w="1268" w:type="dxa"/>
            <w:vAlign w:val="center"/>
          </w:tcPr>
          <w:p>
            <w:pPr>
              <w:keepNext/>
              <w:spacing w:before="10" w:after="10" w:line="216" w:lineRule="auto"/>
              <w:ind w:firstLine="0"/>
              <w:jc w:val="left"/>
            </w:pPr>
            <w:r>
              <w:rPr>
                <w:sz w:val="17"/>
                <w:szCs w:val="17"/>
              </w:rPr>
              <w:t xml:space="preserve">Inconclusive</w:t>
            </w:r>
          </w:p>
        </w:tc>
      </w:tr>
      <w:tr>
        <w:trPr>
          <w:cantSplit/>
        </w:trPr>
        <w:tc>
          <w:tcPr>
            <w:tcW w:w="1400" w:type="dxa"/>
            <w:vAlign w:val="center"/>
          </w:tcPr>
          <w:p>
            <w:pPr>
              <w:spacing w:before="10" w:after="10" w:line="216" w:lineRule="auto"/>
              <w:ind w:firstLine="0"/>
              <w:jc w:val="left"/>
            </w:pPr>
            <w:r>
              <w:rPr>
                <w:sz w:val="17"/>
                <w:szCs w:val="17"/>
              </w:rPr>
              <w:t xml:space="preserve">SRM+Ensemble</w:t>
            </w:r>
          </w:p>
        </w:tc>
        <w:tc>
          <w:tcPr>
            <w:tcW w:w="1000" w:type="dxa"/>
            <w:vAlign w:val="center"/>
          </w:tcPr>
          <w:p>
            <w:pPr>
              <w:spacing w:before="10" w:after="10" w:line="216" w:lineRule="auto"/>
              <w:ind w:firstLine="0"/>
              <w:jc w:val="center"/>
            </w:pPr>
            <w:r>
              <w:rPr>
                <w:sz w:val="17"/>
                <w:szCs w:val="17"/>
              </w:rPr>
              <w:t xml:space="preserve">0.653</w:t>
            </w:r>
          </w:p>
        </w:tc>
        <w:tc>
          <w:tcPr>
            <w:tcW w:w="1000" w:type="dxa"/>
            <w:vAlign w:val="center"/>
          </w:tcPr>
          <w:p>
            <w:pPr>
              <w:spacing w:before="10" w:after="10" w:line="216" w:lineRule="auto"/>
              <w:ind w:firstLine="0"/>
              <w:jc w:val="center"/>
            </w:pPr>
            <w:r>
              <w:rPr>
                <w:sz w:val="17"/>
                <w:szCs w:val="17"/>
              </w:rPr>
              <w:t xml:space="preserve">0.632</w:t>
            </w:r>
          </w:p>
        </w:tc>
        <w:tc>
          <w:tcPr>
            <w:tcW w:w="900" w:type="dxa"/>
            <w:vAlign w:val="center"/>
          </w:tcPr>
          <w:p>
            <w:pPr>
              <w:spacing w:before="10" w:after="10" w:line="216" w:lineRule="auto"/>
              <w:ind w:firstLine="0"/>
              <w:jc w:val="center"/>
            </w:pPr>
            <w:r>
              <w:rPr>
                <w:sz w:val="17"/>
                <w:szCs w:val="17"/>
              </w:rPr>
              <w:t xml:space="preserve">−0.022</w:t>
            </w:r>
          </w:p>
        </w:tc>
        <w:tc>
          <w:tcPr>
            <w:tcW w:w="1350" w:type="dxa"/>
            <w:vAlign w:val="center"/>
          </w:tcPr>
          <w:p>
            <w:pPr>
              <w:spacing w:before="10" w:after="10" w:line="216" w:lineRule="auto"/>
              <w:ind w:firstLine="0"/>
              <w:jc w:val="center"/>
            </w:pPr>
            <w:r>
              <w:rPr>
                <w:sz w:val="17"/>
                <w:szCs w:val="17"/>
              </w:rPr>
              <w:t xml:space="preserve">[−0.050, +0.005]</w:t>
            </w:r>
          </w:p>
        </w:tc>
        <w:tc>
          <w:tcPr>
            <w:tcW w:w="1268" w:type="dxa"/>
            <w:vAlign w:val="center"/>
          </w:tcPr>
          <w:p>
            <w:pPr>
              <w:spacing w:before="10" w:after="10" w:line="216" w:lineRule="auto"/>
              <w:ind w:firstLine="0"/>
              <w:jc w:val="left"/>
            </w:pPr>
            <w:r>
              <w:rPr>
                <w:sz w:val="17"/>
                <w:szCs w:val="17"/>
              </w:rPr>
              <w:t xml:space="preserve">Inconclusive</w:t>
            </w:r>
          </w:p>
        </w:tc>
      </w:tr>
    </w:tbl>
    <w:p>
      <w:pPr>
        <w:spacing w:before="0" w:after="0" w:line="120" w:lineRule="exact"/>
      </w:pPr>
    </w:p>
    <w:p>
      <w:pPr>
        <w:pStyle w:val="heading2"/>
      </w:pPr>
      <w:r>
        <w:t xml:space="preserve">RQ2: Mixed Training</w:t>
      </w:r>
    </w:p>
    <w:p>
      <w:pPr>
        <w:pStyle w:val="p1a"/>
      </w:pPr>
      <w:r>
        <w:t xml:space="preserve">P3 adds 0.1 bpp WOW and S-UNIWARD variants to the P2 pool at the same 360 pairs, so fewer training pairs carry the stronger 0.4 bpp signal. On unseen HILL 0.4, SRM+Ensemble scores 0.653 under P2 and 0.632 under P3 (ΔAUC = −0.022, 95% CI [−0.050, +0.005]); for Residual-LR the difference is −0.005 [−0.020, +0.007]. Both intervals include zero, so the data show neither an improvement nor equivalence of the two protocols. For SRM+Ensemble the point estimates also fall on matched 0.4 bpp conditions (WOW 0.713 → 0.686, S-UNIWARD 0.717 → 0.677), and AUC at 0.1 bpp does not rise although 0.1 bpp is now trained on. One untested explanation is that, at fixed size, weak 0.1 bpp examples dilute the 0.4 bpp signal.</w:t>
      </w:r>
    </w:p>
    <w:p>
      <w:pPr>
        <w:pStyle w:val="p1a"/>
        <w:spacing w:before="120"/>
      </w:pPr>
      <w:r>
        <w:rPr>
          <w:b/>
          <w:bCs/>
        </w:rPr>
        <w:t xml:space="preserve">Answer to RQ2.</w:t>
      </w:r>
      <w:r>
        <w:t xml:space="preserve"> </w:t>
      </w:r>
      <w:r>
        <w:t xml:space="preserve">No reliable improvement was observed under the evaluated mixed-training protocol. This holds for WOW and S-UNIWARD as training algorithms, two payloads, 360 training pairs and this dataset; larger or differently weighted mixed training sets remain untested.</w:t>
      </w:r>
    </w:p>
    <w:p>
      <w:pPr>
        <w:pStyle w:val="heading2"/>
      </w:pPr>
      <w:r>
        <w:t xml:space="preserve">RQ3: Payload Shift</w:t>
      </w:r>
    </w:p>
    <w:p>
      <w:pPr>
        <w:pStyle w:val="p1a"/>
      </w:pPr>
      <w:r>
        <w:t xml:space="preserve">Fig. </w:t>
      </w:r>
      <w:fldSimple w:instr=" REF _Reffigrq3 \h \* MERGEFORMAT ">
        <w:r>
          <w:t xml:space="preserve">2</w:t>
        </w:r>
      </w:fldSimple>
      <w:r>
        <w:t xml:space="preserve"> shows ΔAUC between 0.1 and 0.4 bpp for all 18 comparisons, and </w:t>
      </w:r>
      <w:r>
        <w:t xml:space="preserve">Table </w:t>
      </w:r>
      <w:fldSimple w:instr=" REF _Reftabrq3 \h \* MERGEFORMAT ">
        <w:r>
          <w:t xml:space="preserve">6</w:t>
        </w:r>
      </w:fldSimple>
      <w:r>
        <w:t xml:space="preserve"> summarizes them per detector and protocol; Supplementary Table S2 lists every interval. All 18 differences are negative and all 18 intervals lie below zero. The SRM+Ensemble losses are about three times those of Residual-LR, and one Residual-LR interval ends at −0.001 (P3 WOW). As the intervals are unadjusted and share covers and models, the common sign is not 18 independent confirmations.</w:t>
      </w:r>
    </w:p>
    <w:p>
      <w:pPr>
        <w:pStyle w:val="image"/>
        <w:keepNext/>
        <w:spacing w:before="160" w:after="60"/>
      </w:pPr>
      <w:r>
        <w:drawing>
          <wp:inline distT="0" distB="0" distL="0" distR="0">
            <wp:extent cx="4078224" cy="1696958"/>
            <wp:docPr id="2" name="Figure 2"/>
            <wp:cNvGraphicFramePr>
              <a:graphicFrameLocks noChangeAspect="1"/>
            </wp:cNvGraphicFramePr>
            <a:graphic>
              <a:graphicData uri="http://schemas.openxmlformats.org/drawingml/2006/picture">
                <pic:pic>
                  <pic:nvPicPr>
                    <pic:cNvPr id="2" name="image2.png"/>
                    <pic:cNvPicPr/>
                  </pic:nvPicPr>
                  <pic:blipFill>
                    <a:blip r:embed="rId902"/>
                    <a:stretch>
                      <a:fillRect/>
                    </a:stretch>
                  </pic:blipFill>
                  <pic:spPr>
                    <a:xfrm>
                      <a:off x="0" y="0"/>
                      <a:ext cx="4078224" cy="1696958"/>
                    </a:xfrm>
                    <a:prstGeom prst="rect">
                      <a:avLst/>
                    </a:prstGeom>
                  </pic:spPr>
                </pic:pic>
              </a:graphicData>
            </a:graphic>
          </wp:inline>
        </w:drawing>
      </w:r>
    </w:p>
    <w:p>
      <w:pPr>
        <w:pStyle w:val="figurecaption"/>
        <w:jc w:val="both"/>
      </w:pPr>
      <w:r>
        <w:rPr>
          <w:b/>
          <w:bCs/>
        </w:rPr>
        <w:t xml:space="preserve">Fig. </w:t>
      </w:r>
      <w:bookmarkStart w:id="107" w:name="_Reffigrq3"/>
      <w:fldSimple w:instr=" SEQ Figure \* ARABIC ">
        <w:r>
          <w:rPr>
            <w:b/>
            <w:bCs/>
          </w:rPr>
          <w:t xml:space="preserve">2</w:t>
        </w:r>
      </w:fldSimple>
      <w:bookmarkEnd w:id="107"/>
      <w:r>
        <w:rPr>
          <w:b/>
          <w:bCs/>
        </w:rPr>
        <w:t xml:space="preserve">. </w:t>
      </w:r>
      <w:r>
        <w:t xml:space="preserve">Payload shift for (a) Residual-LR and (b) SRM+Ensemble: seed-mean ΔAUC = AUC(0.1 bpp) − AUC(0.4 bpp) with 95% paired bootstrap intervals. Under P1 and P2 the 0.1 bpp payload is absent from training; under P3 it is included.</w:t>
      </w:r>
    </w:p>
    <w:p>
      <w:pPr>
        <w:pStyle w:val="tablecaption"/>
        <w:jc w:val="both"/>
      </w:pPr>
      <w:r>
        <w:rPr>
          <w:b/>
          <w:bCs/>
        </w:rPr>
        <w:t xml:space="preserve">Table </w:t>
      </w:r>
      <w:bookmarkStart w:id="108" w:name="_Reftabrq3"/>
      <w:fldSimple w:instr=" SEQ Table \* ARABIC ">
        <w:r>
          <w:rPr>
            <w:b/>
            <w:bCs/>
          </w:rPr>
          <w:t xml:space="preserve">6</w:t>
        </w:r>
      </w:fldSimple>
      <w:bookmarkEnd w:id="108"/>
      <w:r>
        <w:rPr>
          <w:b/>
          <w:bCs/>
        </w:rPr>
        <w:t xml:space="preserve">. </w:t>
      </w:r>
      <w:r>
        <w:t xml:space="preserve">RQ3 summary over the three algorithms, ΔAUC = AUC(0.1 bpp) − AUC(0.4 bpp), computed from unrounded AUCs.</w:t>
      </w:r>
    </w:p>
    <w:tbl>
      <w:tblPr>
        <w:tblW w:w="6918" w:type="dxa"/>
        <w:jc w:val="center"/>
        <w:tblBorders>
          <w:top w:val="single" w:sz="8" w:space="0" w:color="000000"/>
          <w:bottom w:val="single" w:sz="8" w:space="0" w:color="000000"/>
        </w:tblBorders>
        <w:tblLayout w:type="fixed"/>
        <w:tblCellMar>
          <w:top w:w="0" w:type="dxa"/>
          <w:left w:w="57" w:type="dxa"/>
          <w:bottom w:w="0" w:type="dxa"/>
          <w:right w:w="57" w:type="dxa"/>
        </w:tblCellMar>
        <w:tblLook w:val="0000"/>
      </w:tblPr>
      <w:tblGrid>
        <w:gridCol w:w="1350"/>
        <w:gridCol w:w="400"/>
        <w:gridCol w:w="1150"/>
        <w:gridCol w:w="1350"/>
        <w:gridCol w:w="900"/>
        <w:gridCol w:w="1000"/>
        <w:gridCol w:w="768"/>
      </w:tblGrid>
      <w:tr>
        <w:trPr>
          <w:cantSplit/>
          <w:tblHeader/>
        </w:trPr>
        <w:tc>
          <w:tcPr>
            <w:tcW w:w="1350" w:type="dxa"/>
            <w:tcBorders>
              <w:bottom w:val="single" w:sz="4" w:space="0" w:color="000000"/>
            </w:tcBorders>
            <w:vAlign w:val="center"/>
          </w:tcPr>
          <w:p>
            <w:pPr>
              <w:keepNext/>
              <w:spacing w:before="10" w:after="10" w:line="216" w:lineRule="auto"/>
              <w:ind w:firstLine="0"/>
              <w:jc w:val="left"/>
            </w:pPr>
            <w:r>
              <w:rPr>
                <w:b/>
                <w:bCs/>
                <w:sz w:val="17"/>
                <w:szCs w:val="17"/>
              </w:rPr>
              <w:t xml:space="preserve">Detector</w:t>
            </w:r>
          </w:p>
        </w:tc>
        <w:tc>
          <w:tcPr>
            <w:tcW w:w="400" w:type="dxa"/>
            <w:tcBorders>
              <w:bottom w:val="single" w:sz="4" w:space="0" w:color="000000"/>
            </w:tcBorders>
            <w:vAlign w:val="center"/>
          </w:tcPr>
          <w:p>
            <w:pPr>
              <w:keepNext/>
              <w:spacing w:before="10" w:after="10" w:line="216" w:lineRule="auto"/>
              <w:ind w:firstLine="0"/>
              <w:jc w:val="center"/>
            </w:pPr>
            <w:r>
              <w:rPr>
                <w:b/>
                <w:bCs/>
                <w:sz w:val="17"/>
                <w:szCs w:val="17"/>
              </w:rPr>
              <w:t xml:space="preserve">P</w:t>
            </w:r>
          </w:p>
        </w:tc>
        <w:tc>
          <w:tcPr>
            <w:tcW w:w="1150" w:type="dxa"/>
            <w:tcBorders>
              <w:bottom w:val="single" w:sz="4" w:space="0" w:color="000000"/>
            </w:tcBorders>
            <w:vAlign w:val="center"/>
          </w:tcPr>
          <w:p>
            <w:pPr>
              <w:keepNext/>
              <w:spacing w:before="10" w:after="10" w:line="216" w:lineRule="auto"/>
              <w:ind w:firstLine="0"/>
              <w:jc w:val="center"/>
            </w:pPr>
            <w:r>
              <w:rPr>
                <w:b/>
                <w:bCs/>
                <w:sz w:val="17"/>
                <w:szCs w:val="17"/>
              </w:rPr>
              <w:t xml:space="preserve">AUC at 0.1 bpp</w:t>
            </w:r>
          </w:p>
        </w:tc>
        <w:tc>
          <w:tcPr>
            <w:tcW w:w="1350" w:type="dxa"/>
            <w:tcBorders>
              <w:bottom w:val="single" w:sz="4" w:space="0" w:color="000000"/>
            </w:tcBorders>
            <w:vAlign w:val="center"/>
          </w:tcPr>
          <w:p>
            <w:pPr>
              <w:keepNext/>
              <w:spacing w:before="10" w:after="10" w:line="216" w:lineRule="auto"/>
              <w:ind w:firstLine="0"/>
              <w:jc w:val="center"/>
            </w:pPr>
            <w:r>
              <w:rPr>
                <w:b/>
                <w:bCs/>
                <w:sz w:val="17"/>
                <w:szCs w:val="17"/>
              </w:rPr>
              <w:t xml:space="preserve">ΔAUC range</w:t>
            </w:r>
          </w:p>
        </w:tc>
        <w:tc>
          <w:tcPr>
            <w:tcW w:w="900" w:type="dxa"/>
            <w:tcBorders>
              <w:bottom w:val="single" w:sz="4" w:space="0" w:color="000000"/>
            </w:tcBorders>
            <w:vAlign w:val="center"/>
          </w:tcPr>
          <w:p>
            <w:pPr>
              <w:keepNext/>
              <w:spacing w:before="10" w:after="10" w:line="216" w:lineRule="auto"/>
              <w:ind w:firstLine="0"/>
              <w:jc w:val="center"/>
            </w:pPr>
            <w:r>
              <w:rPr>
                <w:b/>
                <w:bCs/>
                <w:sz w:val="17"/>
                <w:szCs w:val="17"/>
              </w:rPr>
              <w:t xml:space="preserve">Mean ΔAUC</w:t>
            </w:r>
          </w:p>
        </w:tc>
        <w:tc>
          <w:tcPr>
            <w:tcW w:w="1000" w:type="dxa"/>
            <w:tcBorders>
              <w:bottom w:val="single" w:sz="4" w:space="0" w:color="000000"/>
            </w:tcBorders>
            <w:vAlign w:val="center"/>
          </w:tcPr>
          <w:p>
            <w:pPr>
              <w:keepNext/>
              <w:spacing w:before="10" w:after="10" w:line="216" w:lineRule="auto"/>
              <w:ind w:firstLine="0"/>
              <w:jc w:val="center"/>
            </w:pPr>
            <w:r>
              <w:rPr>
                <w:b/>
                <w:bCs/>
                <w:sz w:val="17"/>
                <w:szCs w:val="17"/>
              </w:rPr>
              <w:t xml:space="preserve">Highest CI upper bound</w:t>
            </w:r>
          </w:p>
        </w:tc>
        <w:tc>
          <w:tcPr>
            <w:tcW w:w="768" w:type="dxa"/>
            <w:tcBorders>
              <w:bottom w:val="single" w:sz="4" w:space="0" w:color="000000"/>
            </w:tcBorders>
            <w:vAlign w:val="center"/>
          </w:tcPr>
          <w:p>
            <w:pPr>
              <w:keepNext/>
              <w:spacing w:before="10" w:after="10" w:line="216" w:lineRule="auto"/>
              <w:ind w:firstLine="0"/>
              <w:jc w:val="center"/>
            </w:pPr>
            <w:r>
              <w:rPr>
                <w:b/>
                <w:bCs/>
                <w:sz w:val="17"/>
                <w:szCs w:val="17"/>
              </w:rPr>
              <w:t xml:space="preserve">CIs &lt; 0</w:t>
            </w:r>
          </w:p>
        </w:tc>
      </w:tr>
      <w:tr>
        <w:trPr>
          <w:cantSplit/>
        </w:trPr>
        <w:tc>
          <w:tcPr>
            <w:tcW w:w="1350" w:type="dxa"/>
            <w:vAlign w:val="center"/>
          </w:tcPr>
          <w:p>
            <w:pPr>
              <w:keepNext/>
              <w:spacing w:before="10" w:after="10" w:line="216" w:lineRule="auto"/>
              <w:ind w:firstLine="0"/>
              <w:jc w:val="left"/>
            </w:pPr>
            <w:r>
              <w:rPr>
                <w:sz w:val="17"/>
                <w:szCs w:val="17"/>
              </w:rPr>
              <w:t xml:space="preserve">Residual-LR</w:t>
            </w:r>
          </w:p>
        </w:tc>
        <w:tc>
          <w:tcPr>
            <w:tcW w:w="400" w:type="dxa"/>
            <w:vAlign w:val="center"/>
          </w:tcPr>
          <w:p>
            <w:pPr>
              <w:keepNext/>
              <w:spacing w:before="10" w:after="10" w:line="216" w:lineRule="auto"/>
              <w:ind w:firstLine="0"/>
              <w:jc w:val="center"/>
            </w:pPr>
            <w:r>
              <w:rPr>
                <w:sz w:val="17"/>
                <w:szCs w:val="17"/>
              </w:rPr>
              <w:t xml:space="preserve">P1</w:t>
            </w:r>
          </w:p>
        </w:tc>
        <w:tc>
          <w:tcPr>
            <w:tcW w:w="1150" w:type="dxa"/>
            <w:vAlign w:val="center"/>
          </w:tcPr>
          <w:p>
            <w:pPr>
              <w:keepNext/>
              <w:spacing w:before="10" w:after="10" w:line="216" w:lineRule="auto"/>
              <w:ind w:firstLine="0"/>
              <w:jc w:val="center"/>
            </w:pPr>
            <w:r>
              <w:rPr>
                <w:sz w:val="17"/>
                <w:szCs w:val="17"/>
              </w:rPr>
              <w:t xml:space="preserve">0.505–0.514</w:t>
            </w:r>
          </w:p>
        </w:tc>
        <w:tc>
          <w:tcPr>
            <w:tcW w:w="1350" w:type="dxa"/>
            <w:vAlign w:val="center"/>
          </w:tcPr>
          <w:p>
            <w:pPr>
              <w:keepNext/>
              <w:spacing w:before="10" w:after="10" w:line="216" w:lineRule="auto"/>
              <w:ind w:firstLine="0"/>
              <w:jc w:val="center"/>
            </w:pPr>
            <w:r>
              <w:rPr>
                <w:sz w:val="17"/>
                <w:szCs w:val="17"/>
              </w:rPr>
              <w:t xml:space="preserve">−0.060 to −0.036</w:t>
            </w:r>
          </w:p>
        </w:tc>
        <w:tc>
          <w:tcPr>
            <w:tcW w:w="900" w:type="dxa"/>
            <w:vAlign w:val="center"/>
          </w:tcPr>
          <w:p>
            <w:pPr>
              <w:keepNext/>
              <w:spacing w:before="10" w:after="10" w:line="216" w:lineRule="auto"/>
              <w:ind w:firstLine="0"/>
              <w:jc w:val="center"/>
            </w:pPr>
            <w:r>
              <w:rPr>
                <w:sz w:val="17"/>
                <w:szCs w:val="17"/>
              </w:rPr>
              <w:t xml:space="preserve">−0.051</w:t>
            </w:r>
          </w:p>
        </w:tc>
        <w:tc>
          <w:tcPr>
            <w:tcW w:w="1000" w:type="dxa"/>
            <w:vAlign w:val="center"/>
          </w:tcPr>
          <w:p>
            <w:pPr>
              <w:keepNext/>
              <w:spacing w:before="10" w:after="10" w:line="216" w:lineRule="auto"/>
              <w:ind w:firstLine="0"/>
              <w:jc w:val="center"/>
            </w:pPr>
            <w:r>
              <w:rPr>
                <w:sz w:val="17"/>
                <w:szCs w:val="17"/>
              </w:rPr>
              <w:t xml:space="preserve">−0.008</w:t>
            </w:r>
          </w:p>
        </w:tc>
        <w:tc>
          <w:tcPr>
            <w:tcW w:w="768" w:type="dxa"/>
            <w:vAlign w:val="center"/>
          </w:tcPr>
          <w:p>
            <w:pPr>
              <w:keepNext/>
              <w:spacing w:before="10" w:after="10" w:line="216" w:lineRule="auto"/>
              <w:ind w:firstLine="0"/>
              <w:jc w:val="center"/>
            </w:pPr>
            <w:r>
              <w:rPr>
                <w:sz w:val="17"/>
                <w:szCs w:val="17"/>
              </w:rPr>
              <w:t xml:space="preserve">3/3</w:t>
            </w:r>
          </w:p>
        </w:tc>
      </w:tr>
      <w:tr>
        <w:trPr>
          <w:cantSplit/>
        </w:trPr>
        <w:tc>
          <w:tcPr>
            <w:tcW w:w="1350" w:type="dxa"/>
            <w:vAlign w:val="center"/>
          </w:tcPr>
          <w:p>
            <w:pPr>
              <w:keepNext/>
              <w:spacing w:before="10" w:after="10" w:line="216" w:lineRule="auto"/>
              <w:ind w:firstLine="0"/>
              <w:jc w:val="left"/>
            </w:pPr>
          </w:p>
        </w:tc>
        <w:tc>
          <w:tcPr>
            <w:tcW w:w="400" w:type="dxa"/>
            <w:vAlign w:val="center"/>
          </w:tcPr>
          <w:p>
            <w:pPr>
              <w:keepNext/>
              <w:spacing w:before="10" w:after="10" w:line="216" w:lineRule="auto"/>
              <w:ind w:firstLine="0"/>
              <w:jc w:val="center"/>
            </w:pPr>
            <w:r>
              <w:rPr>
                <w:sz w:val="17"/>
                <w:szCs w:val="17"/>
              </w:rPr>
              <w:t xml:space="preserve">P2</w:t>
            </w:r>
          </w:p>
        </w:tc>
        <w:tc>
          <w:tcPr>
            <w:tcW w:w="1150" w:type="dxa"/>
            <w:vAlign w:val="center"/>
          </w:tcPr>
          <w:p>
            <w:pPr>
              <w:keepNext/>
              <w:spacing w:before="10" w:after="10" w:line="216" w:lineRule="auto"/>
              <w:ind w:firstLine="0"/>
              <w:jc w:val="center"/>
            </w:pPr>
            <w:r>
              <w:rPr>
                <w:sz w:val="17"/>
                <w:szCs w:val="17"/>
              </w:rPr>
              <w:t xml:space="preserve">0.500–0.505</w:t>
            </w:r>
          </w:p>
        </w:tc>
        <w:tc>
          <w:tcPr>
            <w:tcW w:w="1350" w:type="dxa"/>
            <w:vAlign w:val="center"/>
          </w:tcPr>
          <w:p>
            <w:pPr>
              <w:keepNext/>
              <w:spacing w:before="10" w:after="10" w:line="216" w:lineRule="auto"/>
              <w:ind w:firstLine="0"/>
              <w:jc w:val="center"/>
            </w:pPr>
            <w:r>
              <w:rPr>
                <w:sz w:val="17"/>
                <w:szCs w:val="17"/>
              </w:rPr>
              <w:t xml:space="preserve">−0.046 to −0.034</w:t>
            </w:r>
          </w:p>
        </w:tc>
        <w:tc>
          <w:tcPr>
            <w:tcW w:w="900" w:type="dxa"/>
            <w:vAlign w:val="center"/>
          </w:tcPr>
          <w:p>
            <w:pPr>
              <w:keepNext/>
              <w:spacing w:before="10" w:after="10" w:line="216" w:lineRule="auto"/>
              <w:ind w:firstLine="0"/>
              <w:jc w:val="center"/>
            </w:pPr>
            <w:r>
              <w:rPr>
                <w:sz w:val="17"/>
                <w:szCs w:val="17"/>
              </w:rPr>
              <w:t xml:space="preserve">−0.042</w:t>
            </w:r>
          </w:p>
        </w:tc>
        <w:tc>
          <w:tcPr>
            <w:tcW w:w="1000" w:type="dxa"/>
            <w:vAlign w:val="center"/>
          </w:tcPr>
          <w:p>
            <w:pPr>
              <w:keepNext/>
              <w:spacing w:before="10" w:after="10" w:line="216" w:lineRule="auto"/>
              <w:ind w:firstLine="0"/>
              <w:jc w:val="center"/>
            </w:pPr>
            <w:r>
              <w:rPr>
                <w:sz w:val="17"/>
                <w:szCs w:val="17"/>
              </w:rPr>
              <w:t xml:space="preserve">−0.012</w:t>
            </w:r>
          </w:p>
        </w:tc>
        <w:tc>
          <w:tcPr>
            <w:tcW w:w="768" w:type="dxa"/>
            <w:vAlign w:val="center"/>
          </w:tcPr>
          <w:p>
            <w:pPr>
              <w:keepNext/>
              <w:spacing w:before="10" w:after="10" w:line="216" w:lineRule="auto"/>
              <w:ind w:firstLine="0"/>
              <w:jc w:val="center"/>
            </w:pPr>
            <w:r>
              <w:rPr>
                <w:sz w:val="17"/>
                <w:szCs w:val="17"/>
              </w:rPr>
              <w:t xml:space="preserve">3/3</w:t>
            </w:r>
          </w:p>
        </w:tc>
      </w:tr>
      <w:tr>
        <w:trPr>
          <w:cantSplit/>
        </w:trPr>
        <w:tc>
          <w:tcPr>
            <w:tcW w:w="1350" w:type="dxa"/>
            <w:vAlign w:val="center"/>
          </w:tcPr>
          <w:p>
            <w:pPr>
              <w:keepNext/>
              <w:spacing w:before="10" w:after="10" w:line="216" w:lineRule="auto"/>
              <w:ind w:firstLine="0"/>
              <w:jc w:val="left"/>
            </w:pPr>
          </w:p>
        </w:tc>
        <w:tc>
          <w:tcPr>
            <w:tcW w:w="400" w:type="dxa"/>
            <w:vAlign w:val="center"/>
          </w:tcPr>
          <w:p>
            <w:pPr>
              <w:keepNext/>
              <w:spacing w:before="10" w:after="10" w:line="216" w:lineRule="auto"/>
              <w:ind w:firstLine="0"/>
              <w:jc w:val="center"/>
            </w:pPr>
            <w:r>
              <w:rPr>
                <w:sz w:val="17"/>
                <w:szCs w:val="17"/>
              </w:rPr>
              <w:t xml:space="preserve">P3</w:t>
            </w:r>
          </w:p>
        </w:tc>
        <w:tc>
          <w:tcPr>
            <w:tcW w:w="1150" w:type="dxa"/>
            <w:vAlign w:val="center"/>
          </w:tcPr>
          <w:p>
            <w:pPr>
              <w:keepNext/>
              <w:spacing w:before="10" w:after="10" w:line="216" w:lineRule="auto"/>
              <w:ind w:firstLine="0"/>
              <w:jc w:val="center"/>
            </w:pPr>
            <w:r>
              <w:rPr>
                <w:sz w:val="17"/>
                <w:szCs w:val="17"/>
              </w:rPr>
              <w:t xml:space="preserve">0.501–0.511</w:t>
            </w:r>
          </w:p>
        </w:tc>
        <w:tc>
          <w:tcPr>
            <w:tcW w:w="1350" w:type="dxa"/>
            <w:vAlign w:val="center"/>
          </w:tcPr>
          <w:p>
            <w:pPr>
              <w:keepNext/>
              <w:spacing w:before="10" w:after="10" w:line="216" w:lineRule="auto"/>
              <w:ind w:firstLine="0"/>
              <w:jc w:val="center"/>
            </w:pPr>
            <w:r>
              <w:rPr>
                <w:sz w:val="17"/>
                <w:szCs w:val="17"/>
              </w:rPr>
              <w:t xml:space="preserve">−0.054 to −0.022</w:t>
            </w:r>
          </w:p>
        </w:tc>
        <w:tc>
          <w:tcPr>
            <w:tcW w:w="900" w:type="dxa"/>
            <w:vAlign w:val="center"/>
          </w:tcPr>
          <w:p>
            <w:pPr>
              <w:keepNext/>
              <w:spacing w:before="10" w:after="10" w:line="216" w:lineRule="auto"/>
              <w:ind w:firstLine="0"/>
              <w:jc w:val="center"/>
            </w:pPr>
            <w:r>
              <w:rPr>
                <w:sz w:val="17"/>
                <w:szCs w:val="17"/>
              </w:rPr>
              <w:t xml:space="preserve">−0.037</w:t>
            </w:r>
          </w:p>
        </w:tc>
        <w:tc>
          <w:tcPr>
            <w:tcW w:w="1000" w:type="dxa"/>
            <w:vAlign w:val="center"/>
          </w:tcPr>
          <w:p>
            <w:pPr>
              <w:keepNext/>
              <w:spacing w:before="10" w:after="10" w:line="216" w:lineRule="auto"/>
              <w:ind w:firstLine="0"/>
              <w:jc w:val="center"/>
            </w:pPr>
            <w:r>
              <w:rPr>
                <w:sz w:val="17"/>
                <w:szCs w:val="17"/>
              </w:rPr>
              <w:t xml:space="preserve">−0.001</w:t>
            </w:r>
          </w:p>
        </w:tc>
        <w:tc>
          <w:tcPr>
            <w:tcW w:w="768" w:type="dxa"/>
            <w:vAlign w:val="center"/>
          </w:tcPr>
          <w:p>
            <w:pPr>
              <w:keepNext/>
              <w:spacing w:before="10" w:after="10" w:line="216" w:lineRule="auto"/>
              <w:ind w:firstLine="0"/>
              <w:jc w:val="center"/>
            </w:pPr>
            <w:r>
              <w:rPr>
                <w:sz w:val="17"/>
                <w:szCs w:val="17"/>
              </w:rPr>
              <w:t xml:space="preserve">3/3</w:t>
            </w:r>
          </w:p>
        </w:tc>
      </w:tr>
      <w:tr>
        <w:trPr>
          <w:cantSplit/>
        </w:trPr>
        <w:tc>
          <w:tcPr>
            <w:tcW w:w="1350" w:type="dxa"/>
            <w:tcBorders>
              <w:top w:val="single" w:sz="4" w:space="0" w:color="000000"/>
            </w:tcBorders>
            <w:vAlign w:val="center"/>
          </w:tcPr>
          <w:p>
            <w:pPr>
              <w:keepNext/>
              <w:spacing w:before="10" w:after="10" w:line="216" w:lineRule="auto"/>
              <w:ind w:firstLine="0"/>
              <w:jc w:val="left"/>
            </w:pPr>
            <w:r>
              <w:rPr>
                <w:sz w:val="17"/>
                <w:szCs w:val="17"/>
              </w:rPr>
              <w:t xml:space="preserve">SRM+Ensemble</w:t>
            </w:r>
          </w:p>
        </w:tc>
        <w:tc>
          <w:tcPr>
            <w:tcW w:w="400" w:type="dxa"/>
            <w:tcBorders>
              <w:top w:val="single" w:sz="4" w:space="0" w:color="000000"/>
            </w:tcBorders>
            <w:vAlign w:val="center"/>
          </w:tcPr>
          <w:p>
            <w:pPr>
              <w:keepNext/>
              <w:spacing w:before="10" w:after="10" w:line="216" w:lineRule="auto"/>
              <w:ind w:firstLine="0"/>
              <w:jc w:val="center"/>
            </w:pPr>
            <w:r>
              <w:rPr>
                <w:sz w:val="17"/>
                <w:szCs w:val="17"/>
              </w:rPr>
              <w:t xml:space="preserve">P1</w:t>
            </w:r>
          </w:p>
        </w:tc>
        <w:tc>
          <w:tcPr>
            <w:tcW w:w="1150" w:type="dxa"/>
            <w:tcBorders>
              <w:top w:val="single" w:sz="4" w:space="0" w:color="000000"/>
            </w:tcBorders>
            <w:vAlign w:val="center"/>
          </w:tcPr>
          <w:p>
            <w:pPr>
              <w:keepNext/>
              <w:spacing w:before="10" w:after="10" w:line="216" w:lineRule="auto"/>
              <w:ind w:firstLine="0"/>
              <w:jc w:val="center"/>
            </w:pPr>
            <w:r>
              <w:rPr>
                <w:sz w:val="17"/>
                <w:szCs w:val="17"/>
              </w:rPr>
              <w:t xml:space="preserve">0.525–0.539</w:t>
            </w:r>
          </w:p>
        </w:tc>
        <w:tc>
          <w:tcPr>
            <w:tcW w:w="1350" w:type="dxa"/>
            <w:tcBorders>
              <w:top w:val="single" w:sz="4" w:space="0" w:color="000000"/>
            </w:tcBorders>
            <w:vAlign w:val="center"/>
          </w:tcPr>
          <w:p>
            <w:pPr>
              <w:keepNext/>
              <w:spacing w:before="10" w:after="10" w:line="216" w:lineRule="auto"/>
              <w:ind w:firstLine="0"/>
              <w:jc w:val="center"/>
            </w:pPr>
            <w:r>
              <w:rPr>
                <w:sz w:val="17"/>
                <w:szCs w:val="17"/>
              </w:rPr>
              <w:t xml:space="preserve">−0.175 to −0.120</w:t>
            </w:r>
          </w:p>
        </w:tc>
        <w:tc>
          <w:tcPr>
            <w:tcW w:w="900" w:type="dxa"/>
            <w:tcBorders>
              <w:top w:val="single" w:sz="4" w:space="0" w:color="000000"/>
            </w:tcBorders>
            <w:vAlign w:val="center"/>
          </w:tcPr>
          <w:p>
            <w:pPr>
              <w:keepNext/>
              <w:spacing w:before="10" w:after="10" w:line="216" w:lineRule="auto"/>
              <w:ind w:firstLine="0"/>
              <w:jc w:val="center"/>
            </w:pPr>
            <w:r>
              <w:rPr>
                <w:sz w:val="17"/>
                <w:szCs w:val="17"/>
              </w:rPr>
              <w:t xml:space="preserve">−0.151</w:t>
            </w:r>
          </w:p>
        </w:tc>
        <w:tc>
          <w:tcPr>
            <w:tcW w:w="1000" w:type="dxa"/>
            <w:tcBorders>
              <w:top w:val="single" w:sz="4" w:space="0" w:color="000000"/>
            </w:tcBorders>
            <w:vAlign w:val="center"/>
          </w:tcPr>
          <w:p>
            <w:pPr>
              <w:keepNext/>
              <w:spacing w:before="10" w:after="10" w:line="216" w:lineRule="auto"/>
              <w:ind w:firstLine="0"/>
              <w:jc w:val="center"/>
            </w:pPr>
            <w:r>
              <w:rPr>
                <w:sz w:val="17"/>
                <w:szCs w:val="17"/>
              </w:rPr>
              <w:t xml:space="preserve">−0.092</w:t>
            </w:r>
          </w:p>
        </w:tc>
        <w:tc>
          <w:tcPr>
            <w:tcW w:w="768" w:type="dxa"/>
            <w:tcBorders>
              <w:top w:val="single" w:sz="4" w:space="0" w:color="000000"/>
            </w:tcBorders>
            <w:vAlign w:val="center"/>
          </w:tcPr>
          <w:p>
            <w:pPr>
              <w:keepNext/>
              <w:spacing w:before="10" w:after="10" w:line="216" w:lineRule="auto"/>
              <w:ind w:firstLine="0"/>
              <w:jc w:val="center"/>
            </w:pPr>
            <w:r>
              <w:rPr>
                <w:sz w:val="17"/>
                <w:szCs w:val="17"/>
              </w:rPr>
              <w:t xml:space="preserve">3/3</w:t>
            </w:r>
          </w:p>
        </w:tc>
      </w:tr>
      <w:tr>
        <w:trPr>
          <w:cantSplit/>
        </w:trPr>
        <w:tc>
          <w:tcPr>
            <w:tcW w:w="1350" w:type="dxa"/>
            <w:vAlign w:val="center"/>
          </w:tcPr>
          <w:p>
            <w:pPr>
              <w:keepNext/>
              <w:spacing w:before="10" w:after="10" w:line="216" w:lineRule="auto"/>
              <w:ind w:firstLine="0"/>
              <w:jc w:val="left"/>
            </w:pPr>
          </w:p>
        </w:tc>
        <w:tc>
          <w:tcPr>
            <w:tcW w:w="400" w:type="dxa"/>
            <w:vAlign w:val="center"/>
          </w:tcPr>
          <w:p>
            <w:pPr>
              <w:keepNext/>
              <w:spacing w:before="10" w:after="10" w:line="216" w:lineRule="auto"/>
              <w:ind w:firstLine="0"/>
              <w:jc w:val="center"/>
            </w:pPr>
            <w:r>
              <w:rPr>
                <w:sz w:val="17"/>
                <w:szCs w:val="17"/>
              </w:rPr>
              <w:t xml:space="preserve">P2</w:t>
            </w:r>
          </w:p>
        </w:tc>
        <w:tc>
          <w:tcPr>
            <w:tcW w:w="1150" w:type="dxa"/>
            <w:vAlign w:val="center"/>
          </w:tcPr>
          <w:p>
            <w:pPr>
              <w:keepNext/>
              <w:spacing w:before="10" w:after="10" w:line="216" w:lineRule="auto"/>
              <w:ind w:firstLine="0"/>
              <w:jc w:val="center"/>
            </w:pPr>
            <w:r>
              <w:rPr>
                <w:sz w:val="17"/>
                <w:szCs w:val="17"/>
              </w:rPr>
              <w:t xml:space="preserve">0.534–0.550</w:t>
            </w:r>
          </w:p>
        </w:tc>
        <w:tc>
          <w:tcPr>
            <w:tcW w:w="1350" w:type="dxa"/>
            <w:vAlign w:val="center"/>
          </w:tcPr>
          <w:p>
            <w:pPr>
              <w:keepNext/>
              <w:spacing w:before="10" w:after="10" w:line="216" w:lineRule="auto"/>
              <w:ind w:firstLine="0"/>
              <w:jc w:val="center"/>
            </w:pPr>
            <w:r>
              <w:rPr>
                <w:sz w:val="17"/>
                <w:szCs w:val="17"/>
              </w:rPr>
              <w:t xml:space="preserve">−0.183 to −0.119</w:t>
            </w:r>
          </w:p>
        </w:tc>
        <w:tc>
          <w:tcPr>
            <w:tcW w:w="900" w:type="dxa"/>
            <w:vAlign w:val="center"/>
          </w:tcPr>
          <w:p>
            <w:pPr>
              <w:keepNext/>
              <w:spacing w:before="10" w:after="10" w:line="216" w:lineRule="auto"/>
              <w:ind w:firstLine="0"/>
              <w:jc w:val="center"/>
            </w:pPr>
            <w:r>
              <w:rPr>
                <w:sz w:val="17"/>
                <w:szCs w:val="17"/>
              </w:rPr>
              <w:t xml:space="preserve">−0.155</w:t>
            </w:r>
          </w:p>
        </w:tc>
        <w:tc>
          <w:tcPr>
            <w:tcW w:w="1000" w:type="dxa"/>
            <w:vAlign w:val="center"/>
          </w:tcPr>
          <w:p>
            <w:pPr>
              <w:keepNext/>
              <w:spacing w:before="10" w:after="10" w:line="216" w:lineRule="auto"/>
              <w:ind w:firstLine="0"/>
              <w:jc w:val="center"/>
            </w:pPr>
            <w:r>
              <w:rPr>
                <w:sz w:val="17"/>
                <w:szCs w:val="17"/>
              </w:rPr>
              <w:t xml:space="preserve">−0.088</w:t>
            </w:r>
          </w:p>
        </w:tc>
        <w:tc>
          <w:tcPr>
            <w:tcW w:w="768" w:type="dxa"/>
            <w:vAlign w:val="center"/>
          </w:tcPr>
          <w:p>
            <w:pPr>
              <w:keepNext/>
              <w:spacing w:before="10" w:after="10" w:line="216" w:lineRule="auto"/>
              <w:ind w:firstLine="0"/>
              <w:jc w:val="center"/>
            </w:pPr>
            <w:r>
              <w:rPr>
                <w:sz w:val="17"/>
                <w:szCs w:val="17"/>
              </w:rPr>
              <w:t xml:space="preserve">3/3</w:t>
            </w:r>
          </w:p>
        </w:tc>
      </w:tr>
      <w:tr>
        <w:trPr>
          <w:cantSplit/>
        </w:trPr>
        <w:tc>
          <w:tcPr>
            <w:tcW w:w="1350" w:type="dxa"/>
            <w:vAlign w:val="center"/>
          </w:tcPr>
          <w:p>
            <w:pPr>
              <w:spacing w:before="10" w:after="10" w:line="216" w:lineRule="auto"/>
              <w:ind w:firstLine="0"/>
              <w:jc w:val="left"/>
            </w:pPr>
          </w:p>
        </w:tc>
        <w:tc>
          <w:tcPr>
            <w:tcW w:w="400" w:type="dxa"/>
            <w:vAlign w:val="center"/>
          </w:tcPr>
          <w:p>
            <w:pPr>
              <w:spacing w:before="10" w:after="10" w:line="216" w:lineRule="auto"/>
              <w:ind w:firstLine="0"/>
              <w:jc w:val="center"/>
            </w:pPr>
            <w:r>
              <w:rPr>
                <w:sz w:val="17"/>
                <w:szCs w:val="17"/>
              </w:rPr>
              <w:t xml:space="preserve">P3</w:t>
            </w:r>
          </w:p>
        </w:tc>
        <w:tc>
          <w:tcPr>
            <w:tcW w:w="1150" w:type="dxa"/>
            <w:vAlign w:val="center"/>
          </w:tcPr>
          <w:p>
            <w:pPr>
              <w:spacing w:before="10" w:after="10" w:line="216" w:lineRule="auto"/>
              <w:ind w:firstLine="0"/>
              <w:jc w:val="center"/>
            </w:pPr>
            <w:r>
              <w:rPr>
                <w:sz w:val="17"/>
                <w:szCs w:val="17"/>
              </w:rPr>
              <w:t xml:space="preserve">0.517–0.546</w:t>
            </w:r>
          </w:p>
        </w:tc>
        <w:tc>
          <w:tcPr>
            <w:tcW w:w="1350" w:type="dxa"/>
            <w:vAlign w:val="center"/>
          </w:tcPr>
          <w:p>
            <w:pPr>
              <w:spacing w:before="10" w:after="10" w:line="216" w:lineRule="auto"/>
              <w:ind w:firstLine="0"/>
              <w:jc w:val="center"/>
            </w:pPr>
            <w:r>
              <w:rPr>
                <w:sz w:val="17"/>
                <w:szCs w:val="17"/>
              </w:rPr>
              <w:t xml:space="preserve">−0.149 to −0.115</w:t>
            </w:r>
          </w:p>
        </w:tc>
        <w:tc>
          <w:tcPr>
            <w:tcW w:w="900" w:type="dxa"/>
            <w:vAlign w:val="center"/>
          </w:tcPr>
          <w:p>
            <w:pPr>
              <w:spacing w:before="10" w:after="10" w:line="216" w:lineRule="auto"/>
              <w:ind w:firstLine="0"/>
              <w:jc w:val="center"/>
            </w:pPr>
            <w:r>
              <w:rPr>
                <w:sz w:val="17"/>
                <w:szCs w:val="17"/>
              </w:rPr>
              <w:t xml:space="preserve">−0.135</w:t>
            </w:r>
          </w:p>
        </w:tc>
        <w:tc>
          <w:tcPr>
            <w:tcW w:w="1000" w:type="dxa"/>
            <w:vAlign w:val="center"/>
          </w:tcPr>
          <w:p>
            <w:pPr>
              <w:spacing w:before="10" w:after="10" w:line="216" w:lineRule="auto"/>
              <w:ind w:firstLine="0"/>
              <w:jc w:val="center"/>
            </w:pPr>
            <w:r>
              <w:rPr>
                <w:sz w:val="17"/>
                <w:szCs w:val="17"/>
              </w:rPr>
              <w:t xml:space="preserve">−0.089</w:t>
            </w:r>
          </w:p>
        </w:tc>
        <w:tc>
          <w:tcPr>
            <w:tcW w:w="768" w:type="dxa"/>
            <w:vAlign w:val="center"/>
          </w:tcPr>
          <w:p>
            <w:pPr>
              <w:spacing w:before="10" w:after="10" w:line="216" w:lineRule="auto"/>
              <w:ind w:firstLine="0"/>
              <w:jc w:val="center"/>
            </w:pPr>
            <w:r>
              <w:rPr>
                <w:sz w:val="17"/>
                <w:szCs w:val="17"/>
              </w:rPr>
              <w:t xml:space="preserve">3/3</w:t>
            </w:r>
          </w:p>
        </w:tc>
      </w:tr>
    </w:tbl>
    <w:p>
      <w:pPr>
        <w:spacing w:before="0" w:after="0" w:line="120" w:lineRule="exact"/>
      </w:pPr>
    </w:p>
    <w:p>
      <w:pPr>
        <w:pStyle w:val="p1a"/>
        <w:spacing w:before="120"/>
      </w:pPr>
      <w:r>
        <w:rPr>
          <w:b/>
          <w:bCs/>
        </w:rPr>
        <w:t xml:space="preserve">Answer to RQ3.</w:t>
      </w:r>
      <w:r>
        <w:t xml:space="preserve"> </w:t>
      </w:r>
      <w:r>
        <w:t xml:space="preserve">Lowering the payload from 0.4 to 0.1 bpp lowered the AUC point estimate in all 18 combinations. The loss is clear for SRM+Ensemble, whose AUC of 0.517–0.550 at 0.1 bpp leaves little usable signal, whereas the weakest Residual-LR intervals end close to zero. The loss persists under P3, whose pool contains 0.1 bpp examples, so at 360 pairs training on the lower payload did not offset the weaker signal. The finding is limited to the three algorithms, two payloads and image size studied.</w:t>
      </w:r>
    </w:p>
    <w:p>
      <w:pPr>
        <w:pStyle w:val="heading2"/>
      </w:pPr>
      <w:r>
        <w:t xml:space="preserve">Security Operating Point at Low FPR</w:t>
      </w:r>
    </w:p>
    <w:p>
      <w:pPr>
        <w:pStyle w:val="p1a"/>
      </w:pPr>
      <w:r>
        <w:t xml:space="preserve">Table </w:t>
      </w:r>
      <w:fldSimple w:instr=" REF _Reftablowfpr \h \* MERGEFORMAT ">
        <w:r>
          <w:t xml:space="preserve">7</w:t>
        </w:r>
      </w:fldSimple>
      <w:r>
        <w:t xml:space="preserve"> reports the operating point of Eq. (1). The threshold allows at most one false positive among the 120 validation covers, yet on test covers every detector–protocol cell exceeds the 1% target, with observed FPRs of 0.022–0.053. Residual-LR under P1 has 15 false positives in 360 test cover evaluations; if its three runs are identical, as its zero seed spread suggests, that is 5/120 per run, whose exact 95% Clopper–Pearson interval, [1.4%, 9.5%], excludes 1%. A likely reason is that a 1% target on 120 covers places τ</w:t>
      </w:r>
      <w:r>
        <w:rPr>
          <w:vertAlign w:val="subscript"/>
        </w:rPr>
        <w:t xml:space="preserve">low</w:t>
      </w:r>
      <w:r>
        <w:t xml:space="preserve"> among the one or two highest validation scores, an extreme order statistic that varies strongly between samples. The least strict threshold allowed, just above the second-highest score, is exceeded by an exchangeable test cover with probability 2/121 ≈ 1.7%.</w:t>
      </w:r>
    </w:p>
    <w:p>
      <w:pPr>
        <w:pStyle w:val="tablecaption"/>
        <w:jc w:val="both"/>
      </w:pPr>
      <w:r>
        <w:rPr>
          <w:b/>
          <w:bCs/>
        </w:rPr>
        <w:t xml:space="preserve">Table </w:t>
      </w:r>
      <w:bookmarkStart w:id="109" w:name="_Reftablowfpr"/>
      <w:fldSimple w:instr=" SEQ Table \* ARABIC ">
        <w:r>
          <w:rPr>
            <w:b/>
            <w:bCs/>
          </w:rPr>
          <w:t xml:space="preserve">7</w:t>
        </w:r>
      </w:fldSimple>
      <w:bookmarkEnd w:id="109"/>
      <w:r>
        <w:rPr>
          <w:b/>
          <w:bCs/>
        </w:rPr>
        <w:t xml:space="preserve">. </w:t>
      </w:r>
      <w:r>
        <w:t xml:space="preserve">Operating point at τ</w:t>
      </w:r>
      <w:r>
        <w:rPr>
          <w:vertAlign w:val="subscript"/>
        </w:rPr>
        <w:t xml:space="preserve">low</w:t>
      </w:r>
      <w:r>
        <w:t xml:space="preserve"> (validation FPR ≤ 1%). False positives over seeds 42–44 (3 × 120 test covers) are implied by the reported mean test FPR (Suppl. Table S3); recall is the mean and range over the six test conditions.</w:t>
      </w:r>
    </w:p>
    <w:tbl>
      <w:tblPr>
        <w:tblW w:w="6918" w:type="dxa"/>
        <w:jc w:val="center"/>
        <w:tblBorders>
          <w:top w:val="single" w:sz="8" w:space="0" w:color="000000"/>
          <w:bottom w:val="single" w:sz="8" w:space="0" w:color="000000"/>
        </w:tblBorders>
        <w:tblLayout w:type="fixed"/>
        <w:tblCellMar>
          <w:top w:w="0" w:type="dxa"/>
          <w:left w:w="57" w:type="dxa"/>
          <w:bottom w:w="0" w:type="dxa"/>
          <w:right w:w="57" w:type="dxa"/>
        </w:tblCellMar>
        <w:tblLook w:val="0000"/>
      </w:tblPr>
      <w:tblGrid>
        <w:gridCol w:w="1450"/>
        <w:gridCol w:w="400"/>
        <w:gridCol w:w="1300"/>
        <w:gridCol w:w="1300"/>
        <w:gridCol w:w="1150"/>
        <w:gridCol w:w="1318"/>
      </w:tblGrid>
      <w:tr>
        <w:trPr>
          <w:cantSplit/>
          <w:tblHeader/>
        </w:trPr>
        <w:tc>
          <w:tcPr>
            <w:tcW w:w="1450" w:type="dxa"/>
            <w:tcBorders>
              <w:bottom w:val="single" w:sz="4" w:space="0" w:color="000000"/>
            </w:tcBorders>
            <w:vAlign w:val="center"/>
          </w:tcPr>
          <w:p>
            <w:pPr>
              <w:keepNext/>
              <w:spacing w:before="10" w:after="10" w:line="216" w:lineRule="auto"/>
              <w:ind w:firstLine="0"/>
              <w:jc w:val="left"/>
            </w:pPr>
            <w:r>
              <w:rPr>
                <w:b/>
                <w:bCs/>
                <w:sz w:val="17"/>
                <w:szCs w:val="17"/>
              </w:rPr>
              <w:t xml:space="preserve">Detector</w:t>
            </w:r>
          </w:p>
        </w:tc>
        <w:tc>
          <w:tcPr>
            <w:tcW w:w="400" w:type="dxa"/>
            <w:tcBorders>
              <w:bottom w:val="single" w:sz="4" w:space="0" w:color="000000"/>
            </w:tcBorders>
            <w:vAlign w:val="center"/>
          </w:tcPr>
          <w:p>
            <w:pPr>
              <w:keepNext/>
              <w:spacing w:before="10" w:after="10" w:line="216" w:lineRule="auto"/>
              <w:ind w:firstLine="0"/>
              <w:jc w:val="center"/>
            </w:pPr>
            <w:r>
              <w:rPr>
                <w:b/>
                <w:bCs/>
                <w:sz w:val="17"/>
                <w:szCs w:val="17"/>
              </w:rPr>
              <w:t xml:space="preserve">P</w:t>
            </w:r>
          </w:p>
        </w:tc>
        <w:tc>
          <w:tcPr>
            <w:tcW w:w="1300" w:type="dxa"/>
            <w:tcBorders>
              <w:bottom w:val="single" w:sz="4" w:space="0" w:color="000000"/>
            </w:tcBorders>
            <w:vAlign w:val="center"/>
          </w:tcPr>
          <w:p>
            <w:pPr>
              <w:keepNext/>
              <w:spacing w:before="10" w:after="10" w:line="216" w:lineRule="auto"/>
              <w:ind w:firstLine="0"/>
              <w:jc w:val="center"/>
            </w:pPr>
            <w:r>
              <w:rPr>
                <w:b/>
                <w:bCs/>
                <w:sz w:val="17"/>
                <w:szCs w:val="17"/>
              </w:rPr>
              <w:t xml:space="preserve">Test false positives</w:t>
            </w:r>
          </w:p>
        </w:tc>
        <w:tc>
          <w:tcPr>
            <w:tcW w:w="1300" w:type="dxa"/>
            <w:tcBorders>
              <w:bottom w:val="single" w:sz="4" w:space="0" w:color="000000"/>
            </w:tcBorders>
            <w:vAlign w:val="center"/>
          </w:tcPr>
          <w:p>
            <w:pPr>
              <w:keepNext/>
              <w:spacing w:before="10" w:after="10" w:line="216" w:lineRule="auto"/>
              <w:ind w:firstLine="0"/>
              <w:jc w:val="center"/>
            </w:pPr>
            <w:r>
              <w:rPr>
                <w:b/>
                <w:bCs/>
                <w:sz w:val="17"/>
                <w:szCs w:val="17"/>
              </w:rPr>
              <w:t xml:space="preserve">Observed test FPR</w:t>
            </w:r>
          </w:p>
        </w:tc>
        <w:tc>
          <w:tcPr>
            <w:tcW w:w="1150" w:type="dxa"/>
            <w:tcBorders>
              <w:bottom w:val="single" w:sz="4" w:space="0" w:color="000000"/>
            </w:tcBorders>
            <w:vAlign w:val="center"/>
          </w:tcPr>
          <w:p>
            <w:pPr>
              <w:keepNext/>
              <w:spacing w:before="10" w:after="10" w:line="216" w:lineRule="auto"/>
              <w:ind w:firstLine="0"/>
              <w:jc w:val="center"/>
            </w:pPr>
            <w:r>
              <w:rPr>
                <w:b/>
                <w:bCs/>
                <w:sz w:val="17"/>
                <w:szCs w:val="17"/>
              </w:rPr>
              <w:t xml:space="preserve">Mean recall</w:t>
            </w:r>
          </w:p>
        </w:tc>
        <w:tc>
          <w:tcPr>
            <w:tcW w:w="1318" w:type="dxa"/>
            <w:tcBorders>
              <w:bottom w:val="single" w:sz="4" w:space="0" w:color="000000"/>
            </w:tcBorders>
            <w:vAlign w:val="center"/>
          </w:tcPr>
          <w:p>
            <w:pPr>
              <w:keepNext/>
              <w:spacing w:before="10" w:after="10" w:line="216" w:lineRule="auto"/>
              <w:ind w:firstLine="0"/>
              <w:jc w:val="center"/>
            </w:pPr>
            <w:r>
              <w:rPr>
                <w:b/>
                <w:bCs/>
                <w:sz w:val="17"/>
                <w:szCs w:val="17"/>
              </w:rPr>
              <w:t xml:space="preserve">Recall range</w:t>
            </w:r>
          </w:p>
        </w:tc>
      </w:tr>
      <w:tr>
        <w:trPr>
          <w:cantSplit/>
        </w:trPr>
        <w:tc>
          <w:tcPr>
            <w:tcW w:w="1450" w:type="dxa"/>
            <w:vAlign w:val="center"/>
          </w:tcPr>
          <w:p>
            <w:pPr>
              <w:keepNext/>
              <w:spacing w:before="10" w:after="10" w:line="216" w:lineRule="auto"/>
              <w:ind w:firstLine="0"/>
              <w:jc w:val="left"/>
            </w:pPr>
            <w:r>
              <w:rPr>
                <w:sz w:val="17"/>
                <w:szCs w:val="17"/>
              </w:rPr>
              <w:t xml:space="preserve">Residual-LR</w:t>
            </w:r>
          </w:p>
        </w:tc>
        <w:tc>
          <w:tcPr>
            <w:tcW w:w="400" w:type="dxa"/>
            <w:vAlign w:val="center"/>
          </w:tcPr>
          <w:p>
            <w:pPr>
              <w:keepNext/>
              <w:spacing w:before="10" w:after="10" w:line="216" w:lineRule="auto"/>
              <w:ind w:firstLine="0"/>
              <w:jc w:val="center"/>
            </w:pPr>
            <w:r>
              <w:rPr>
                <w:sz w:val="17"/>
                <w:szCs w:val="17"/>
              </w:rPr>
              <w:t xml:space="preserve">P1</w:t>
            </w:r>
          </w:p>
        </w:tc>
        <w:tc>
          <w:tcPr>
            <w:tcW w:w="1300" w:type="dxa"/>
            <w:vAlign w:val="center"/>
          </w:tcPr>
          <w:p>
            <w:pPr>
              <w:keepNext/>
              <w:spacing w:before="10" w:after="10" w:line="216" w:lineRule="auto"/>
              <w:ind w:firstLine="0"/>
              <w:jc w:val="center"/>
            </w:pPr>
            <w:r>
              <w:rPr>
                <w:sz w:val="17"/>
                <w:szCs w:val="17"/>
              </w:rPr>
              <w:t xml:space="preserve">15/360</w:t>
            </w:r>
          </w:p>
        </w:tc>
        <w:tc>
          <w:tcPr>
            <w:tcW w:w="1300" w:type="dxa"/>
            <w:vAlign w:val="center"/>
          </w:tcPr>
          <w:p>
            <w:pPr>
              <w:keepNext/>
              <w:spacing w:before="10" w:after="10" w:line="216" w:lineRule="auto"/>
              <w:ind w:firstLine="0"/>
              <w:jc w:val="center"/>
            </w:pPr>
            <w:r>
              <w:rPr>
                <w:sz w:val="17"/>
                <w:szCs w:val="17"/>
              </w:rPr>
              <w:t xml:space="preserve">0.042</w:t>
            </w:r>
          </w:p>
        </w:tc>
        <w:tc>
          <w:tcPr>
            <w:tcW w:w="1150" w:type="dxa"/>
            <w:vAlign w:val="center"/>
          </w:tcPr>
          <w:p>
            <w:pPr>
              <w:keepNext/>
              <w:spacing w:before="10" w:after="10" w:line="216" w:lineRule="auto"/>
              <w:ind w:firstLine="0"/>
              <w:jc w:val="center"/>
            </w:pPr>
            <w:r>
              <w:rPr>
                <w:sz w:val="17"/>
                <w:szCs w:val="17"/>
              </w:rPr>
              <w:t xml:space="preserve">0.049</w:t>
            </w:r>
          </w:p>
        </w:tc>
        <w:tc>
          <w:tcPr>
            <w:tcW w:w="1318" w:type="dxa"/>
            <w:vAlign w:val="center"/>
          </w:tcPr>
          <w:p>
            <w:pPr>
              <w:keepNext/>
              <w:spacing w:before="10" w:after="10" w:line="216" w:lineRule="auto"/>
              <w:ind w:firstLine="0"/>
              <w:jc w:val="center"/>
            </w:pPr>
            <w:r>
              <w:rPr>
                <w:sz w:val="17"/>
                <w:szCs w:val="17"/>
              </w:rPr>
              <w:t xml:space="preserve">0.042–0.058</w:t>
            </w:r>
          </w:p>
        </w:tc>
      </w:tr>
      <w:tr>
        <w:trPr>
          <w:cantSplit/>
        </w:trPr>
        <w:tc>
          <w:tcPr>
            <w:tcW w:w="1450" w:type="dxa"/>
            <w:vAlign w:val="center"/>
          </w:tcPr>
          <w:p>
            <w:pPr>
              <w:keepNext/>
              <w:spacing w:before="10" w:after="10" w:line="216" w:lineRule="auto"/>
              <w:ind w:firstLine="0"/>
              <w:jc w:val="left"/>
            </w:pPr>
          </w:p>
        </w:tc>
        <w:tc>
          <w:tcPr>
            <w:tcW w:w="400" w:type="dxa"/>
            <w:vAlign w:val="center"/>
          </w:tcPr>
          <w:p>
            <w:pPr>
              <w:keepNext/>
              <w:spacing w:before="10" w:after="10" w:line="216" w:lineRule="auto"/>
              <w:ind w:firstLine="0"/>
              <w:jc w:val="center"/>
            </w:pPr>
            <w:r>
              <w:rPr>
                <w:sz w:val="17"/>
                <w:szCs w:val="17"/>
              </w:rPr>
              <w:t xml:space="preserve">P2</w:t>
            </w:r>
          </w:p>
        </w:tc>
        <w:tc>
          <w:tcPr>
            <w:tcW w:w="1300" w:type="dxa"/>
            <w:vAlign w:val="center"/>
          </w:tcPr>
          <w:p>
            <w:pPr>
              <w:keepNext/>
              <w:spacing w:before="10" w:after="10" w:line="216" w:lineRule="auto"/>
              <w:ind w:firstLine="0"/>
              <w:jc w:val="center"/>
            </w:pPr>
            <w:r>
              <w:rPr>
                <w:sz w:val="17"/>
                <w:szCs w:val="17"/>
              </w:rPr>
              <w:t xml:space="preserve">15/360</w:t>
            </w:r>
          </w:p>
        </w:tc>
        <w:tc>
          <w:tcPr>
            <w:tcW w:w="1300" w:type="dxa"/>
            <w:vAlign w:val="center"/>
          </w:tcPr>
          <w:p>
            <w:pPr>
              <w:keepNext/>
              <w:spacing w:before="10" w:after="10" w:line="216" w:lineRule="auto"/>
              <w:ind w:firstLine="0"/>
              <w:jc w:val="center"/>
            </w:pPr>
            <w:r>
              <w:rPr>
                <w:sz w:val="17"/>
                <w:szCs w:val="17"/>
              </w:rPr>
              <w:t xml:space="preserve">0.042</w:t>
            </w:r>
          </w:p>
        </w:tc>
        <w:tc>
          <w:tcPr>
            <w:tcW w:w="1150" w:type="dxa"/>
            <w:vAlign w:val="center"/>
          </w:tcPr>
          <w:p>
            <w:pPr>
              <w:keepNext/>
              <w:spacing w:before="10" w:after="10" w:line="216" w:lineRule="auto"/>
              <w:ind w:firstLine="0"/>
              <w:jc w:val="center"/>
            </w:pPr>
            <w:r>
              <w:rPr>
                <w:sz w:val="17"/>
                <w:szCs w:val="17"/>
              </w:rPr>
              <w:t xml:space="preserve">0.070</w:t>
            </w:r>
          </w:p>
        </w:tc>
        <w:tc>
          <w:tcPr>
            <w:tcW w:w="1318" w:type="dxa"/>
            <w:vAlign w:val="center"/>
          </w:tcPr>
          <w:p>
            <w:pPr>
              <w:keepNext/>
              <w:spacing w:before="10" w:after="10" w:line="216" w:lineRule="auto"/>
              <w:ind w:firstLine="0"/>
              <w:jc w:val="center"/>
            </w:pPr>
            <w:r>
              <w:rPr>
                <w:sz w:val="17"/>
                <w:szCs w:val="17"/>
              </w:rPr>
              <w:t xml:space="preserve">0.053–0.097</w:t>
            </w:r>
          </w:p>
        </w:tc>
      </w:tr>
      <w:tr>
        <w:trPr>
          <w:cantSplit/>
        </w:trPr>
        <w:tc>
          <w:tcPr>
            <w:tcW w:w="1450" w:type="dxa"/>
            <w:vAlign w:val="center"/>
          </w:tcPr>
          <w:p>
            <w:pPr>
              <w:keepNext/>
              <w:spacing w:before="10" w:after="10" w:line="216" w:lineRule="auto"/>
              <w:ind w:firstLine="0"/>
              <w:jc w:val="left"/>
            </w:pPr>
          </w:p>
        </w:tc>
        <w:tc>
          <w:tcPr>
            <w:tcW w:w="400" w:type="dxa"/>
            <w:vAlign w:val="center"/>
          </w:tcPr>
          <w:p>
            <w:pPr>
              <w:keepNext/>
              <w:spacing w:before="10" w:after="10" w:line="216" w:lineRule="auto"/>
              <w:ind w:firstLine="0"/>
              <w:jc w:val="center"/>
            </w:pPr>
            <w:r>
              <w:rPr>
                <w:sz w:val="17"/>
                <w:szCs w:val="17"/>
              </w:rPr>
              <w:t xml:space="preserve">P3</w:t>
            </w:r>
          </w:p>
        </w:tc>
        <w:tc>
          <w:tcPr>
            <w:tcW w:w="1300" w:type="dxa"/>
            <w:vAlign w:val="center"/>
          </w:tcPr>
          <w:p>
            <w:pPr>
              <w:keepNext/>
              <w:spacing w:before="10" w:after="10" w:line="216" w:lineRule="auto"/>
              <w:ind w:firstLine="0"/>
              <w:jc w:val="center"/>
            </w:pPr>
            <w:r>
              <w:rPr>
                <w:sz w:val="17"/>
                <w:szCs w:val="17"/>
              </w:rPr>
              <w:t xml:space="preserve">19/360</w:t>
            </w:r>
          </w:p>
        </w:tc>
        <w:tc>
          <w:tcPr>
            <w:tcW w:w="1300" w:type="dxa"/>
            <w:vAlign w:val="center"/>
          </w:tcPr>
          <w:p>
            <w:pPr>
              <w:keepNext/>
              <w:spacing w:before="10" w:after="10" w:line="216" w:lineRule="auto"/>
              <w:ind w:firstLine="0"/>
              <w:jc w:val="center"/>
            </w:pPr>
            <w:r>
              <w:rPr>
                <w:sz w:val="17"/>
                <w:szCs w:val="17"/>
              </w:rPr>
              <w:t xml:space="preserve">0.053</w:t>
            </w:r>
          </w:p>
        </w:tc>
        <w:tc>
          <w:tcPr>
            <w:tcW w:w="1150" w:type="dxa"/>
            <w:vAlign w:val="center"/>
          </w:tcPr>
          <w:p>
            <w:pPr>
              <w:keepNext/>
              <w:spacing w:before="10" w:after="10" w:line="216" w:lineRule="auto"/>
              <w:ind w:firstLine="0"/>
              <w:jc w:val="center"/>
            </w:pPr>
            <w:r>
              <w:rPr>
                <w:sz w:val="17"/>
                <w:szCs w:val="17"/>
              </w:rPr>
              <w:t xml:space="preserve">0.068</w:t>
            </w:r>
          </w:p>
        </w:tc>
        <w:tc>
          <w:tcPr>
            <w:tcW w:w="1318" w:type="dxa"/>
            <w:vAlign w:val="center"/>
          </w:tcPr>
          <w:p>
            <w:pPr>
              <w:keepNext/>
              <w:spacing w:before="10" w:after="10" w:line="216" w:lineRule="auto"/>
              <w:ind w:firstLine="0"/>
              <w:jc w:val="center"/>
            </w:pPr>
            <w:r>
              <w:rPr>
                <w:sz w:val="17"/>
                <w:szCs w:val="17"/>
              </w:rPr>
              <w:t xml:space="preserve">0.056–0.092</w:t>
            </w:r>
          </w:p>
        </w:tc>
      </w:tr>
      <w:tr>
        <w:trPr>
          <w:cantSplit/>
        </w:trPr>
        <w:tc>
          <w:tcPr>
            <w:tcW w:w="1450" w:type="dxa"/>
            <w:tcBorders>
              <w:top w:val="single" w:sz="4" w:space="0" w:color="000000"/>
            </w:tcBorders>
            <w:vAlign w:val="center"/>
          </w:tcPr>
          <w:p>
            <w:pPr>
              <w:keepNext/>
              <w:spacing w:before="10" w:after="10" w:line="216" w:lineRule="auto"/>
              <w:ind w:firstLine="0"/>
              <w:jc w:val="left"/>
            </w:pPr>
            <w:r>
              <w:rPr>
                <w:sz w:val="17"/>
                <w:szCs w:val="17"/>
              </w:rPr>
              <w:t xml:space="preserve">SRM+Ensemble</w:t>
            </w:r>
          </w:p>
        </w:tc>
        <w:tc>
          <w:tcPr>
            <w:tcW w:w="400" w:type="dxa"/>
            <w:tcBorders>
              <w:top w:val="single" w:sz="4" w:space="0" w:color="000000"/>
            </w:tcBorders>
            <w:vAlign w:val="center"/>
          </w:tcPr>
          <w:p>
            <w:pPr>
              <w:keepNext/>
              <w:spacing w:before="10" w:after="10" w:line="216" w:lineRule="auto"/>
              <w:ind w:firstLine="0"/>
              <w:jc w:val="center"/>
            </w:pPr>
            <w:r>
              <w:rPr>
                <w:sz w:val="17"/>
                <w:szCs w:val="17"/>
              </w:rPr>
              <w:t xml:space="preserve">P1</w:t>
            </w:r>
          </w:p>
        </w:tc>
        <w:tc>
          <w:tcPr>
            <w:tcW w:w="1300" w:type="dxa"/>
            <w:tcBorders>
              <w:top w:val="single" w:sz="4" w:space="0" w:color="000000"/>
            </w:tcBorders>
            <w:vAlign w:val="center"/>
          </w:tcPr>
          <w:p>
            <w:pPr>
              <w:keepNext/>
              <w:spacing w:before="10" w:after="10" w:line="216" w:lineRule="auto"/>
              <w:ind w:firstLine="0"/>
              <w:jc w:val="center"/>
            </w:pPr>
            <w:r>
              <w:rPr>
                <w:sz w:val="17"/>
                <w:szCs w:val="17"/>
              </w:rPr>
              <w:t xml:space="preserve">18/360</w:t>
            </w:r>
          </w:p>
        </w:tc>
        <w:tc>
          <w:tcPr>
            <w:tcW w:w="1300" w:type="dxa"/>
            <w:tcBorders>
              <w:top w:val="single" w:sz="4" w:space="0" w:color="000000"/>
            </w:tcBorders>
            <w:vAlign w:val="center"/>
          </w:tcPr>
          <w:p>
            <w:pPr>
              <w:keepNext/>
              <w:spacing w:before="10" w:after="10" w:line="216" w:lineRule="auto"/>
              <w:ind w:firstLine="0"/>
              <w:jc w:val="center"/>
            </w:pPr>
            <w:r>
              <w:rPr>
                <w:sz w:val="17"/>
                <w:szCs w:val="17"/>
              </w:rPr>
              <w:t xml:space="preserve">0.050</w:t>
            </w:r>
          </w:p>
        </w:tc>
        <w:tc>
          <w:tcPr>
            <w:tcW w:w="1150" w:type="dxa"/>
            <w:tcBorders>
              <w:top w:val="single" w:sz="4" w:space="0" w:color="000000"/>
            </w:tcBorders>
            <w:vAlign w:val="center"/>
          </w:tcPr>
          <w:p>
            <w:pPr>
              <w:keepNext/>
              <w:spacing w:before="10" w:after="10" w:line="216" w:lineRule="auto"/>
              <w:ind w:firstLine="0"/>
              <w:jc w:val="center"/>
            </w:pPr>
            <w:r>
              <w:rPr>
                <w:sz w:val="17"/>
                <w:szCs w:val="17"/>
              </w:rPr>
              <w:t xml:space="preserve">0.097</w:t>
            </w:r>
          </w:p>
        </w:tc>
        <w:tc>
          <w:tcPr>
            <w:tcW w:w="1318" w:type="dxa"/>
            <w:tcBorders>
              <w:top w:val="single" w:sz="4" w:space="0" w:color="000000"/>
            </w:tcBorders>
            <w:vAlign w:val="center"/>
          </w:tcPr>
          <w:p>
            <w:pPr>
              <w:keepNext/>
              <w:spacing w:before="10" w:after="10" w:line="216" w:lineRule="auto"/>
              <w:ind w:firstLine="0"/>
              <w:jc w:val="center"/>
            </w:pPr>
            <w:r>
              <w:rPr>
                <w:sz w:val="17"/>
                <w:szCs w:val="17"/>
              </w:rPr>
              <w:t xml:space="preserve">0.053–0.189</w:t>
            </w:r>
          </w:p>
        </w:tc>
      </w:tr>
      <w:tr>
        <w:trPr>
          <w:cantSplit/>
        </w:trPr>
        <w:tc>
          <w:tcPr>
            <w:tcW w:w="1450" w:type="dxa"/>
            <w:vAlign w:val="center"/>
          </w:tcPr>
          <w:p>
            <w:pPr>
              <w:keepNext/>
              <w:spacing w:before="10" w:after="10" w:line="216" w:lineRule="auto"/>
              <w:ind w:firstLine="0"/>
              <w:jc w:val="left"/>
            </w:pPr>
          </w:p>
        </w:tc>
        <w:tc>
          <w:tcPr>
            <w:tcW w:w="400" w:type="dxa"/>
            <w:vAlign w:val="center"/>
          </w:tcPr>
          <w:p>
            <w:pPr>
              <w:keepNext/>
              <w:spacing w:before="10" w:after="10" w:line="216" w:lineRule="auto"/>
              <w:ind w:firstLine="0"/>
              <w:jc w:val="center"/>
            </w:pPr>
            <w:r>
              <w:rPr>
                <w:sz w:val="17"/>
                <w:szCs w:val="17"/>
              </w:rPr>
              <w:t xml:space="preserve">P2</w:t>
            </w:r>
          </w:p>
        </w:tc>
        <w:tc>
          <w:tcPr>
            <w:tcW w:w="1300" w:type="dxa"/>
            <w:vAlign w:val="center"/>
          </w:tcPr>
          <w:p>
            <w:pPr>
              <w:keepNext/>
              <w:spacing w:before="10" w:after="10" w:line="216" w:lineRule="auto"/>
              <w:ind w:firstLine="0"/>
              <w:jc w:val="center"/>
            </w:pPr>
            <w:r>
              <w:rPr>
                <w:sz w:val="17"/>
                <w:szCs w:val="17"/>
              </w:rPr>
              <w:t xml:space="preserve">11/360</w:t>
            </w:r>
          </w:p>
        </w:tc>
        <w:tc>
          <w:tcPr>
            <w:tcW w:w="1300" w:type="dxa"/>
            <w:vAlign w:val="center"/>
          </w:tcPr>
          <w:p>
            <w:pPr>
              <w:keepNext/>
              <w:spacing w:before="10" w:after="10" w:line="216" w:lineRule="auto"/>
              <w:ind w:firstLine="0"/>
              <w:jc w:val="center"/>
            </w:pPr>
            <w:r>
              <w:rPr>
                <w:sz w:val="17"/>
                <w:szCs w:val="17"/>
              </w:rPr>
              <w:t xml:space="preserve">0.031</w:t>
            </w:r>
          </w:p>
        </w:tc>
        <w:tc>
          <w:tcPr>
            <w:tcW w:w="1150" w:type="dxa"/>
            <w:vAlign w:val="center"/>
          </w:tcPr>
          <w:p>
            <w:pPr>
              <w:keepNext/>
              <w:spacing w:before="10" w:after="10" w:line="216" w:lineRule="auto"/>
              <w:ind w:firstLine="0"/>
              <w:jc w:val="center"/>
            </w:pPr>
            <w:r>
              <w:rPr>
                <w:sz w:val="17"/>
                <w:szCs w:val="17"/>
              </w:rPr>
              <w:t xml:space="preserve">0.070</w:t>
            </w:r>
          </w:p>
        </w:tc>
        <w:tc>
          <w:tcPr>
            <w:tcW w:w="1318" w:type="dxa"/>
            <w:vAlign w:val="center"/>
          </w:tcPr>
          <w:p>
            <w:pPr>
              <w:keepNext/>
              <w:spacing w:before="10" w:after="10" w:line="216" w:lineRule="auto"/>
              <w:ind w:firstLine="0"/>
              <w:jc w:val="center"/>
            </w:pPr>
            <w:r>
              <w:rPr>
                <w:sz w:val="17"/>
                <w:szCs w:val="17"/>
              </w:rPr>
              <w:t xml:space="preserve">0.025–0.156</w:t>
            </w:r>
          </w:p>
        </w:tc>
      </w:tr>
      <w:tr>
        <w:trPr>
          <w:cantSplit/>
        </w:trPr>
        <w:tc>
          <w:tcPr>
            <w:tcW w:w="1450" w:type="dxa"/>
            <w:vAlign w:val="center"/>
          </w:tcPr>
          <w:p>
            <w:pPr>
              <w:keepNext/>
              <w:spacing w:before="10" w:after="10" w:line="216" w:lineRule="auto"/>
              <w:ind w:firstLine="0"/>
              <w:jc w:val="left"/>
            </w:pPr>
          </w:p>
        </w:tc>
        <w:tc>
          <w:tcPr>
            <w:tcW w:w="400" w:type="dxa"/>
            <w:vAlign w:val="center"/>
          </w:tcPr>
          <w:p>
            <w:pPr>
              <w:keepNext/>
              <w:spacing w:before="10" w:after="10" w:line="216" w:lineRule="auto"/>
              <w:ind w:firstLine="0"/>
              <w:jc w:val="center"/>
            </w:pPr>
            <w:r>
              <w:rPr>
                <w:sz w:val="17"/>
                <w:szCs w:val="17"/>
              </w:rPr>
              <w:t xml:space="preserve">P3</w:t>
            </w:r>
          </w:p>
        </w:tc>
        <w:tc>
          <w:tcPr>
            <w:tcW w:w="1300" w:type="dxa"/>
            <w:vAlign w:val="center"/>
          </w:tcPr>
          <w:p>
            <w:pPr>
              <w:keepNext/>
              <w:spacing w:before="10" w:after="10" w:line="216" w:lineRule="auto"/>
              <w:ind w:firstLine="0"/>
              <w:jc w:val="center"/>
            </w:pPr>
            <w:r>
              <w:rPr>
                <w:sz w:val="17"/>
                <w:szCs w:val="17"/>
              </w:rPr>
              <w:t xml:space="preserve">8/360</w:t>
            </w:r>
          </w:p>
        </w:tc>
        <w:tc>
          <w:tcPr>
            <w:tcW w:w="1300" w:type="dxa"/>
            <w:vAlign w:val="center"/>
          </w:tcPr>
          <w:p>
            <w:pPr>
              <w:keepNext/>
              <w:spacing w:before="10" w:after="10" w:line="216" w:lineRule="auto"/>
              <w:ind w:firstLine="0"/>
              <w:jc w:val="center"/>
            </w:pPr>
            <w:r>
              <w:rPr>
                <w:sz w:val="17"/>
                <w:szCs w:val="17"/>
              </w:rPr>
              <w:t xml:space="preserve">0.022</w:t>
            </w:r>
          </w:p>
        </w:tc>
        <w:tc>
          <w:tcPr>
            <w:tcW w:w="1150" w:type="dxa"/>
            <w:vAlign w:val="center"/>
          </w:tcPr>
          <w:p>
            <w:pPr>
              <w:keepNext/>
              <w:spacing w:before="10" w:after="10" w:line="216" w:lineRule="auto"/>
              <w:ind w:firstLine="0"/>
              <w:jc w:val="center"/>
            </w:pPr>
            <w:r>
              <w:rPr>
                <w:sz w:val="17"/>
                <w:szCs w:val="17"/>
              </w:rPr>
              <w:t xml:space="preserve">0.075</w:t>
            </w:r>
          </w:p>
        </w:tc>
        <w:tc>
          <w:tcPr>
            <w:tcW w:w="1318" w:type="dxa"/>
            <w:vAlign w:val="center"/>
          </w:tcPr>
          <w:p>
            <w:pPr>
              <w:keepNext/>
              <w:spacing w:before="10" w:after="10" w:line="216" w:lineRule="auto"/>
              <w:ind w:firstLine="0"/>
              <w:jc w:val="center"/>
            </w:pPr>
            <w:r>
              <w:rPr>
                <w:sz w:val="17"/>
                <w:szCs w:val="17"/>
              </w:rPr>
              <w:t xml:space="preserve">0.019–0.147</w:t>
            </w:r>
          </w:p>
        </w:tc>
      </w:tr>
      <w:tr>
        <w:trPr>
          <w:cantSplit/>
        </w:trPr>
        <w:tc>
          <w:tcPr>
            <w:tcW w:w="6918" w:type="dxa"/>
            <w:gridSpan w:val="6"/>
            <w:tcBorders>
              <w:top w:val="single" w:sz="4" w:space="0" w:color="000000"/>
            </w:tcBorders>
          </w:tcPr>
          <w:p>
            <w:pPr>
              <w:keepNext/>
              <w:spacing w:before="30" w:after="10" w:line="216" w:lineRule="auto"/>
              <w:ind w:firstLine="0"/>
              <w:jc w:val="left"/>
            </w:pPr>
            <w:r>
              <w:rPr>
                <w:i/>
                <w:iCs/>
                <w:sz w:val="17"/>
                <w:szCs w:val="17"/>
              </w:rPr>
              <w:t xml:space="preserve">Pooled: Residual-LR 49/1,080 (FPR 0.045, mean recall 0.062); SRM+Ensemble 37/1,080 (FPR 0.034, mean recall 0.080)</w:t>
            </w:r>
          </w:p>
        </w:tc>
      </w:tr>
    </w:tbl>
    <w:p>
      <w:pPr>
        <w:spacing w:before="0" w:after="0" w:line="120" w:lineRule="exact"/>
      </w:pPr>
    </w:p>
    <w:p>
      <w:pPr>
        <w:pStyle w:val="p1a"/>
      </w:pPr>
      <w:r>
        <w:t xml:space="preserve">Even the best cell, SRM+Ensemble on matched WOW 0.4 under P1, reached a recall of only 0.189 at a test FPR of 0.050. Each detector has 54 evaluation rows (3 protocols × 3 seeds × 6 conditions); in none of them were recall and FPR both zero, so the detectors were never completely silent. The rows hold 6,480 stego scores per detector, but these come from 720 distinct test stego images of 120 source covers and are repeated measurements, not 6,480 independent samples. The detectors thus did not demonstrate reliable operation at FPR ≤ 1%, and the results do not support deployment in an operational screening system.</w:t>
      </w:r>
    </w:p>
    <w:p>
      <w:pPr>
        <w:pStyle w:val="heading2"/>
      </w:pPr>
      <w:r>
        <w:t xml:space="preserve">Discussion and Security Implications</w:t>
      </w:r>
    </w:p>
    <w:p>
      <w:pPr>
        <w:pStyle w:val="p1a"/>
      </w:pPr>
      <w:r>
        <w:rPr>
          <w:i/>
          <w:iCs/>
        </w:rPr>
        <w:t xml:space="preserve">Observed evidence.</w:t>
      </w:r>
      <w:r>
        <w:t xml:space="preserve"> SRM+Ensemble lost AUC when moving from matched WOW to unseen HILL. This agrees in direction with the largest loss for held-out HILL reported for SRNet </w:t>
      </w:r>
      <w:r>
        <w:t xml:space="preserve">[13]</w:t>
      </w:r>
      <w:r>
        <w:t xml:space="preserve">, although that study trained on three algorithms and about 28,000 images rather than one algorithm and 720 images. Mixing payloads at a fixed training size gave no reliable improvement on HILL; Butora and Fridrich likewise found in preliminary tests that a random mixture of payloads trained no better than a single mid payload </w:t>
      </w:r>
      <w:r>
        <w:t xml:space="preserve">[13]</w:t>
      </w:r>
      <w:r>
        <w:t xml:space="preserve">. SRM+Ensemble was far weaker at 0.1 bpp and the near-chance Residual-LR slightly weaker, in line with the payload dependence reported for SRM and SRNet </w:t>
      </w:r>
      <w:r>
        <w:t xml:space="preserve">[6, 9]</w:t>
      </w:r>
      <w:r>
        <w:t xml:space="preserve">. The observed test FPR exceeded the validation target in every cell; </w:t>
      </w:r>
      <w:r>
        <w:t xml:space="preserve">[18]</w:t>
      </w:r>
      <w:r>
        <w:t xml:space="preserve"> likewise cautions that low-FPR estimates from 2,000 test images are noisy, and here the threshold rests on only 120 validation covers.</w:t>
      </w:r>
    </w:p>
    <w:p>
      <w:pPr>
        <w:pStyle w:val="p1a"/>
      </w:pPr>
      <w:r>
        <w:rPr>
          <w:i/>
          <w:iCs/>
        </w:rPr>
        <w:t xml:space="preserve">Possible explanations.</w:t>
      </w:r>
      <w:r>
        <w:t xml:space="preserve"> The higher intrinsic security of HILL </w:t>
      </w:r>
      <w:r>
        <w:t xml:space="preserve">[4]</w:t>
      </w:r>
      <w:r>
        <w:t xml:space="preserve">, the small training set and the resizing to 256 × 256 may contribute to these AUC losses; none of them was tested here.</w:t>
      </w:r>
    </w:p>
    <w:p>
      <w:pPr/>
      <w:r>
        <w:t xml:space="preserve">For a defender, ranking quality and operational usefulness diverge: an AUC of 0.71 still meant missing over 80% of stego images at a threshold meant to keep false alarms near 1%. For an adversary, lowering the payload to 0.1 bpp, or using HILL against WOW-trained SRM+Ensemble, was enough to weaken detection. The main limits are the dataset size (600 covers, one split, so the intervals are conditional on that partition), the resizing to 256 × 256, detector strength (two feature-based detectors, one near chance, and no matched HILL reference) and generalization (one cover source, and a 1% threshold calibrated on 120 covers).</w:t>
      </w:r>
    </w:p>
    <w:p>
      <w:pPr>
        <w:pStyle w:val="heading1"/>
      </w:pPr>
      <w:r>
        <w:t xml:space="preserve">Conclusion</w:t>
      </w:r>
    </w:p>
    <w:p>
      <w:pPr>
        <w:pStyle w:val="p1a"/>
      </w:pPr>
      <w:r>
        <w:t xml:space="preserve">With the source-cover split fixed before embedding, the three research questions received different answers. For RQ1, SRM+Ensemble trained on WOW at 0.4 bpp detected unseen HILL less well than matched WOW (ΔAUC = −0.070, 95% CI [−0.093, −0.046]), although this loss cannot be separated from HILL being harder to detect. For RQ2, adding 0.1 bpp variants to the training pool gave no reliable improvement on unseen HILL. For RQ3, all 18 comparisons showed lower AUC at 0.1 than at 0.4 bpp, and SRM+Ensemble came close to chance at the lower payload.</w:t>
      </w:r>
    </w:p>
    <w:p>
      <w:pPr/>
      <w:r>
        <w:t xml:space="preserve">These conclusions are limited to 600 BOSSbase covers resized to 256 × 256 and to two feature-based detectors, one of them close to chance. The 1% operating point was calibrated on 120 validation covers and was not met on test covers, and no cross-source data were evaluated.</w:t>
      </w:r>
    </w:p>
    <w:p>
      <w:pPr/>
      <w:r>
        <w:t xml:space="preserve">Future work will use the full BOSSbase at its original resolution, add stronger detectors such as SRNet under the same split, include a matched HILL reference and test cover-source shift. StegaGuard is a controlled evaluation study rather than a new detector, and the results do not indicate readiness for deployment.</w:t>
      </w:r>
    </w:p>
    <w:p>
      <w:pPr>
        <w:pStyle w:val="heading1"/>
        <w:numPr>
          <w:ilvl w:val="0"/>
          <w:numId w:val="0"/>
        </w:numPr>
      </w:pPr>
      <w:r>
        <w:t xml:space="preserve">References</w:t>
      </w:r>
    </w:p>
    <w:p>
      <w:pPr>
        <w:pStyle w:val="referenceitem"/>
        <w:spacing w:before="0" w:after="0"/>
        <w:jc w:val="left"/>
      </w:pPr>
      <w:r>
        <w:t xml:space="preserve">Filler, T., Judas, J., Fridrich, J.: Minimizing additive distortion in steganography using syndrome-trellis codes. IEEE Trans. Inf. Forensics Secur. 6(3), 920–935 (2011). https://doi.org/10.1109/TIFS.2011.2134094</w:t>
      </w:r>
    </w:p>
    <w:p>
      <w:pPr>
        <w:pStyle w:val="referenceitem"/>
        <w:spacing w:before="0" w:after="0"/>
        <w:jc w:val="left"/>
      </w:pPr>
      <w:r>
        <w:t xml:space="preserve">Holub, V., Fridrich, J.: Designing steganographic distortion using directional filters. In: 2012 IEEE International Workshop on Information Forensics and Security (WIFS), pp. 234–239. IEEE (2012). https://doi.org/10.1109/WIFS.2012.6412655</w:t>
      </w:r>
    </w:p>
    <w:p>
      <w:pPr>
        <w:pStyle w:val="referenceitem"/>
        <w:spacing w:before="0" w:after="0"/>
        <w:jc w:val="left"/>
      </w:pPr>
      <w:r>
        <w:t xml:space="preserve">Holub, V., Fridrich, J., Denemark, T.: Universal distortion function for steganography in an arbitrary domain. EURASIP J. Inf. Secur. 2014, 1 (2014). https://doi.org/10.1186/1687-417X-2014-1</w:t>
      </w:r>
    </w:p>
    <w:p>
      <w:pPr>
        <w:pStyle w:val="referenceitem"/>
        <w:spacing w:before="0" w:after="0"/>
        <w:jc w:val="left"/>
      </w:pPr>
      <w:r>
        <w:t xml:space="preserve">Li, B., Wang, M., Huang, J., Li, X.: A new cost function for spatial image steganography. In: 2014 IEEE International Conference on Image Processing (ICIP), pp. 4206–4210. IEEE (2014). https://doi.org/10.1109/ICIP.2014.7025854</w:t>
      </w:r>
    </w:p>
    <w:p>
      <w:pPr>
        <w:pStyle w:val="referenceitem"/>
        <w:spacing w:before="0" w:after="0"/>
        <w:jc w:val="left"/>
      </w:pPr>
      <w:r>
        <w:t xml:space="preserve">Pevný, T., Bas, P., Fridrich, J.: Steganalysis by subtractive pixel adjacency matrix. IEEE Trans. Inf. Forensics Secur. 5(2), 215–224 (2010). https://doi.org/10.1109/TIFS.2010.2045842</w:t>
      </w:r>
    </w:p>
    <w:p>
      <w:pPr>
        <w:pStyle w:val="referenceitem"/>
        <w:spacing w:before="0" w:after="0"/>
        <w:jc w:val="left"/>
      </w:pPr>
      <w:r>
        <w:t xml:space="preserve">Fridrich, J., Kodovský, J.: Rich models for steganalysis of digital images. IEEE Trans. Inf. Forensics Secur. 7(3), 868–882 (2012). https://doi.org/10.1109/TIFS.2012.2190402</w:t>
      </w:r>
    </w:p>
    <w:p>
      <w:pPr>
        <w:pStyle w:val="referenceitem"/>
        <w:spacing w:before="0" w:after="0"/>
        <w:jc w:val="left"/>
      </w:pPr>
      <w:r>
        <w:t xml:space="preserve">Kodovský, J., Fridrich, J., Holub, V.: Ensemble classifiers for steganalysis of digital media. IEEE Trans. Inf. Forensics Secur. 7(2), 432–444 (2012). https://doi.org/10.1109/TIFS.2011.2175919</w:t>
      </w:r>
    </w:p>
    <w:p>
      <w:pPr>
        <w:pStyle w:val="referenceitem"/>
        <w:spacing w:before="0" w:after="0"/>
        <w:jc w:val="left"/>
      </w:pPr>
      <w:r>
        <w:t xml:space="preserve">Yedroudj, M., Comby, F., Chaumont, M.: Yedroudj-Net: An efficient CNN for spatial steganalysis. In: 2018 IEEE International Conference on Acoustics, Speech and Signal Processing (ICASSP), pp. 2092–2096. IEEE (2018). https://doi.org/10.1109/ICASSP.2018.8461438</w:t>
      </w:r>
    </w:p>
    <w:p>
      <w:pPr>
        <w:pStyle w:val="referenceitem"/>
        <w:spacing w:before="0" w:after="0"/>
        <w:jc w:val="left"/>
      </w:pPr>
      <w:r>
        <w:t xml:space="preserve">Boroumand, M., Chen, M., Fridrich, J.: Deep residual network for steganalysis of digital images. IEEE Trans. Inf. Forensics Secur. 14(5), 1181–1193 (2019). https://doi.org/10.1109/TIFS.2018.2871749</w:t>
      </w:r>
    </w:p>
    <w:p>
      <w:pPr>
        <w:pStyle w:val="referenceitem"/>
        <w:spacing w:before="0" w:after="0"/>
        <w:jc w:val="left"/>
      </w:pPr>
      <w:r>
        <w:t xml:space="preserve">Kodovský, J., Sedighi, V., Fridrich, J.: Study of cover source mismatch in steganalysis and ways to mitigate its impact. In: Media Watermarking, Security, and Forensics 2014. Proc. SPIE, vol. 9028, p. 90280J. SPIE (2014). https://doi.org/10.1117/12.2039693</w:t>
      </w:r>
    </w:p>
    <w:p>
      <w:pPr>
        <w:pStyle w:val="referenceitem"/>
        <w:spacing w:before="0" w:after="0"/>
        <w:jc w:val="left"/>
      </w:pPr>
      <w:r>
        <w:t xml:space="preserve">Giboulot, Q., Cogranne, R., Borghys, D., Bas, P.: Effects and solutions of cover-source mismatch in image steganalysis. Signal Process. Image Commun. 86, 115888 (2020). https://doi.org/10.1016/j.image.2020.115888</w:t>
      </w:r>
    </w:p>
    <w:p>
      <w:pPr>
        <w:pStyle w:val="referenceitem"/>
        <w:spacing w:before="0" w:after="0"/>
        <w:jc w:val="left"/>
      </w:pPr>
      <w:r>
        <w:t xml:space="preserve">Mallet, A., Beneš, M., Cogranne, R.: Cover-source mismatch in steganalysis: systematic review. EURASIP J. Inf. Secur. 2024, 26 (2024). https://doi.org/10.1186/s13635-024-00171-6</w:t>
      </w:r>
    </w:p>
    <w:p>
      <w:pPr>
        <w:pStyle w:val="referenceitem"/>
        <w:spacing w:before="0" w:after="0"/>
        <w:jc w:val="left"/>
      </w:pPr>
      <w:r>
        <w:t xml:space="preserve">Butora, J., Fridrich, J.: Detection of diversified stego sources with CNNs. In: IS&amp;T Electronic Imaging, Media Watermarking, Security, and Forensics 2019, paper MWSF-534 (2019). https://doi.org/10.2352/ISSN.2470-1173.2019.5.MWSF-534</w:t>
      </w:r>
    </w:p>
    <w:p>
      <w:pPr>
        <w:pStyle w:val="referenceitem"/>
        <w:spacing w:before="0" w:after="0"/>
        <w:jc w:val="left"/>
      </w:pPr>
      <w:r>
        <w:t xml:space="preserve">Wang, F., Fu, Z., Zhang, X., Li, Z., He, Z., Wang, M.: Pair-wise confidence difference-based pseudo-label selection for universal mismatched steganalysis. In: Proceedings of the 33rd ACM International Conference on Multimedia (MM ’25), pp. 8673–8681. ACM (2025). https://doi.org/10.1145/3746027.3755614</w:t>
      </w:r>
    </w:p>
    <w:p>
      <w:pPr>
        <w:pStyle w:val="referenceitem"/>
        <w:spacing w:before="0" w:after="0"/>
        <w:jc w:val="left"/>
      </w:pPr>
      <w:r>
        <w:t xml:space="preserve">Yu, L., Li, Y., Weng, S., Tian, H., Liu, J.: Adaptive multi-teacher softened relational knowledge distillation framework for payload mismatch in image steganalysis. J. Vis. Commun. Image Represent. 95, 103900 (2023). https://doi.org/10.1016/j.jvcir.2023.103900</w:t>
      </w:r>
    </w:p>
    <w:p>
      <w:pPr>
        <w:pStyle w:val="referenceitem"/>
        <w:spacing w:before="0" w:after="0"/>
        <w:jc w:val="left"/>
      </w:pPr>
      <w:r>
        <w:t xml:space="preserve">Cogranne, R., Giboulot, Q., Bas, P.: The ALASKA steganalysis challenge: A first step towards steganalysis “into the wild”. In: Proceedings of the ACM Workshop on Information Hiding and Multimedia Security (IH&amp;MMSec ’19), pp. 125–137. ACM (2019). https://doi.org/10.1145/3335203.3335726</w:t>
      </w:r>
    </w:p>
    <w:p>
      <w:pPr>
        <w:pStyle w:val="referenceitem"/>
        <w:spacing w:before="0" w:after="0"/>
        <w:jc w:val="left"/>
      </w:pPr>
      <w:r>
        <w:t xml:space="preserve">Cogranne, R., Fridrich, J.: Modeling and extending the ensemble classifier for steganalysis of digital images using hypothesis testing theory. IEEE Trans. Inf. Forensics Secur. 10(12), 2627–2642 (2015). https://doi.org/10.1109/TIFS.2015.2470220</w:t>
      </w:r>
    </w:p>
    <w:p>
      <w:pPr>
        <w:pStyle w:val="referenceitem"/>
        <w:spacing w:before="0" w:after="0"/>
        <w:jc w:val="left"/>
      </w:pPr>
      <w:r>
        <w:t xml:space="preserve">Butora, J., Bas, P.: MODE: Loss function for deep steganalysis at low false positive rate. In: 33rd European Signal Processing Conference (EUSIPCO 2025), Palermo, Italy (2025)</w:t>
      </w:r>
    </w:p>
    <w:p>
      <w:pPr>
        <w:pStyle w:val="referenceitem"/>
        <w:spacing w:before="0" w:after="0"/>
        <w:jc w:val="left"/>
      </w:pPr>
      <w:r>
        <w:t xml:space="preserve">Bas, P., Filler, T., Pevný, T.: “Break our steganographic system”: The ins and outs of organizing BOSS. In: Information Hiding, IH 2011. LNCS, vol. 6958, pp. 59–70. Springer, Heidelberg (2011). https://doi.org/10.1007/978-3-642-24178-9_5</w:t>
      </w:r>
    </w:p>
    <w:p>
      <w:pPr>
        <w:pStyle w:val="referenceitem"/>
        <w:spacing w:before="0" w:after="0"/>
        <w:jc w:val="left"/>
      </w:pPr>
      <w:r>
        <w:t xml:space="preserve">Pedregosa, F., et al.: Scikit-learn: Machine learning in Python. J. Mach. Learn. Res. 12, 2825–2830 (2011)</w:t>
      </w:r>
    </w:p>
    <w:p>
      <w:pPr>
        <w:pStyle w:val="referenceitem"/>
        <w:spacing w:before="0" w:after="0"/>
        <w:jc w:val="left"/>
      </w:pPr>
      <w:r>
        <w:t xml:space="preserve">Beneš, M., Lorch, B.: sealwatch: Python package for image steganalysis. University of Innsbruck (2024). https://github.com/uibk-uncover/sealwatch</w:t>
      </w:r>
    </w:p>
    <w:sectPr>
      <w:pgSz w:w="11906" w:h="16838" w:code="9"/>
      <w:pgMar w:top="2948" w:right="2494" w:bottom="2948" w:left="2494" w:header="2381" w:footer="2324" w:gutter="0"/>
      <w:cols w:space="227"/>
      <w:titlePg/>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34C73F" w14:textId="77777777" w:rsidR="008A7142" w:rsidRDefault="008A7142">
      <w:r>
        <w:separator/>
      </w:r>
    </w:p>
  </w:endnote>
  <w:endnote w:type="continuationSeparator" w:id="0">
    <w:p w14:paraId="1C159D41" w14:textId="77777777" w:rsidR="008A7142" w:rsidRDefault="008A7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w:panose1 w:val="02070409020205020404"/>
    <w:charset w:val="00"/>
    <w:family w:val="modern"/>
    <w:pitch w:val="default"/>
    <w:sig w:usb0="00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A3"/>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8E4EC" w14:textId="77777777" w:rsidR="008A7142" w:rsidRDefault="008A7142" w:rsidP="009F7FCE">
      <w:pPr>
        <w:ind w:firstLine="0"/>
      </w:pPr>
      <w:r>
        <w:separator/>
      </w:r>
    </w:p>
  </w:footnote>
  <w:footnote w:type="continuationSeparator" w:id="0">
    <w:p w14:paraId="6BE2E374" w14:textId="77777777" w:rsidR="008A7142" w:rsidRDefault="008A7142" w:rsidP="009F7FCE">
      <w:pPr>
        <w:ind w:firstLine="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143F0"/>
    <w:multiLevelType w:val="multilevel"/>
    <w:tmpl w:val="23FAB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615DA"/>
    <w:multiLevelType w:val="hybridMultilevel"/>
    <w:tmpl w:val="EF62294E"/>
    <w:lvl w:ilvl="0" w:tplc="EDD251C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C83E9F"/>
    <w:multiLevelType w:val="hybridMultilevel"/>
    <w:tmpl w:val="4EB041D0"/>
    <w:lvl w:ilvl="0" w:tplc="EDD251C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233AB9"/>
    <w:multiLevelType w:val="multilevel"/>
    <w:tmpl w:val="036A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F05CD7"/>
    <w:multiLevelType w:val="hybridMultilevel"/>
    <w:tmpl w:val="2D80175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231A45"/>
    <w:multiLevelType w:val="hybridMultilevel"/>
    <w:tmpl w:val="12F6BF38"/>
    <w:lvl w:ilvl="0" w:tplc="EDD251C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7" w15:restartNumberingAfterBreak="0">
    <w:nsid w:val="1FD866CB"/>
    <w:multiLevelType w:val="hybridMultilevel"/>
    <w:tmpl w:val="693CA286"/>
    <w:lvl w:ilvl="0" w:tplc="EDD251CC">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46029F"/>
    <w:multiLevelType w:val="hybridMultilevel"/>
    <w:tmpl w:val="335CCA42"/>
    <w:lvl w:ilvl="0" w:tplc="A6B4D48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A51276"/>
    <w:multiLevelType w:val="hybridMultilevel"/>
    <w:tmpl w:val="F04AE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4F4505"/>
    <w:multiLevelType w:val="hybridMultilevel"/>
    <w:tmpl w:val="9AFA1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E17658"/>
    <w:multiLevelType w:val="hybridMultilevel"/>
    <w:tmpl w:val="04DA5A1E"/>
    <w:lvl w:ilvl="0" w:tplc="EDD251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13" w15:restartNumberingAfterBreak="0">
    <w:nsid w:val="70372AD0"/>
    <w:multiLevelType w:val="hybridMultilevel"/>
    <w:tmpl w:val="13807AC8"/>
    <w:lvl w:ilvl="0" w:tplc="5880B310">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327DEE"/>
    <w:multiLevelType w:val="hybridMultilevel"/>
    <w:tmpl w:val="BAF61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38779A"/>
    <w:multiLevelType w:val="multilevel"/>
    <w:tmpl w:val="77EC1FB2"/>
    <w:styleLink w:val="headings"/>
    <w:lvl w:ilvl="0">
      <w:start w:val="1"/>
      <w:numFmt w:val="decimal"/>
      <w:pStyle w:val="heading1"/>
      <w:lvlText w:val="%1"/>
      <w:lvlJc w:val="left"/>
      <w:pPr>
        <w:tabs>
          <w:tab w:val="num" w:pos="567"/>
        </w:tabs>
        <w:ind w:left="567" w:hanging="567"/>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78703FE5"/>
    <w:multiLevelType w:val="hybridMultilevel"/>
    <w:tmpl w:val="C478B436"/>
    <w:lvl w:ilvl="0" w:tplc="EDD251C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D9521C8"/>
    <w:multiLevelType w:val="multilevel"/>
    <w:tmpl w:val="F35CB8F2"/>
    <w:styleLink w:val="referencelist"/>
    <w:lvl w:ilvl="0">
      <w:start w:val="1"/>
      <w:numFmt w:val="decimal"/>
      <w:pStyle w:val="referenceitem"/>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62414349">
    <w:abstractNumId w:val="6"/>
  </w:num>
  <w:num w:numId="2" w16cid:durableId="1570723862">
    <w:abstractNumId w:val="6"/>
  </w:num>
  <w:num w:numId="3" w16cid:durableId="1172450152">
    <w:abstractNumId w:val="12"/>
  </w:num>
  <w:num w:numId="4" w16cid:durableId="1760131382">
    <w:abstractNumId w:val="12"/>
  </w:num>
  <w:num w:numId="5" w16cid:durableId="53703946">
    <w:abstractNumId w:val="17"/>
  </w:num>
  <w:num w:numId="6" w16cid:durableId="376978715">
    <w:abstractNumId w:val="17"/>
  </w:num>
  <w:num w:numId="7" w16cid:durableId="569970128">
    <w:abstractNumId w:val="15"/>
  </w:num>
  <w:num w:numId="8" w16cid:durableId="1608461128">
    <w:abstractNumId w:val="18"/>
  </w:num>
  <w:num w:numId="9" w16cid:durableId="1364819262">
    <w:abstractNumId w:val="18"/>
  </w:num>
  <w:num w:numId="10" w16cid:durableId="804587711">
    <w:abstractNumId w:val="13"/>
  </w:num>
  <w:num w:numId="11" w16cid:durableId="419836403">
    <w:abstractNumId w:val="7"/>
  </w:num>
  <w:num w:numId="12" w16cid:durableId="1159231633">
    <w:abstractNumId w:val="5"/>
  </w:num>
  <w:num w:numId="13" w16cid:durableId="1819223131">
    <w:abstractNumId w:val="11"/>
  </w:num>
  <w:num w:numId="14" w16cid:durableId="122235222">
    <w:abstractNumId w:val="1"/>
  </w:num>
  <w:num w:numId="15" w16cid:durableId="634601004">
    <w:abstractNumId w:val="16"/>
  </w:num>
  <w:num w:numId="16" w16cid:durableId="394935156">
    <w:abstractNumId w:val="2"/>
  </w:num>
  <w:num w:numId="17" w16cid:durableId="1757550570">
    <w:abstractNumId w:val="15"/>
  </w:num>
  <w:num w:numId="18" w16cid:durableId="561523257">
    <w:abstractNumId w:val="3"/>
  </w:num>
  <w:num w:numId="19" w16cid:durableId="1010179268">
    <w:abstractNumId w:val="0"/>
  </w:num>
  <w:num w:numId="20" w16cid:durableId="323630044">
    <w:abstractNumId w:val="10"/>
  </w:num>
  <w:num w:numId="21" w16cid:durableId="300306470">
    <w:abstractNumId w:val="14"/>
  </w:num>
  <w:num w:numId="22" w16cid:durableId="1976911816">
    <w:abstractNumId w:val="4"/>
  </w:num>
  <w:num w:numId="23" w16cid:durableId="1101954895">
    <w:abstractNumId w:val="8"/>
  </w:num>
  <w:num w:numId="24" w16cid:durableId="1215505798">
    <w:abstractNumId w:val="9"/>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227"/>
  <w:autoHyphenation/>
  <w:hyphenationZone w:val="400"/>
  <w:doNotHyphenateCaps/>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FCE"/>
    <w:rsid w:val="00006026"/>
    <w:rsid w:val="00007335"/>
    <w:rsid w:val="00013D38"/>
    <w:rsid w:val="000247CA"/>
    <w:rsid w:val="000474C4"/>
    <w:rsid w:val="00050D08"/>
    <w:rsid w:val="00055D44"/>
    <w:rsid w:val="00072432"/>
    <w:rsid w:val="000766F9"/>
    <w:rsid w:val="0007727E"/>
    <w:rsid w:val="000806A8"/>
    <w:rsid w:val="000E03F5"/>
    <w:rsid w:val="0015407E"/>
    <w:rsid w:val="00154848"/>
    <w:rsid w:val="00185E20"/>
    <w:rsid w:val="001923AD"/>
    <w:rsid w:val="001A02F0"/>
    <w:rsid w:val="001A7282"/>
    <w:rsid w:val="001B0DE3"/>
    <w:rsid w:val="002076D3"/>
    <w:rsid w:val="00221338"/>
    <w:rsid w:val="00232DB9"/>
    <w:rsid w:val="002815EF"/>
    <w:rsid w:val="00282F1E"/>
    <w:rsid w:val="002C3C49"/>
    <w:rsid w:val="002C56B9"/>
    <w:rsid w:val="002D48C5"/>
    <w:rsid w:val="002E3062"/>
    <w:rsid w:val="00305F6B"/>
    <w:rsid w:val="00341C9B"/>
    <w:rsid w:val="00351615"/>
    <w:rsid w:val="00373397"/>
    <w:rsid w:val="003803E6"/>
    <w:rsid w:val="00383CD8"/>
    <w:rsid w:val="003A0AB7"/>
    <w:rsid w:val="003A49F1"/>
    <w:rsid w:val="003B14F5"/>
    <w:rsid w:val="003F6976"/>
    <w:rsid w:val="00401FAC"/>
    <w:rsid w:val="0040222F"/>
    <w:rsid w:val="00417F83"/>
    <w:rsid w:val="004237E4"/>
    <w:rsid w:val="00455A34"/>
    <w:rsid w:val="00477BBF"/>
    <w:rsid w:val="00494A2E"/>
    <w:rsid w:val="00495D4B"/>
    <w:rsid w:val="00497C37"/>
    <w:rsid w:val="004C0333"/>
    <w:rsid w:val="004D25A9"/>
    <w:rsid w:val="004E0608"/>
    <w:rsid w:val="004F00EA"/>
    <w:rsid w:val="004F4715"/>
    <w:rsid w:val="004F5813"/>
    <w:rsid w:val="0050006C"/>
    <w:rsid w:val="0050369E"/>
    <w:rsid w:val="00517D72"/>
    <w:rsid w:val="005238D2"/>
    <w:rsid w:val="00535139"/>
    <w:rsid w:val="005375BB"/>
    <w:rsid w:val="00563EEA"/>
    <w:rsid w:val="005659A5"/>
    <w:rsid w:val="005712D9"/>
    <w:rsid w:val="00582D2C"/>
    <w:rsid w:val="00582DA5"/>
    <w:rsid w:val="00585A64"/>
    <w:rsid w:val="00591381"/>
    <w:rsid w:val="005A7622"/>
    <w:rsid w:val="00617809"/>
    <w:rsid w:val="006420C1"/>
    <w:rsid w:val="006608DF"/>
    <w:rsid w:val="00662452"/>
    <w:rsid w:val="00670DB2"/>
    <w:rsid w:val="00676774"/>
    <w:rsid w:val="00687302"/>
    <w:rsid w:val="006A75E4"/>
    <w:rsid w:val="006B7B42"/>
    <w:rsid w:val="006D0924"/>
    <w:rsid w:val="006F1FD0"/>
    <w:rsid w:val="00720D3D"/>
    <w:rsid w:val="007517D8"/>
    <w:rsid w:val="00755061"/>
    <w:rsid w:val="00761B24"/>
    <w:rsid w:val="00773A9D"/>
    <w:rsid w:val="0077743C"/>
    <w:rsid w:val="00781D18"/>
    <w:rsid w:val="00792C05"/>
    <w:rsid w:val="007A7B22"/>
    <w:rsid w:val="007C613B"/>
    <w:rsid w:val="007C770B"/>
    <w:rsid w:val="007D4E53"/>
    <w:rsid w:val="007D5E05"/>
    <w:rsid w:val="007D7B97"/>
    <w:rsid w:val="007E4E48"/>
    <w:rsid w:val="00800721"/>
    <w:rsid w:val="00807B8A"/>
    <w:rsid w:val="008273B9"/>
    <w:rsid w:val="00866286"/>
    <w:rsid w:val="00880BA9"/>
    <w:rsid w:val="00882F28"/>
    <w:rsid w:val="00895677"/>
    <w:rsid w:val="008A02E7"/>
    <w:rsid w:val="008A7142"/>
    <w:rsid w:val="008B6264"/>
    <w:rsid w:val="008C073E"/>
    <w:rsid w:val="008D17D5"/>
    <w:rsid w:val="008E53D7"/>
    <w:rsid w:val="008E6891"/>
    <w:rsid w:val="008F13CE"/>
    <w:rsid w:val="008F2D4C"/>
    <w:rsid w:val="00912E11"/>
    <w:rsid w:val="009158C1"/>
    <w:rsid w:val="009237DE"/>
    <w:rsid w:val="00964550"/>
    <w:rsid w:val="00974C13"/>
    <w:rsid w:val="00976F7C"/>
    <w:rsid w:val="00992F82"/>
    <w:rsid w:val="009930E4"/>
    <w:rsid w:val="009A4D13"/>
    <w:rsid w:val="009B2539"/>
    <w:rsid w:val="009B66E3"/>
    <w:rsid w:val="009B730B"/>
    <w:rsid w:val="009C2D34"/>
    <w:rsid w:val="009D3E7F"/>
    <w:rsid w:val="009E6B8F"/>
    <w:rsid w:val="009F0E09"/>
    <w:rsid w:val="009F7FCE"/>
    <w:rsid w:val="00A0399F"/>
    <w:rsid w:val="00A1698B"/>
    <w:rsid w:val="00A22236"/>
    <w:rsid w:val="00A24046"/>
    <w:rsid w:val="00A36EC5"/>
    <w:rsid w:val="00A52675"/>
    <w:rsid w:val="00A52714"/>
    <w:rsid w:val="00A55957"/>
    <w:rsid w:val="00A67EDB"/>
    <w:rsid w:val="00A92F5D"/>
    <w:rsid w:val="00A95A63"/>
    <w:rsid w:val="00AA3ACD"/>
    <w:rsid w:val="00AB5DA9"/>
    <w:rsid w:val="00AE082D"/>
    <w:rsid w:val="00AE23D7"/>
    <w:rsid w:val="00AE792E"/>
    <w:rsid w:val="00B02580"/>
    <w:rsid w:val="00B06468"/>
    <w:rsid w:val="00B10482"/>
    <w:rsid w:val="00B1246D"/>
    <w:rsid w:val="00B23481"/>
    <w:rsid w:val="00B24B7A"/>
    <w:rsid w:val="00B2517C"/>
    <w:rsid w:val="00B35626"/>
    <w:rsid w:val="00B527F9"/>
    <w:rsid w:val="00B64CC1"/>
    <w:rsid w:val="00B67B79"/>
    <w:rsid w:val="00B753F4"/>
    <w:rsid w:val="00B91A93"/>
    <w:rsid w:val="00B93C6F"/>
    <w:rsid w:val="00B94A6C"/>
    <w:rsid w:val="00B96108"/>
    <w:rsid w:val="00BA5C11"/>
    <w:rsid w:val="00BB6CD8"/>
    <w:rsid w:val="00BD552D"/>
    <w:rsid w:val="00BE33FD"/>
    <w:rsid w:val="00BF4EDB"/>
    <w:rsid w:val="00BF6444"/>
    <w:rsid w:val="00C406A5"/>
    <w:rsid w:val="00C45945"/>
    <w:rsid w:val="00C676D6"/>
    <w:rsid w:val="00C857CB"/>
    <w:rsid w:val="00CA5750"/>
    <w:rsid w:val="00CB0532"/>
    <w:rsid w:val="00D12DA2"/>
    <w:rsid w:val="00D3023A"/>
    <w:rsid w:val="00D818D9"/>
    <w:rsid w:val="00D93BAB"/>
    <w:rsid w:val="00DA0E17"/>
    <w:rsid w:val="00DA570F"/>
    <w:rsid w:val="00DB3655"/>
    <w:rsid w:val="00DC2CA9"/>
    <w:rsid w:val="00E067F7"/>
    <w:rsid w:val="00E20CDD"/>
    <w:rsid w:val="00E30855"/>
    <w:rsid w:val="00E344AE"/>
    <w:rsid w:val="00E603C7"/>
    <w:rsid w:val="00E61606"/>
    <w:rsid w:val="00E71427"/>
    <w:rsid w:val="00E87D38"/>
    <w:rsid w:val="00EA0822"/>
    <w:rsid w:val="00EA7018"/>
    <w:rsid w:val="00EB1F7E"/>
    <w:rsid w:val="00EC36F1"/>
    <w:rsid w:val="00ED275D"/>
    <w:rsid w:val="00ED5B0E"/>
    <w:rsid w:val="00ED61EF"/>
    <w:rsid w:val="00EE07B0"/>
    <w:rsid w:val="00EE4B30"/>
    <w:rsid w:val="00EF3DD9"/>
    <w:rsid w:val="00F07044"/>
    <w:rsid w:val="00F16444"/>
    <w:rsid w:val="00F17FBC"/>
    <w:rsid w:val="00F27B09"/>
    <w:rsid w:val="00F321B4"/>
    <w:rsid w:val="00F348C2"/>
    <w:rsid w:val="00F47D6B"/>
    <w:rsid w:val="00F6083F"/>
    <w:rsid w:val="00F645BC"/>
    <w:rsid w:val="00F6598E"/>
    <w:rsid w:val="00F70B8F"/>
    <w:rsid w:val="00F7357C"/>
    <w:rsid w:val="00FC3889"/>
    <w:rsid w:val="00FC3CB5"/>
    <w:rsid w:val="00FD4F2C"/>
    <w:rsid w:val="00FE572F"/>
    <w:rsid w:val="00FF0596"/>
    <w:rsid w:val="00FF6EFA"/>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E153B"/>
  <w15:docId w15:val="{50DA559C-E39A-44DA-9042-838572EA4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E7667"/>
    <w:pPr>
      <w:overflowPunct w:val="0"/>
      <w:autoSpaceDE w:val="0"/>
      <w:autoSpaceDN w:val="0"/>
      <w:adjustRightInd w:val="0"/>
      <w:ind w:firstLine="227"/>
      <w:jc w:val="both"/>
      <w:textAlignment w:val="baseline"/>
    </w:pPr>
  </w:style>
  <w:style w:type="paragraph" w:styleId="Heading10">
    <w:name w:val="heading 1"/>
    <w:basedOn w:val="Normal"/>
    <w:next w:val="p1a"/>
    <w:semiHidden/>
    <w:unhideWhenUsed/>
    <w:qFormat/>
    <w:pPr>
      <w:keepNext/>
      <w:keepLines/>
      <w:suppressAutoHyphens/>
      <w:spacing w:before="360" w:after="240" w:line="300" w:lineRule="atLeast"/>
      <w:ind w:left="567" w:hanging="567"/>
      <w:jc w:val="left"/>
      <w:outlineLvl w:val="0"/>
    </w:pPr>
    <w:rPr>
      <w:b/>
      <w:sz w:val="24"/>
    </w:rPr>
  </w:style>
  <w:style w:type="paragraph" w:styleId="Heading20">
    <w:name w:val="heading 2"/>
    <w:basedOn w:val="Normal"/>
    <w:next w:val="p1a"/>
    <w:semiHidden/>
    <w:unhideWhenUsed/>
    <w:qFormat/>
    <w:pPr>
      <w:keepNext/>
      <w:keepLines/>
      <w:suppressAutoHyphens/>
      <w:spacing w:before="360" w:after="160"/>
      <w:ind w:left="567" w:hanging="567"/>
      <w:jc w:val="left"/>
      <w:outlineLvl w:val="1"/>
    </w:pPr>
    <w:rPr>
      <w:b/>
    </w:rPr>
  </w:style>
  <w:style w:type="paragraph" w:styleId="Heading3">
    <w:name w:val="heading 3"/>
    <w:basedOn w:val="Normal"/>
    <w:next w:val="Normal"/>
    <w:qFormat/>
    <w:pPr>
      <w:spacing w:before="360"/>
      <w:ind w:firstLine="0"/>
      <w:outlineLvl w:val="2"/>
    </w:pPr>
  </w:style>
  <w:style w:type="paragraph" w:styleId="Heading4">
    <w:name w:val="heading 4"/>
    <w:basedOn w:val="Normal"/>
    <w:next w:val="Normal"/>
    <w:qFormat/>
    <w:pPr>
      <w:spacing w:before="240"/>
      <w:ind w:firstLine="0"/>
      <w:outlineLvl w:val="3"/>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link w:val="abstractChar"/>
    <w:pPr>
      <w:spacing w:before="600" w:after="360" w:line="220" w:lineRule="atLeast"/>
      <w:ind w:left="567" w:right="567"/>
      <w:contextualSpacing/>
    </w:pPr>
    <w:rPr>
      <w:sz w:val="18"/>
    </w:rPr>
  </w:style>
  <w:style w:type="paragraph" w:customStyle="1" w:styleId="address">
    <w:name w:val="address"/>
    <w:basedOn w:val="Normal"/>
    <w:pPr>
      <w:spacing w:after="200" w:line="220" w:lineRule="atLeast"/>
      <w:ind w:firstLine="0"/>
      <w:contextualSpacing/>
      <w:jc w:val="center"/>
    </w:pPr>
    <w:rPr>
      <w:sz w:val="18"/>
    </w:rPr>
  </w:style>
  <w:style w:type="numbering" w:customStyle="1" w:styleId="arabnumitem">
    <w:name w:val="arabnumitem"/>
    <w:basedOn w:val="NoList"/>
    <w:pPr>
      <w:numPr>
        <w:numId w:val="5"/>
      </w:numPr>
    </w:pPr>
  </w:style>
  <w:style w:type="paragraph" w:customStyle="1" w:styleId="author">
    <w:name w:val="author"/>
    <w:basedOn w:val="Normal"/>
    <w:next w:val="address"/>
    <w:pPr>
      <w:spacing w:after="200" w:line="220" w:lineRule="atLeast"/>
      <w:ind w:firstLine="0"/>
      <w:jc w:val="center"/>
    </w:pPr>
  </w:style>
  <w:style w:type="paragraph" w:customStyle="1" w:styleId="bulletitem">
    <w:name w:val="bulletitem"/>
    <w:basedOn w:val="Normal"/>
    <w:pPr>
      <w:numPr>
        <w:numId w:val="2"/>
      </w:numPr>
      <w:spacing w:before="160" w:after="160"/>
      <w:contextualSpacing/>
    </w:pPr>
  </w:style>
  <w:style w:type="paragraph" w:customStyle="1" w:styleId="dashitem">
    <w:name w:val="dashitem"/>
    <w:basedOn w:val="Normal"/>
    <w:pPr>
      <w:numPr>
        <w:numId w:val="4"/>
      </w:numPr>
      <w:spacing w:before="160" w:after="160"/>
      <w:contextualSpacing/>
    </w:pPr>
  </w:style>
  <w:style w:type="character" w:customStyle="1" w:styleId="e-mail">
    <w:name w:val="e-mail"/>
    <w:basedOn w:val="DefaultParagraphFont"/>
    <w:rPr>
      <w:rFonts w:ascii="Courier" w:hAnsi="Courier"/>
      <w:noProof/>
    </w:rPr>
  </w:style>
  <w:style w:type="paragraph" w:customStyle="1" w:styleId="equation">
    <w:name w:val="equation"/>
    <w:basedOn w:val="Normal"/>
    <w:next w:val="Normal"/>
    <w:pPr>
      <w:tabs>
        <w:tab w:val="center" w:pos="3289"/>
        <w:tab w:val="right" w:pos="6917"/>
      </w:tabs>
      <w:spacing w:before="160" w:after="160"/>
      <w:ind w:firstLine="0"/>
    </w:pPr>
  </w:style>
  <w:style w:type="paragraph" w:customStyle="1" w:styleId="figurecaption">
    <w:name w:val="figurecaption"/>
    <w:basedOn w:val="Normal"/>
    <w:next w:val="Normal"/>
    <w:pPr>
      <w:keepLines/>
      <w:spacing w:before="120" w:after="240" w:line="220" w:lineRule="atLeast"/>
      <w:ind w:firstLine="0"/>
      <w:jc w:val="center"/>
    </w:pPr>
    <w:rPr>
      <w:sz w:val="18"/>
    </w:rPr>
  </w:style>
  <w:style w:type="character" w:styleId="FootnoteReference">
    <w:name w:val="footnote reference"/>
    <w:basedOn w:val="DefaultParagraphFont"/>
    <w:semiHidden/>
    <w:unhideWhenUsed/>
    <w:rPr>
      <w:position w:val="0"/>
      <w:vertAlign w:val="superscript"/>
    </w:rPr>
  </w:style>
  <w:style w:type="paragraph" w:styleId="Footer">
    <w:name w:val="footer"/>
    <w:basedOn w:val="Normal"/>
    <w:unhideWhenUsed/>
  </w:style>
  <w:style w:type="paragraph" w:customStyle="1" w:styleId="heading1">
    <w:name w:val="heading1"/>
    <w:basedOn w:val="Normal"/>
    <w:next w:val="p1a"/>
    <w:qFormat/>
    <w:pPr>
      <w:keepNext/>
      <w:keepLines/>
      <w:numPr>
        <w:numId w:val="7"/>
      </w:numPr>
      <w:suppressAutoHyphens/>
      <w:spacing w:before="360" w:after="240" w:line="300" w:lineRule="atLeast"/>
      <w:jc w:val="left"/>
      <w:outlineLvl w:val="0"/>
    </w:pPr>
    <w:rPr>
      <w:b/>
      <w:sz w:val="24"/>
    </w:rPr>
  </w:style>
  <w:style w:type="paragraph" w:customStyle="1" w:styleId="heading2">
    <w:name w:val="heading2"/>
    <w:basedOn w:val="Normal"/>
    <w:next w:val="p1a"/>
    <w:qFormat/>
    <w:pPr>
      <w:keepNext/>
      <w:keepLines/>
      <w:numPr>
        <w:ilvl w:val="1"/>
        <w:numId w:val="7"/>
      </w:numPr>
      <w:suppressAutoHyphens/>
      <w:spacing w:before="360" w:after="160"/>
      <w:jc w:val="left"/>
      <w:outlineLvl w:val="1"/>
    </w:pPr>
    <w:rPr>
      <w:b/>
    </w:rPr>
  </w:style>
  <w:style w:type="character" w:customStyle="1" w:styleId="heading30">
    <w:name w:val="heading3"/>
    <w:basedOn w:val="DefaultParagraphFont"/>
    <w:rPr>
      <w:b/>
    </w:rPr>
  </w:style>
  <w:style w:type="character" w:customStyle="1" w:styleId="heading40">
    <w:name w:val="heading4"/>
    <w:basedOn w:val="DefaultParagraphFont"/>
    <w:rPr>
      <w:i/>
    </w:rPr>
  </w:style>
  <w:style w:type="numbering" w:customStyle="1" w:styleId="headings">
    <w:name w:val="headings"/>
    <w:basedOn w:val="arabnumitem"/>
    <w:pPr>
      <w:numPr>
        <w:numId w:val="7"/>
      </w:numPr>
    </w:pPr>
  </w:style>
  <w:style w:type="character" w:styleId="Hyperlink">
    <w:name w:val="Hyperlink"/>
    <w:basedOn w:val="DefaultParagraphFont"/>
    <w:unhideWhenUsed/>
    <w:rPr>
      <w:color w:val="auto"/>
      <w:u w:val="none"/>
    </w:rPr>
  </w:style>
  <w:style w:type="paragraph" w:customStyle="1" w:styleId="image">
    <w:name w:val="image"/>
    <w:basedOn w:val="Normal"/>
    <w:next w:val="Normal"/>
    <w:pPr>
      <w:spacing w:before="240" w:after="120"/>
      <w:ind w:firstLine="0"/>
      <w:jc w:val="center"/>
    </w:pPr>
  </w:style>
  <w:style w:type="numbering" w:customStyle="1" w:styleId="itemization1">
    <w:name w:val="itemization1"/>
    <w:basedOn w:val="NoList"/>
    <w:pPr>
      <w:numPr>
        <w:numId w:val="1"/>
      </w:numPr>
    </w:pPr>
  </w:style>
  <w:style w:type="numbering" w:customStyle="1" w:styleId="itemization2">
    <w:name w:val="itemization2"/>
    <w:basedOn w:val="NoList"/>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Header">
    <w:name w:val="header"/>
    <w:basedOn w:val="Normal"/>
    <w:unhideWhenUsed/>
    <w:pPr>
      <w:tabs>
        <w:tab w:val="center" w:pos="4536"/>
        <w:tab w:val="right" w:pos="9072"/>
      </w:tabs>
      <w:ind w:firstLine="0"/>
    </w:pPr>
    <w:rPr>
      <w:sz w:val="18"/>
      <w:szCs w:val="18"/>
    </w:rPr>
  </w:style>
  <w:style w:type="paragraph" w:customStyle="1" w:styleId="numitem">
    <w:name w:val="numitem"/>
    <w:basedOn w:val="Normal"/>
    <w:pPr>
      <w:numPr>
        <w:numId w:val="6"/>
      </w:numPr>
      <w:spacing w:before="160" w:after="160"/>
      <w:contextualSpacing/>
    </w:pPr>
  </w:style>
  <w:style w:type="paragraph" w:customStyle="1" w:styleId="p1a">
    <w:name w:val="p1a"/>
    <w:basedOn w:val="Normal"/>
    <w:next w:val="Normal"/>
    <w:pPr>
      <w:ind w:firstLine="0"/>
    </w:pPr>
  </w:style>
  <w:style w:type="paragraph" w:customStyle="1" w:styleId="programcode">
    <w:name w:val="programcode"/>
    <w:basedOn w:val="Normal"/>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Normal"/>
    <w:pPr>
      <w:numPr>
        <w:numId w:val="9"/>
      </w:numPr>
      <w:spacing w:line="220" w:lineRule="atLeast"/>
    </w:pPr>
    <w:rPr>
      <w:sz w:val="18"/>
    </w:rPr>
  </w:style>
  <w:style w:type="numbering" w:customStyle="1" w:styleId="referencelist">
    <w:name w:val="referencelist"/>
    <w:basedOn w:val="NoList"/>
    <w:semiHidden/>
    <w:pPr>
      <w:numPr>
        <w:numId w:val="8"/>
      </w:numPr>
    </w:pPr>
  </w:style>
  <w:style w:type="paragraph" w:customStyle="1" w:styleId="runninghead-left">
    <w:name w:val="running head - left"/>
    <w:basedOn w:val="Normal"/>
    <w:pPr>
      <w:ind w:firstLine="0"/>
      <w:jc w:val="left"/>
    </w:pPr>
    <w:rPr>
      <w:sz w:val="18"/>
      <w:szCs w:val="18"/>
    </w:rPr>
  </w:style>
  <w:style w:type="paragraph" w:customStyle="1" w:styleId="runninghead-right">
    <w:name w:val="running head - right"/>
    <w:basedOn w:val="Normal"/>
    <w:pPr>
      <w:ind w:firstLine="0"/>
      <w:jc w:val="right"/>
    </w:pPr>
    <w:rPr>
      <w:bCs/>
      <w:sz w:val="18"/>
      <w:szCs w:val="18"/>
    </w:rPr>
  </w:style>
  <w:style w:type="character" w:styleId="PageNumber">
    <w:name w:val="page number"/>
    <w:basedOn w:val="DefaultParagraphFont"/>
    <w:semiHidden/>
    <w:unhideWhenUsed/>
    <w:rPr>
      <w:sz w:val="18"/>
    </w:rPr>
  </w:style>
  <w:style w:type="paragraph" w:customStyle="1" w:styleId="papertitle">
    <w:name w:val="papertitle"/>
    <w:basedOn w:val="Normal"/>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Normal"/>
    <w:next w:val="Normal"/>
    <w:pPr>
      <w:keepNext/>
      <w:keepLines/>
      <w:spacing w:before="240" w:after="120" w:line="220" w:lineRule="atLeast"/>
      <w:ind w:firstLine="0"/>
      <w:jc w:val="center"/>
    </w:pPr>
    <w:rPr>
      <w:sz w:val="18"/>
    </w:rPr>
  </w:style>
  <w:style w:type="character" w:customStyle="1" w:styleId="url">
    <w:name w:val="url"/>
    <w:basedOn w:val="DefaultParagraphFont"/>
    <w:rPr>
      <w:rFonts w:ascii="Courier" w:hAnsi="Courier"/>
      <w:noProof/>
    </w:rPr>
  </w:style>
  <w:style w:type="character" w:customStyle="1" w:styleId="ORCID">
    <w:name w:val="ORCID"/>
    <w:basedOn w:val="DefaultParagraphFont"/>
    <w:rPr>
      <w:position w:val="0"/>
      <w:vertAlign w:val="superscript"/>
    </w:rPr>
  </w:style>
  <w:style w:type="paragraph" w:styleId="FootnoteText">
    <w:name w:val="footnote text"/>
    <w:basedOn w:val="Normal"/>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paragraph" w:customStyle="1" w:styleId="EndNoteBibliographyTitle">
    <w:name w:val="EndNote Bibliography Title"/>
    <w:basedOn w:val="Normal"/>
    <w:link w:val="EndNoteBibliographyTitleChar"/>
    <w:rsid w:val="00676774"/>
    <w:pPr>
      <w:jc w:val="center"/>
    </w:pPr>
    <w:rPr>
      <w:noProof/>
    </w:rPr>
  </w:style>
  <w:style w:type="character" w:customStyle="1" w:styleId="abstractChar">
    <w:name w:val="abstract Char"/>
    <w:basedOn w:val="DefaultParagraphFont"/>
    <w:link w:val="abstract"/>
    <w:rsid w:val="00676774"/>
    <w:rPr>
      <w:sz w:val="18"/>
    </w:rPr>
  </w:style>
  <w:style w:type="character" w:customStyle="1" w:styleId="EndNoteBibliographyTitleChar">
    <w:name w:val="EndNote Bibliography Title Char"/>
    <w:basedOn w:val="abstractChar"/>
    <w:link w:val="EndNoteBibliographyTitle"/>
    <w:rsid w:val="00676774"/>
    <w:rPr>
      <w:noProof/>
      <w:sz w:val="18"/>
    </w:rPr>
  </w:style>
  <w:style w:type="paragraph" w:customStyle="1" w:styleId="EndNoteBibliography">
    <w:name w:val="EndNote Bibliography"/>
    <w:basedOn w:val="Normal"/>
    <w:link w:val="EndNoteBibliographyChar"/>
    <w:rsid w:val="00676774"/>
    <w:rPr>
      <w:noProof/>
    </w:rPr>
  </w:style>
  <w:style w:type="character" w:customStyle="1" w:styleId="EndNoteBibliographyChar">
    <w:name w:val="EndNote Bibliography Char"/>
    <w:basedOn w:val="abstractChar"/>
    <w:link w:val="EndNoteBibliography"/>
    <w:rsid w:val="00676774"/>
    <w:rPr>
      <w:noProof/>
      <w:sz w:val="18"/>
    </w:rPr>
  </w:style>
  <w:style w:type="paragraph" w:styleId="NormalWeb">
    <w:name w:val="Normal (Web)"/>
    <w:basedOn w:val="Normal"/>
    <w:uiPriority w:val="99"/>
    <w:semiHidden/>
    <w:rsid w:val="008E53D7"/>
    <w:rPr>
      <w:sz w:val="24"/>
      <w:szCs w:val="24"/>
    </w:rPr>
  </w:style>
  <w:style w:type="paragraph" w:styleId="ListParagraph">
    <w:name w:val="List Paragraph"/>
    <w:basedOn w:val="Normal"/>
    <w:semiHidden/>
    <w:rsid w:val="00AE23D7"/>
    <w:pPr>
      <w:ind w:left="720"/>
      <w:contextualSpacing/>
    </w:pPr>
  </w:style>
  <w:style w:type="table" w:styleId="TableGrid">
    <w:name w:val="Table Grid"/>
    <w:basedOn w:val="TableNormal"/>
    <w:rsid w:val="00AE23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E23D7"/>
    <w:rPr>
      <w:b/>
      <w:bCs/>
    </w:rPr>
  </w:style>
  <w:style w:type="table" w:styleId="PlainTable2">
    <w:name w:val="Plain Table 2"/>
    <w:basedOn w:val="TableNormal"/>
    <w:uiPriority w:val="42"/>
    <w:rsid w:val="0050006C"/>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UnresolvedMention">
    <w:name w:val="Unresolved Mention"/>
    <w:basedOn w:val="DefaultParagraphFont"/>
    <w:uiPriority w:val="99"/>
    <w:semiHidden/>
    <w:unhideWhenUsed/>
    <w:rsid w:val="00AB5D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14" Type="http://schemas.openxmlformats.org/officeDocument/2006/relationships/theme" Target="theme/theme1.xml"/><Relationship Id="rId901" Type="http://schemas.openxmlformats.org/officeDocument/2006/relationships/image" Target="media/image1.png"/><Relationship Id="rId902" Type="http://schemas.openxmlformats.org/officeDocument/2006/relationships/image" Target="media/image2.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4B9E7D-40B7-48A9-9998-A3CA2D96EF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223</TotalTime>
  <Pages>11</Pages>
  <Words>7481</Words>
  <Characters>42642</Characters>
  <Application>Microsoft Office Word</Application>
  <DocSecurity>0</DocSecurity>
  <Lines>355</Lines>
  <Paragraphs>100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dataspect IT-Services, Neckargemuend, Germany</Company>
  <LinksUpToDate>false</LinksUpToDate>
  <CharactersWithSpaces>50023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22</cp:revision>
  <cp:lastPrinted>2026-08-24T09:52:00Z</cp:lastPrinted>
  <dcterms:created xsi:type="dcterms:W3CDTF">2026-08-23T07:48:00Z</dcterms:created>
  <dcterms:modified xsi:type="dcterms:W3CDTF">2026-09-07T09:11:00Z</dcterms:modified>
</cp:coreProperties>
</file>